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B4AAF1">
      <w:pPr>
        <w:jc w:val="center"/>
        <w:rPr>
          <w:rFonts w:hint="default" w:ascii="Times New Roman" w:hAnsi="Times New Roman" w:eastAsia="宋体" w:cs="Times New Roman"/>
          <w:b/>
          <w:sz w:val="40"/>
          <w:szCs w:val="36"/>
        </w:rPr>
      </w:pPr>
    </w:p>
    <w:p w14:paraId="37741260">
      <w:pPr>
        <w:jc w:val="center"/>
        <w:rPr>
          <w:rFonts w:hint="default" w:ascii="Times New Roman" w:hAnsi="Times New Roman" w:eastAsia="宋体" w:cs="Times New Roman"/>
          <w:b/>
          <w:sz w:val="40"/>
          <w:szCs w:val="36"/>
        </w:rPr>
      </w:pPr>
    </w:p>
    <w:p w14:paraId="08149ADF">
      <w:pPr>
        <w:jc w:val="center"/>
        <w:rPr>
          <w:rFonts w:hint="default" w:ascii="Times New Roman" w:hAnsi="Times New Roman" w:eastAsia="宋体" w:cs="Times New Roman"/>
          <w:b/>
          <w:sz w:val="40"/>
          <w:szCs w:val="36"/>
        </w:rPr>
      </w:pPr>
    </w:p>
    <w:p w14:paraId="2824921D">
      <w:pPr>
        <w:spacing w:line="360" w:lineRule="auto"/>
        <w:jc w:val="center"/>
        <w:rPr>
          <w:rFonts w:hint="default" w:ascii="Times New Roman" w:hAnsi="Times New Roman" w:eastAsia="宋体" w:cs="Times New Roman"/>
          <w:b/>
          <w:sz w:val="44"/>
          <w:szCs w:val="44"/>
        </w:rPr>
      </w:pPr>
      <w:r>
        <w:rPr>
          <w:rFonts w:hint="default" w:ascii="Times New Roman" w:hAnsi="Times New Roman" w:eastAsia="宋体" w:cs="Times New Roman"/>
          <w:b/>
          <w:sz w:val="44"/>
          <w:szCs w:val="44"/>
        </w:rPr>
        <w:t>松木经开区循环经济产业基地项目</w:t>
      </w:r>
    </w:p>
    <w:p w14:paraId="04F92564">
      <w:pPr>
        <w:spacing w:line="360" w:lineRule="auto"/>
        <w:jc w:val="center"/>
        <w:rPr>
          <w:rFonts w:hint="default" w:ascii="Times New Roman" w:hAnsi="Times New Roman" w:eastAsia="宋体" w:cs="Times New Roman"/>
          <w:b/>
          <w:sz w:val="44"/>
          <w:szCs w:val="44"/>
        </w:rPr>
      </w:pPr>
      <w:r>
        <w:rPr>
          <w:rFonts w:hint="default" w:ascii="Times New Roman" w:hAnsi="Times New Roman" w:eastAsia="宋体" w:cs="Times New Roman"/>
          <w:b/>
          <w:sz w:val="44"/>
          <w:szCs w:val="44"/>
        </w:rPr>
        <w:t>废旧金属塑料危险废物综合利用子项目</w:t>
      </w:r>
    </w:p>
    <w:p w14:paraId="2BF72057">
      <w:pPr>
        <w:pStyle w:val="41"/>
        <w:snapToGrid/>
        <w:ind w:firstLine="197" w:firstLineChars="35"/>
        <w:jc w:val="center"/>
        <w:rPr>
          <w:rFonts w:hint="default" w:ascii="Times New Roman" w:hAnsi="Times New Roman" w:eastAsia="宋体" w:cs="Times New Roman"/>
          <w:b/>
          <w:sz w:val="56"/>
          <w:szCs w:val="72"/>
        </w:rPr>
      </w:pPr>
    </w:p>
    <w:p w14:paraId="66D93290">
      <w:pPr>
        <w:pStyle w:val="41"/>
        <w:snapToGrid/>
        <w:ind w:firstLine="197" w:firstLineChars="35"/>
        <w:jc w:val="center"/>
        <w:rPr>
          <w:rFonts w:hint="default" w:ascii="Times New Roman" w:hAnsi="Times New Roman" w:eastAsia="宋体" w:cs="Times New Roman"/>
          <w:b/>
          <w:sz w:val="56"/>
          <w:szCs w:val="72"/>
        </w:rPr>
      </w:pPr>
    </w:p>
    <w:p w14:paraId="3FC21641">
      <w:pPr>
        <w:pStyle w:val="41"/>
        <w:snapToGrid/>
        <w:ind w:firstLine="197" w:firstLineChars="35"/>
        <w:jc w:val="center"/>
        <w:rPr>
          <w:rFonts w:hint="default" w:ascii="Times New Roman" w:hAnsi="Times New Roman" w:eastAsia="宋体" w:cs="Times New Roman"/>
          <w:b/>
          <w:sz w:val="56"/>
          <w:szCs w:val="72"/>
        </w:rPr>
      </w:pPr>
    </w:p>
    <w:p w14:paraId="6AF61017">
      <w:pPr>
        <w:pStyle w:val="41"/>
        <w:snapToGrid/>
        <w:ind w:firstLine="253" w:firstLineChars="35"/>
        <w:jc w:val="center"/>
        <w:rPr>
          <w:rFonts w:hint="default" w:ascii="Times New Roman" w:hAnsi="Times New Roman" w:eastAsia="宋体" w:cs="Times New Roman"/>
          <w:b/>
          <w:sz w:val="72"/>
          <w:szCs w:val="72"/>
        </w:rPr>
      </w:pPr>
      <w:r>
        <w:rPr>
          <w:rFonts w:hint="default" w:ascii="Times New Roman" w:hAnsi="Times New Roman" w:eastAsia="宋体" w:cs="Times New Roman"/>
          <w:b/>
          <w:sz w:val="72"/>
          <w:szCs w:val="72"/>
        </w:rPr>
        <w:t>环 境 影 响 报 告 书</w:t>
      </w:r>
    </w:p>
    <w:p w14:paraId="7C6B216D">
      <w:pPr>
        <w:spacing w:line="360" w:lineRule="auto"/>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w:t>
      </w:r>
      <w:r>
        <w:rPr>
          <w:rFonts w:hint="default" w:ascii="Times New Roman" w:hAnsi="Times New Roman" w:eastAsia="宋体" w:cs="Times New Roman"/>
          <w:b/>
          <w:sz w:val="28"/>
          <w:szCs w:val="28"/>
          <w:lang w:val="en-US" w:eastAsia="zh-CN"/>
        </w:rPr>
        <w:t>报批</w:t>
      </w:r>
      <w:r>
        <w:rPr>
          <w:rFonts w:hint="default" w:ascii="Times New Roman" w:hAnsi="Times New Roman" w:eastAsia="宋体" w:cs="Times New Roman"/>
          <w:b/>
          <w:sz w:val="28"/>
          <w:szCs w:val="28"/>
        </w:rPr>
        <w:t>稿）</w:t>
      </w:r>
    </w:p>
    <w:p w14:paraId="0F89B3C3">
      <w:pPr>
        <w:spacing w:line="360" w:lineRule="auto"/>
        <w:jc w:val="center"/>
        <w:rPr>
          <w:rFonts w:hint="default" w:ascii="Times New Roman" w:hAnsi="Times New Roman" w:eastAsia="宋体" w:cs="Times New Roman"/>
          <w:b/>
          <w:sz w:val="28"/>
          <w:szCs w:val="28"/>
        </w:rPr>
      </w:pPr>
    </w:p>
    <w:p w14:paraId="2336871B">
      <w:pPr>
        <w:spacing w:line="360" w:lineRule="auto"/>
        <w:jc w:val="center"/>
        <w:rPr>
          <w:rFonts w:hint="default" w:ascii="Times New Roman" w:hAnsi="Times New Roman" w:eastAsia="宋体" w:cs="Times New Roman"/>
          <w:b/>
          <w:sz w:val="28"/>
          <w:szCs w:val="28"/>
        </w:rPr>
      </w:pPr>
    </w:p>
    <w:p w14:paraId="29B0D2CB">
      <w:pPr>
        <w:spacing w:line="360" w:lineRule="auto"/>
        <w:jc w:val="center"/>
        <w:rPr>
          <w:rFonts w:hint="default" w:ascii="Times New Roman" w:hAnsi="Times New Roman" w:eastAsia="宋体" w:cs="Times New Roman"/>
          <w:b/>
          <w:sz w:val="28"/>
          <w:szCs w:val="28"/>
        </w:rPr>
      </w:pPr>
    </w:p>
    <w:p w14:paraId="7D6B4DDD">
      <w:pPr>
        <w:spacing w:line="360" w:lineRule="auto"/>
        <w:jc w:val="center"/>
        <w:rPr>
          <w:rFonts w:hint="default" w:ascii="Times New Roman" w:hAnsi="Times New Roman" w:eastAsia="宋体" w:cs="Times New Roman"/>
          <w:b/>
          <w:sz w:val="28"/>
          <w:szCs w:val="28"/>
        </w:rPr>
      </w:pPr>
    </w:p>
    <w:p w14:paraId="42CC439C">
      <w:pPr>
        <w:spacing w:line="360" w:lineRule="auto"/>
        <w:jc w:val="center"/>
        <w:rPr>
          <w:rFonts w:hint="default" w:ascii="Times New Roman" w:hAnsi="Times New Roman" w:eastAsia="宋体" w:cs="Times New Roman"/>
          <w:b/>
          <w:sz w:val="28"/>
          <w:szCs w:val="28"/>
        </w:rPr>
      </w:pPr>
    </w:p>
    <w:p w14:paraId="35C99830">
      <w:pPr>
        <w:spacing w:line="360" w:lineRule="auto"/>
        <w:jc w:val="center"/>
        <w:rPr>
          <w:rFonts w:hint="default" w:ascii="Times New Roman" w:hAnsi="Times New Roman" w:eastAsia="宋体" w:cs="Times New Roman"/>
          <w:b/>
          <w:sz w:val="28"/>
          <w:szCs w:val="28"/>
        </w:rPr>
      </w:pPr>
    </w:p>
    <w:p w14:paraId="706B4E22">
      <w:pPr>
        <w:spacing w:line="360" w:lineRule="auto"/>
        <w:jc w:val="center"/>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 xml:space="preserve">   建设单位：湖南湘蓝再生资源利用有限公司</w:t>
      </w:r>
    </w:p>
    <w:p w14:paraId="00E388F3">
      <w:pPr>
        <w:spacing w:line="360" w:lineRule="auto"/>
        <w:ind w:firstLine="1687" w:firstLineChars="60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编制单位：湖南省徙木环境科技有限公司</w:t>
      </w:r>
    </w:p>
    <w:p w14:paraId="0E167FB3">
      <w:pPr>
        <w:spacing w:line="360" w:lineRule="auto"/>
        <w:ind w:firstLine="1687" w:firstLineChars="600"/>
        <w:rPr>
          <w:rFonts w:hint="default" w:ascii="Times New Roman" w:hAnsi="Times New Roman" w:eastAsia="宋体" w:cs="Times New Roman"/>
          <w:b/>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sz w:val="28"/>
          <w:szCs w:val="28"/>
        </w:rPr>
        <w:t>编制日期：202</w:t>
      </w:r>
      <w:r>
        <w:rPr>
          <w:rFonts w:hint="eastAsia" w:ascii="Times New Roman" w:hAnsi="Times New Roman" w:cs="Times New Roman"/>
          <w:b/>
          <w:sz w:val="28"/>
          <w:szCs w:val="28"/>
          <w:lang w:val="en-US" w:eastAsia="zh-CN"/>
        </w:rPr>
        <w:t>4</w:t>
      </w:r>
      <w:r>
        <w:rPr>
          <w:rFonts w:hint="default" w:ascii="Times New Roman" w:hAnsi="Times New Roman" w:eastAsia="宋体" w:cs="Times New Roman"/>
          <w:b/>
          <w:sz w:val="28"/>
          <w:szCs w:val="28"/>
        </w:rPr>
        <w:t>年</w:t>
      </w:r>
      <w:r>
        <w:rPr>
          <w:rFonts w:hint="eastAsia" w:ascii="Times New Roman" w:hAnsi="Times New Roman" w:cs="Times New Roman"/>
          <w:b/>
          <w:sz w:val="28"/>
          <w:szCs w:val="28"/>
          <w:lang w:val="en-US" w:eastAsia="zh-CN"/>
        </w:rPr>
        <w:t>4</w:t>
      </w:r>
      <w:r>
        <w:rPr>
          <w:rFonts w:hint="default" w:ascii="Times New Roman" w:hAnsi="Times New Roman" w:eastAsia="宋体" w:cs="Times New Roman"/>
          <w:b/>
          <w:sz w:val="28"/>
          <w:szCs w:val="28"/>
        </w:rPr>
        <w:t>月</w:t>
      </w:r>
    </w:p>
    <w:p w14:paraId="34CAF38A">
      <w:pPr>
        <w:jc w:val="center"/>
        <w:rPr>
          <w:rFonts w:hint="default" w:ascii="Times New Roman" w:hAnsi="Times New Roman" w:eastAsia="宋体" w:cs="Times New Roman"/>
          <w:b/>
          <w:sz w:val="24"/>
        </w:rPr>
      </w:pPr>
      <w:r>
        <w:rPr>
          <w:rFonts w:hint="default" w:ascii="Times New Roman" w:hAnsi="Times New Roman" w:eastAsia="宋体" w:cs="Times New Roman"/>
          <w:b/>
          <w:sz w:val="24"/>
        </w:rPr>
        <w:t>目 录</w:t>
      </w:r>
    </w:p>
    <w:p w14:paraId="3EA3FBC3">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32"/>
        </w:rPr>
        <w:t>1概 述</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w:t>
      </w:r>
    </w:p>
    <w:p w14:paraId="5FF54B72">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1"/>
        </w:rPr>
        <w:t>1.1项目概述</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w:t>
      </w:r>
    </w:p>
    <w:p w14:paraId="4C2C2404">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1"/>
        </w:rPr>
        <w:t>1.2项目建设背景及由来</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w:t>
      </w:r>
    </w:p>
    <w:p w14:paraId="38534904">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1"/>
        </w:rPr>
        <w:t>1.3环境影响评价工作过程</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4</w:t>
      </w:r>
    </w:p>
    <w:p w14:paraId="035CFF2D">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1"/>
        </w:rPr>
        <w:t>1.4分析判定相关情况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7</w:t>
      </w:r>
    </w:p>
    <w:p w14:paraId="2B5C408C">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4"/>
        </w:rPr>
        <w:t>1.5与其他相关政策法规相符性分析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9</w:t>
      </w:r>
    </w:p>
    <w:p w14:paraId="09B1BEA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4"/>
        </w:rPr>
        <w:t>1.5 选址与总平面布局合理性分析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24</w:t>
      </w:r>
    </w:p>
    <w:p w14:paraId="65964AED">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1"/>
        </w:rPr>
        <w:t>1.6本项目重点关注的主要环境问题及环境影响</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26</w:t>
      </w:r>
    </w:p>
    <w:p w14:paraId="12106C30">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1"/>
        </w:rPr>
        <w:t>1.7建设项目特点</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26</w:t>
      </w:r>
    </w:p>
    <w:p w14:paraId="410FD821">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1"/>
        </w:rPr>
        <w:t>1.8环境影响报告书主要结论</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27</w:t>
      </w:r>
    </w:p>
    <w:p w14:paraId="46D6A063">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8"/>
        </w:rPr>
        <w:t>2总则</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w:t>
      </w:r>
    </w:p>
    <w:p w14:paraId="698B807B">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2.1编制依据</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w:t>
      </w:r>
    </w:p>
    <w:p w14:paraId="6921F27F">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2.2评价内容及评价工作重点</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33</w:t>
      </w:r>
    </w:p>
    <w:p w14:paraId="54CD4949">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2.3评价工作等级和范围</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34</w:t>
      </w:r>
    </w:p>
    <w:p w14:paraId="039ED811">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2.4评价标准</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38</w:t>
      </w:r>
    </w:p>
    <w:p w14:paraId="6C26F243">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2.5环境影响因素识别和评价因子筛选</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44</w:t>
      </w:r>
    </w:p>
    <w:p w14:paraId="0D67595F">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2.6环境保护目标</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46</w:t>
      </w:r>
    </w:p>
    <w:p w14:paraId="3F32EC55">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3现有工程概况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49</w:t>
      </w:r>
    </w:p>
    <w:p w14:paraId="727E4211">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3.1现有工程基本情况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49</w:t>
      </w:r>
    </w:p>
    <w:p w14:paraId="047DF73F">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3.2现有工程地理位置及周边关系</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49</w:t>
      </w:r>
    </w:p>
    <w:p w14:paraId="707A7AFE">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3.3现有工程建设内容及规模</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49</w:t>
      </w:r>
    </w:p>
    <w:p w14:paraId="1555D4FB">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3.4现有工程的环保措施情况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64</w:t>
      </w:r>
    </w:p>
    <w:p w14:paraId="44C2A63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3.5现有工程的污染物排放情况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77</w:t>
      </w:r>
    </w:p>
    <w:p w14:paraId="312C620D">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3.6现有工程环评批复落实情况及竣工环保验收情况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78</w:t>
      </w:r>
    </w:p>
    <w:p w14:paraId="61EC17FB">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3.7现有工程环保措施汇总及需要整改的措施</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78</w:t>
      </w:r>
    </w:p>
    <w:p w14:paraId="3B1B5343">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3.8现有工程环保投诉及纠纷</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80</w:t>
      </w:r>
    </w:p>
    <w:p w14:paraId="194D271D">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3.</w:t>
      </w:r>
      <w:r>
        <w:rPr>
          <w:rFonts w:hint="default" w:ascii="Times New Roman" w:hAnsi="Times New Roman" w:eastAsia="宋体" w:cs="Times New Roman"/>
          <w:kern w:val="0"/>
          <w:sz w:val="24"/>
          <w:szCs w:val="24"/>
          <w:lang w:val="en-US" w:eastAsia="zh-CN"/>
        </w:rPr>
        <w:t>9</w:t>
      </w:r>
      <w:r>
        <w:rPr>
          <w:rFonts w:hint="default" w:ascii="Times New Roman" w:hAnsi="Times New Roman" w:eastAsia="宋体" w:cs="Times New Roman"/>
          <w:kern w:val="0"/>
          <w:sz w:val="24"/>
          <w:szCs w:val="24"/>
        </w:rPr>
        <w:t>现有工程搬迁相关情况说明</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80</w:t>
      </w:r>
    </w:p>
    <w:p w14:paraId="75E0DC46">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4扩建项目概况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83</w:t>
      </w:r>
    </w:p>
    <w:p w14:paraId="58680215">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4.1</w:t>
      </w:r>
      <w:r>
        <w:rPr>
          <w:rFonts w:hint="default" w:ascii="Times New Roman" w:hAnsi="Times New Roman" w:eastAsia="宋体" w:cs="Times New Roman"/>
          <w:sz w:val="24"/>
          <w:szCs w:val="21"/>
        </w:rPr>
        <w:t>项目</w:t>
      </w:r>
      <w:r>
        <w:rPr>
          <w:rFonts w:hint="default" w:ascii="Times New Roman" w:hAnsi="Times New Roman" w:eastAsia="宋体" w:cs="Times New Roman"/>
          <w:sz w:val="24"/>
          <w:szCs w:val="21"/>
          <w:lang w:val="en-US" w:eastAsia="zh-CN"/>
        </w:rPr>
        <w:t>基本情况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83</w:t>
      </w:r>
    </w:p>
    <w:p w14:paraId="77F68BA5">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4.2</w:t>
      </w:r>
      <w:r>
        <w:rPr>
          <w:rFonts w:hint="default" w:ascii="Times New Roman" w:hAnsi="Times New Roman" w:eastAsia="宋体" w:cs="Times New Roman"/>
          <w:sz w:val="24"/>
          <w:szCs w:val="21"/>
        </w:rPr>
        <w:t>主要建设内容</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85</w:t>
      </w:r>
    </w:p>
    <w:p w14:paraId="6B4A61D8">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4.3</w:t>
      </w:r>
      <w:r>
        <w:rPr>
          <w:rFonts w:hint="default" w:ascii="Times New Roman" w:hAnsi="Times New Roman" w:eastAsia="宋体" w:cs="Times New Roman"/>
          <w:kern w:val="0"/>
          <w:sz w:val="24"/>
          <w:szCs w:val="21"/>
        </w:rPr>
        <w:t>扩建后</w:t>
      </w:r>
      <w:r>
        <w:rPr>
          <w:rFonts w:hint="default" w:ascii="Times New Roman" w:hAnsi="Times New Roman" w:eastAsia="宋体" w:cs="Times New Roman"/>
          <w:sz w:val="24"/>
          <w:szCs w:val="21"/>
        </w:rPr>
        <w:t>项目综合利用方案及产品方案</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88</w:t>
      </w:r>
    </w:p>
    <w:p w14:paraId="662965A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4.4</w:t>
      </w:r>
      <w:r>
        <w:rPr>
          <w:rFonts w:hint="default" w:ascii="Times New Roman" w:hAnsi="Times New Roman" w:eastAsia="宋体" w:cs="Times New Roman"/>
          <w:kern w:val="0"/>
          <w:sz w:val="24"/>
          <w:szCs w:val="21"/>
        </w:rPr>
        <w:t>扩建</w:t>
      </w:r>
      <w:r>
        <w:rPr>
          <w:rFonts w:hint="default" w:ascii="Times New Roman" w:hAnsi="Times New Roman" w:eastAsia="宋体" w:cs="Times New Roman"/>
          <w:sz w:val="24"/>
          <w:szCs w:val="21"/>
        </w:rPr>
        <w:t>项目主要生产设备</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102</w:t>
      </w:r>
    </w:p>
    <w:p w14:paraId="6B2AA798">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4.5</w:t>
      </w:r>
      <w:r>
        <w:rPr>
          <w:rFonts w:hint="default" w:ascii="Times New Roman" w:hAnsi="Times New Roman" w:eastAsia="宋体" w:cs="Times New Roman"/>
          <w:kern w:val="0"/>
          <w:sz w:val="24"/>
          <w:szCs w:val="21"/>
        </w:rPr>
        <w:t>扩建</w:t>
      </w:r>
      <w:r>
        <w:rPr>
          <w:rFonts w:hint="default" w:ascii="Times New Roman" w:hAnsi="Times New Roman" w:eastAsia="宋体" w:cs="Times New Roman"/>
          <w:sz w:val="24"/>
          <w:szCs w:val="21"/>
        </w:rPr>
        <w:t>项目主要原辅材料</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104</w:t>
      </w:r>
    </w:p>
    <w:p w14:paraId="617576CC">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4.6</w:t>
      </w:r>
      <w:r>
        <w:rPr>
          <w:rFonts w:hint="default" w:ascii="Times New Roman" w:hAnsi="Times New Roman" w:eastAsia="宋体" w:cs="Times New Roman"/>
          <w:kern w:val="0"/>
          <w:sz w:val="24"/>
          <w:szCs w:val="21"/>
        </w:rPr>
        <w:t>扩建项目</w:t>
      </w:r>
      <w:r>
        <w:rPr>
          <w:rFonts w:hint="default" w:ascii="Times New Roman" w:hAnsi="Times New Roman" w:eastAsia="宋体" w:cs="Times New Roman"/>
          <w:sz w:val="24"/>
          <w:szCs w:val="21"/>
        </w:rPr>
        <w:t>收运与贮存工程</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111</w:t>
      </w:r>
    </w:p>
    <w:p w14:paraId="636AC55F">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4.7</w:t>
      </w:r>
      <w:r>
        <w:rPr>
          <w:rFonts w:hint="default" w:ascii="Times New Roman" w:hAnsi="Times New Roman" w:eastAsia="宋体" w:cs="Times New Roman"/>
          <w:sz w:val="24"/>
          <w:szCs w:val="21"/>
        </w:rPr>
        <w:t>给排水</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114</w:t>
      </w:r>
    </w:p>
    <w:p w14:paraId="1BFB11FF">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4.8</w:t>
      </w:r>
      <w:r>
        <w:rPr>
          <w:rFonts w:hint="default" w:ascii="Times New Roman" w:hAnsi="Times New Roman" w:eastAsia="宋体" w:cs="Times New Roman"/>
          <w:sz w:val="24"/>
          <w:szCs w:val="21"/>
        </w:rPr>
        <w:t>总平面布置</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114</w:t>
      </w:r>
    </w:p>
    <w:p w14:paraId="0602C68A">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4.9</w:t>
      </w:r>
      <w:r>
        <w:rPr>
          <w:rFonts w:hint="default" w:ascii="Times New Roman" w:hAnsi="Times New Roman" w:eastAsia="宋体" w:cs="Times New Roman"/>
          <w:sz w:val="24"/>
          <w:szCs w:val="21"/>
        </w:rPr>
        <w:t>劳动定员及生产制度</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115</w:t>
      </w:r>
    </w:p>
    <w:p w14:paraId="211AD8D6">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5工程分析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116</w:t>
      </w:r>
    </w:p>
    <w:p w14:paraId="3ADB89E8">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5.1生产</w:t>
      </w:r>
      <w:r>
        <w:rPr>
          <w:rFonts w:hint="default" w:ascii="Times New Roman" w:hAnsi="Times New Roman" w:eastAsia="宋体" w:cs="Times New Roman"/>
          <w:sz w:val="24"/>
          <w:szCs w:val="21"/>
        </w:rPr>
        <w:t>工艺分析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116</w:t>
      </w:r>
    </w:p>
    <w:p w14:paraId="36089D74">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5.2产排污环节</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124</w:t>
      </w:r>
    </w:p>
    <w:p w14:paraId="22B3E66E">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5.3物料平衡</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126</w:t>
      </w:r>
    </w:p>
    <w:p w14:paraId="2BC49AFC">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highlight w:val="none"/>
        </w:rPr>
        <w:t>5.4水平衡</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126</w:t>
      </w:r>
    </w:p>
    <w:p w14:paraId="0A203079">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5.5污染源源强核算</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127</w:t>
      </w:r>
    </w:p>
    <w:p w14:paraId="7A032A7D">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5.6非正常工况污染源源强核算</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145</w:t>
      </w:r>
    </w:p>
    <w:p w14:paraId="0F36721D">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5.7全厂</w:t>
      </w:r>
      <w:r>
        <w:rPr>
          <w:rFonts w:hint="default" w:ascii="Times New Roman" w:hAnsi="Times New Roman" w:eastAsia="宋体" w:cs="Times New Roman"/>
          <w:kern w:val="0"/>
          <w:sz w:val="24"/>
          <w:szCs w:val="24"/>
          <w:lang w:val="en-US" w:eastAsia="zh-CN"/>
        </w:rPr>
        <w:t>搬迁扩建前后</w:t>
      </w:r>
      <w:r>
        <w:rPr>
          <w:rFonts w:hint="default" w:ascii="Times New Roman" w:hAnsi="Times New Roman" w:eastAsia="宋体" w:cs="Times New Roman"/>
          <w:kern w:val="0"/>
          <w:sz w:val="24"/>
          <w:szCs w:val="24"/>
        </w:rPr>
        <w:t>“三本账”分析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145</w:t>
      </w:r>
    </w:p>
    <w:p w14:paraId="4C0A2B05">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6环境现状调查与评价</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147</w:t>
      </w:r>
    </w:p>
    <w:p w14:paraId="387E4E8F">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6.1自然环境概况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147</w:t>
      </w:r>
    </w:p>
    <w:p w14:paraId="0B6884A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6.2松木经开区概况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150</w:t>
      </w:r>
    </w:p>
    <w:p w14:paraId="6EED429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6.3</w:t>
      </w:r>
      <w:r>
        <w:rPr>
          <w:rFonts w:hint="default" w:ascii="Times New Roman" w:hAnsi="Times New Roman" w:eastAsia="宋体" w:cs="Times New Roman"/>
          <w:sz w:val="24"/>
          <w:szCs w:val="24"/>
        </w:rPr>
        <w:t>区域污染源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156</w:t>
      </w:r>
    </w:p>
    <w:p w14:paraId="28BAA8DA">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6.4环境现状调查</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182</w:t>
      </w:r>
    </w:p>
    <w:p w14:paraId="06EE7F97">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7环境影响预测与评价</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203</w:t>
      </w:r>
    </w:p>
    <w:p w14:paraId="34B6222E">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7.1施工期环境影响分析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203</w:t>
      </w:r>
    </w:p>
    <w:p w14:paraId="3D1AE0E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7.2营运期环境空气影响分析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210</w:t>
      </w:r>
    </w:p>
    <w:p w14:paraId="72B13EBE">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7.3地表水环境影响分析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217</w:t>
      </w:r>
    </w:p>
    <w:p w14:paraId="7B838A8C">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7.4声环境影响分析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221</w:t>
      </w:r>
    </w:p>
    <w:p w14:paraId="0E0E0F0A">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7.5固废影响分析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224</w:t>
      </w:r>
    </w:p>
    <w:p w14:paraId="295A9B5A">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7.6地下水环境影响分析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226</w:t>
      </w:r>
    </w:p>
    <w:p w14:paraId="1254CD8A">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7.7土壤环境影响分析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237</w:t>
      </w:r>
    </w:p>
    <w:p w14:paraId="30AAD6C2">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0"/>
          <w:sz w:val="24"/>
          <w:szCs w:val="24"/>
        </w:rPr>
        <w:t>7.8生态环境影响分析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242</w:t>
      </w:r>
    </w:p>
    <w:p w14:paraId="05C95207">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7.9碳排放评价</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242</w:t>
      </w:r>
    </w:p>
    <w:p w14:paraId="1F50F8CD">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8环境保护措施及可行性分析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245</w:t>
      </w:r>
    </w:p>
    <w:p w14:paraId="17BD46CA">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8.1废气治理措施可行性</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245</w:t>
      </w:r>
    </w:p>
    <w:p w14:paraId="132FD071">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8.2废水治理措施可行性</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252</w:t>
      </w:r>
    </w:p>
    <w:p w14:paraId="201B686A">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8.3噪声治理措施可行性</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256</w:t>
      </w:r>
    </w:p>
    <w:p w14:paraId="350A212E">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8.4固废治理措施可行性</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257</w:t>
      </w:r>
    </w:p>
    <w:p w14:paraId="548EBC2E">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8.5地下水污染防治措施</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261</w:t>
      </w:r>
    </w:p>
    <w:p w14:paraId="618728D8">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8.6土壤污染防治措施</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268</w:t>
      </w:r>
    </w:p>
    <w:p w14:paraId="4E24FAFB">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8.7“以新带老”污染防治措施</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270</w:t>
      </w:r>
    </w:p>
    <w:p w14:paraId="1B48E306">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9环境风险评价</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271</w:t>
      </w:r>
    </w:p>
    <w:p w14:paraId="0DBCA7E2">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9.1总则</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271</w:t>
      </w:r>
    </w:p>
    <w:p w14:paraId="41B2F352">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9.2风险调查</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273</w:t>
      </w:r>
    </w:p>
    <w:p w14:paraId="7D40A453">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9.3环境风险潜势初判</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273</w:t>
      </w:r>
    </w:p>
    <w:p w14:paraId="025C7F70">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9.4环境风险识别</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279</w:t>
      </w:r>
    </w:p>
    <w:p w14:paraId="660198FA">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9.5环境风险分析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282</w:t>
      </w:r>
    </w:p>
    <w:p w14:paraId="79371138">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9.6环境风险分析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287</w:t>
      </w:r>
    </w:p>
    <w:p w14:paraId="2F96056B">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9.7环境风险评价结论</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295</w:t>
      </w:r>
    </w:p>
    <w:p w14:paraId="55047587">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10总量控制</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296</w:t>
      </w:r>
    </w:p>
    <w:p w14:paraId="72427EF0">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44"/>
          <w:sz w:val="24"/>
          <w:szCs w:val="21"/>
        </w:rPr>
        <w:t>10.1总量控制要求</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296</w:t>
      </w:r>
    </w:p>
    <w:p w14:paraId="111E2A3F">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44"/>
          <w:sz w:val="24"/>
          <w:szCs w:val="21"/>
        </w:rPr>
        <w:t>10.2总量控制原则</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296</w:t>
      </w:r>
    </w:p>
    <w:p w14:paraId="77B18619">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kern w:val="44"/>
          <w:sz w:val="24"/>
          <w:szCs w:val="21"/>
        </w:rPr>
        <w:t>10.3总量控制因子的确定</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296</w:t>
      </w:r>
    </w:p>
    <w:p w14:paraId="3855723B">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11环境管理与监测计划</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297</w:t>
      </w:r>
    </w:p>
    <w:p w14:paraId="680DFA91">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11.1环境管理</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297</w:t>
      </w:r>
    </w:p>
    <w:p w14:paraId="3979C740">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11.2环境监测计划</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299</w:t>
      </w:r>
    </w:p>
    <w:p w14:paraId="5D5089F2">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11.3排污口规范化设置</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302</w:t>
      </w:r>
    </w:p>
    <w:p w14:paraId="6117673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11.4项目竣工环保设施验收清单</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304</w:t>
      </w:r>
    </w:p>
    <w:p w14:paraId="3C74724D">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12环境影响经济损益分析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307</w:t>
      </w:r>
    </w:p>
    <w:p w14:paraId="207D60F7">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12.1环境效益</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307</w:t>
      </w:r>
    </w:p>
    <w:p w14:paraId="49E9318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12.2社会效益</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307</w:t>
      </w:r>
    </w:p>
    <w:p w14:paraId="6CA5BA40">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12.3环境经济效益分析</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307</w:t>
      </w:r>
    </w:p>
    <w:p w14:paraId="2CA910FD">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12.4小结</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308</w:t>
      </w:r>
    </w:p>
    <w:p w14:paraId="512D3871">
      <w:pPr>
        <w:pStyle w:val="22"/>
        <w:keepNext w:val="0"/>
        <w:keepLines w:val="0"/>
        <w:pageBreakBefore w:val="0"/>
        <w:widowControl w:val="0"/>
        <w:tabs>
          <w:tab w:val="right" w:leader="dot" w:pos="830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13结论与建议</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309</w:t>
      </w:r>
    </w:p>
    <w:p w14:paraId="5B736C17">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13.1项目概况</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309</w:t>
      </w:r>
    </w:p>
    <w:p w14:paraId="449E4C7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13.2环境质量现状</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309</w:t>
      </w:r>
    </w:p>
    <w:p w14:paraId="365EA586">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13.3环境影响预测及评价</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310</w:t>
      </w:r>
    </w:p>
    <w:p w14:paraId="24C6C54D">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13.4环境风险评价</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311</w:t>
      </w:r>
    </w:p>
    <w:p w14:paraId="0CCF452E">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13.5总量控制</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311</w:t>
      </w:r>
    </w:p>
    <w:p w14:paraId="488D20F5">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13.6公众参与</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312</w:t>
      </w:r>
    </w:p>
    <w:p w14:paraId="166EB6B9">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13.7评价结论</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312</w:t>
      </w:r>
    </w:p>
    <w:p w14:paraId="4C60DF95">
      <w:pPr>
        <w:pStyle w:val="26"/>
        <w:keepNext w:val="0"/>
        <w:keepLines w:val="0"/>
        <w:pageBreakBefore w:val="0"/>
        <w:widowControl w:val="0"/>
        <w:tabs>
          <w:tab w:val="right" w:leader="dot" w:pos="8306"/>
          <w:tab w:val="clear" w:pos="8296"/>
        </w:tabs>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13.8建议与要求</w:t>
      </w:r>
      <w:r>
        <w:rPr>
          <w:rFonts w:hint="default" w:ascii="Times New Roman" w:hAnsi="Times New Roman" w:eastAsia="宋体" w:cs="Times New Roman"/>
          <w:sz w:val="24"/>
          <w:szCs w:val="21"/>
        </w:rPr>
        <w:tab/>
      </w:r>
      <w:r>
        <w:rPr>
          <w:rFonts w:hint="default" w:ascii="Times New Roman" w:hAnsi="Times New Roman" w:eastAsia="宋体" w:cs="Times New Roman"/>
          <w:sz w:val="24"/>
          <w:szCs w:val="21"/>
        </w:rPr>
        <w:t>312</w:t>
      </w:r>
    </w:p>
    <w:p w14:paraId="1794667D">
      <w:pPr>
        <w:keepNext w:val="0"/>
        <w:keepLines w:val="0"/>
        <w:pageBreakBefore w:val="0"/>
        <w:widowControl w:val="0"/>
        <w:kinsoku/>
        <w:wordWrap/>
        <w:overflowPunct/>
        <w:topLinePunct w:val="0"/>
        <w:autoSpaceDE/>
        <w:autoSpaceDN/>
        <w:bidi w:val="0"/>
        <w:adjustRightInd/>
        <w:snapToGrid/>
        <w:spacing w:line="240" w:lineRule="auto"/>
        <w:ind w:firstLine="1470" w:firstLineChars="700"/>
        <w:textAlignment w:val="auto"/>
        <w:rPr>
          <w:rFonts w:hint="default" w:ascii="Times New Roman" w:hAnsi="Times New Roman" w:eastAsia="宋体" w:cs="Times New Roma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FD1D936">
      <w:pPr>
        <w:pStyle w:val="2"/>
        <w:snapToGrid w:val="0"/>
        <w:spacing w:before="0" w:after="0" w:line="360" w:lineRule="auto"/>
        <w:jc w:val="center"/>
        <w:rPr>
          <w:rFonts w:hint="default" w:ascii="Times New Roman" w:hAnsi="Times New Roman" w:eastAsia="宋体" w:cs="Times New Roman"/>
          <w:sz w:val="36"/>
          <w:szCs w:val="36"/>
        </w:rPr>
      </w:pPr>
      <w:bookmarkStart w:id="0" w:name="_Toc106961856"/>
      <w:bookmarkStart w:id="1" w:name="_Toc123733061"/>
      <w:bookmarkStart w:id="2" w:name="_Toc9232"/>
      <w:r>
        <w:rPr>
          <w:rFonts w:hint="default" w:ascii="Times New Roman" w:hAnsi="Times New Roman" w:eastAsia="宋体" w:cs="Times New Roman"/>
          <w:sz w:val="36"/>
          <w:szCs w:val="36"/>
        </w:rPr>
        <w:t>1</w:t>
      </w:r>
      <w:bookmarkEnd w:id="0"/>
      <w:r>
        <w:rPr>
          <w:rFonts w:hint="default" w:ascii="Times New Roman" w:hAnsi="Times New Roman" w:eastAsia="宋体" w:cs="Times New Roman"/>
          <w:sz w:val="36"/>
          <w:szCs w:val="36"/>
        </w:rPr>
        <w:t>概 述</w:t>
      </w:r>
      <w:bookmarkEnd w:id="1"/>
      <w:bookmarkEnd w:id="2"/>
    </w:p>
    <w:p w14:paraId="697CB656">
      <w:pPr>
        <w:pStyle w:val="3"/>
        <w:spacing w:before="0" w:after="0" w:line="360" w:lineRule="auto"/>
        <w:rPr>
          <w:rFonts w:hint="default" w:ascii="Times New Roman" w:hAnsi="Times New Roman" w:eastAsia="宋体" w:cs="Times New Roman"/>
          <w:kern w:val="0"/>
        </w:rPr>
      </w:pPr>
      <w:bookmarkStart w:id="3" w:name="_Toc3908017"/>
      <w:bookmarkStart w:id="4" w:name="_Toc47447231"/>
      <w:bookmarkStart w:id="5" w:name="_Toc23842875"/>
      <w:bookmarkStart w:id="6" w:name="_Toc17024327"/>
      <w:bookmarkStart w:id="7" w:name="_Toc50968503"/>
      <w:bookmarkStart w:id="8" w:name="_Toc8400283"/>
      <w:bookmarkStart w:id="9" w:name="_Toc123733062"/>
      <w:bookmarkStart w:id="10" w:name="_Toc106961857"/>
      <w:bookmarkStart w:id="11" w:name="_Toc39909195"/>
      <w:bookmarkStart w:id="12" w:name="_Toc87016960"/>
      <w:bookmarkStart w:id="13" w:name="_Toc61361928"/>
      <w:bookmarkStart w:id="14" w:name="_Toc1170"/>
      <w:bookmarkStart w:id="15" w:name="_Toc57726485"/>
      <w:bookmarkStart w:id="16" w:name="_Toc67561698"/>
      <w:r>
        <w:rPr>
          <w:rFonts w:hint="default" w:ascii="Times New Roman" w:hAnsi="Times New Roman" w:eastAsia="宋体" w:cs="Times New Roman"/>
          <w:kern w:val="0"/>
        </w:rPr>
        <w:t>1.1项目概述</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27D3357C">
      <w:pPr>
        <w:spacing w:line="360" w:lineRule="auto"/>
        <w:ind w:left="1410" w:leftChars="100" w:hanging="1200" w:hangingChars="500"/>
        <w:rPr>
          <w:rFonts w:hint="default" w:ascii="Times New Roman" w:hAnsi="Times New Roman" w:eastAsia="宋体" w:cs="Times New Roman"/>
          <w:sz w:val="24"/>
          <w:szCs w:val="24"/>
        </w:rPr>
      </w:pPr>
      <w:bookmarkStart w:id="17" w:name="_Hlk127451010"/>
      <w:r>
        <w:rPr>
          <w:rFonts w:hint="default" w:ascii="Times New Roman" w:hAnsi="Times New Roman" w:eastAsia="宋体" w:cs="Times New Roman"/>
          <w:sz w:val="24"/>
          <w:szCs w:val="24"/>
        </w:rPr>
        <w:t>项目名称：</w:t>
      </w:r>
      <w:bookmarkStart w:id="18" w:name="_Hlk127450924"/>
      <w:r>
        <w:rPr>
          <w:rFonts w:hint="default" w:ascii="Times New Roman" w:hAnsi="Times New Roman" w:eastAsia="宋体" w:cs="Times New Roman"/>
          <w:sz w:val="24"/>
          <w:szCs w:val="24"/>
        </w:rPr>
        <w:t>松木经开区循环经济产业基地项目废旧金属塑料危险废物</w:t>
      </w:r>
    </w:p>
    <w:p w14:paraId="428A4D7B">
      <w:pPr>
        <w:spacing w:line="360" w:lineRule="auto"/>
        <w:ind w:left="1260" w:leftChars="600"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综合利用子项目</w:t>
      </w:r>
    </w:p>
    <w:bookmarkEnd w:id="18"/>
    <w:p w14:paraId="0DBC9731">
      <w:pPr>
        <w:spacing w:line="360"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w:t>
      </w:r>
      <w:bookmarkStart w:id="19" w:name="_Hlk127450932"/>
      <w:r>
        <w:rPr>
          <w:rFonts w:hint="default" w:ascii="Times New Roman" w:hAnsi="Times New Roman" w:eastAsia="宋体" w:cs="Times New Roman"/>
          <w:sz w:val="24"/>
        </w:rPr>
        <w:t>湖南湘蓝再生资源利用有限公司</w:t>
      </w:r>
      <w:bookmarkEnd w:id="19"/>
    </w:p>
    <w:p w14:paraId="654BC27A">
      <w:pPr>
        <w:spacing w:line="360" w:lineRule="auto"/>
        <w:ind w:firstLine="240" w:firstLineChars="1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建设性质：</w:t>
      </w:r>
      <w:r>
        <w:rPr>
          <w:rFonts w:hint="default" w:ascii="Times New Roman" w:hAnsi="Times New Roman" w:eastAsia="宋体" w:cs="Times New Roman"/>
          <w:sz w:val="24"/>
          <w:szCs w:val="24"/>
          <w:lang w:val="en-US" w:eastAsia="zh-CN"/>
        </w:rPr>
        <w:t>迁建+</w:t>
      </w:r>
      <w:r>
        <w:rPr>
          <w:rFonts w:hint="default" w:ascii="Times New Roman" w:hAnsi="Times New Roman" w:eastAsia="宋体" w:cs="Times New Roman"/>
          <w:sz w:val="24"/>
          <w:szCs w:val="24"/>
        </w:rPr>
        <w:t>扩建</w:t>
      </w:r>
    </w:p>
    <w:p w14:paraId="7E0E1ADD">
      <w:pPr>
        <w:spacing w:line="360" w:lineRule="auto"/>
        <w:ind w:firstLine="240" w:firstLineChars="100"/>
        <w:rPr>
          <w:rFonts w:hint="default" w:ascii="Times New Roman" w:hAnsi="Times New Roman" w:eastAsia="宋体" w:cs="Times New Roman"/>
        </w:rPr>
      </w:pPr>
      <w:r>
        <w:rPr>
          <w:rFonts w:hint="default" w:ascii="Times New Roman" w:hAnsi="Times New Roman" w:eastAsia="宋体" w:cs="Times New Roman"/>
          <w:sz w:val="24"/>
          <w:szCs w:val="24"/>
        </w:rPr>
        <w:t>建设地点：</w:t>
      </w:r>
      <w:r>
        <w:rPr>
          <w:rFonts w:hint="default" w:ascii="Times New Roman" w:hAnsi="Times New Roman" w:eastAsia="宋体" w:cs="Times New Roman"/>
          <w:color w:val="000000"/>
          <w:sz w:val="24"/>
        </w:rPr>
        <w:t>衡阳市松木工业园废旧物资循环利用产业园</w:t>
      </w:r>
      <w:r>
        <w:rPr>
          <w:rFonts w:hint="default" w:ascii="Times New Roman" w:hAnsi="Times New Roman" w:eastAsia="宋体" w:cs="Times New Roman"/>
          <w:sz w:val="24"/>
          <w:szCs w:val="21"/>
        </w:rPr>
        <w:t>化工路</w:t>
      </w:r>
    </w:p>
    <w:bookmarkEnd w:id="17"/>
    <w:p w14:paraId="65E4640E">
      <w:pPr>
        <w:pStyle w:val="3"/>
        <w:spacing w:before="0" w:after="0" w:line="360" w:lineRule="auto"/>
        <w:rPr>
          <w:rFonts w:hint="default" w:ascii="Times New Roman" w:hAnsi="Times New Roman" w:eastAsia="宋体" w:cs="Times New Roman"/>
          <w:kern w:val="0"/>
        </w:rPr>
      </w:pPr>
      <w:bookmarkStart w:id="20" w:name="_Toc8400284"/>
      <w:bookmarkStart w:id="21" w:name="_Toc23842876"/>
      <w:bookmarkStart w:id="22" w:name="_Toc87016961"/>
      <w:bookmarkStart w:id="23" w:name="_Toc57726486"/>
      <w:bookmarkStart w:id="24" w:name="_Toc4701"/>
      <w:bookmarkStart w:id="25" w:name="_Toc50968504"/>
      <w:bookmarkStart w:id="26" w:name="_Toc17024328"/>
      <w:bookmarkStart w:id="27" w:name="_Toc3908018"/>
      <w:bookmarkStart w:id="28" w:name="_Toc39909196"/>
      <w:bookmarkStart w:id="29" w:name="_Toc47447232"/>
      <w:bookmarkStart w:id="30" w:name="_Toc123733063"/>
      <w:bookmarkStart w:id="31" w:name="_Toc67561699"/>
      <w:bookmarkStart w:id="32" w:name="_Toc61361929"/>
      <w:bookmarkStart w:id="33" w:name="_Toc106961858"/>
      <w:r>
        <w:rPr>
          <w:rFonts w:hint="default" w:ascii="Times New Roman" w:hAnsi="Times New Roman" w:eastAsia="宋体" w:cs="Times New Roman"/>
          <w:kern w:val="0"/>
        </w:rPr>
        <w:t>1.2项目建设背景及由来</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50AF319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循环经济发展是强调资源循环利用、高效利用，提高废旧物资和再生资源利用率和回收再生率。当前，我国资源、能源有限，为保障国家资源安全，推动社会经济发展，大力发展循环经济已经成为必然的趋势，也是“十四五”发展时期中国社会经济发展的一项重要战略。发展循环经济不仅是打造资源再生循环型产业体系，更是加速推进“碳达峰、碳中和”共建和谐绿色自然生态环境的重要途径。在发展循环经济的过程中，废旧物资回收利用行业是其中重要的一个支撑点，废旧物资回收利用行业在中国已有数十年的高速发展，但仍处于行业优化阶段，我国废旧物资回收利用行业虽然发展迅速，但仍存在精细化分拣水平低、行业管理不规范、资源报价信息不对等、小厂回收导致环保问题等行业痛点，这也导致废旧物资与废旧资源的回收率、再生率对比欧美发达国家依然普遍偏低。</w:t>
      </w:r>
    </w:p>
    <w:p w14:paraId="4623C93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2022年1月，国家发展改革委等部门下发《关于加快废旧物资循环利用体系建设的指导意见》（发改环资〔2022〕109号），提出到2025年，废旧物资循环利用政策体系进一步完善，资源循环利用水平进一步提升。废旧物资回收网络体系基本建立，建成绿色分拣中心1000个以上。再生资源加工利用行业“散乱污”状况明显改观，集聚化、规模化、规范化、信息化水平大幅提升。废钢铁、废铜、废铝、废铅、废锌、废纸、废塑料、废橡胶、废玻璃等9种主要再生资源循环利用量达到4.5亿吨。二手商品流通秩序和交易行为更加规范，交易规模明显提升。60个左右大中城市率先建成基本完善的废旧物资循环利用体系。《意见》提出要加强废旧物资分拣中心规范建设。合理布局分拣中心，因地制宜新建和改造提升绿色分拣中心，落实环境保护、安全生产、产品质量、劳动保护等要求。分类推进综合型分拣中心和专业型分拣中心建设。综合型分拣中心要强化安全检测、分拣、打包、存储等处置功能，为生活源、商业源再生资源和生活垃圾分类后可回收物利用提供保障。专业型分拣中心要强化分选、剪切、破碎、清洗、打包、存储等处置功能。</w:t>
      </w:r>
    </w:p>
    <w:p w14:paraId="0E5E6B5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2022年11月湖南省政府印发《湖南省碳达峰实施方案》（湘政发〔2022〕19号），提出要构建资源循环利用体系。加强废旧物资回收基础设施规划建设，完善城市废旧物资回收分拣硬件水平。推行生产企业“逆向回收”和“互联网+”回收等模式，建立健全线上线下融合、流向可控的资源回收体系，实现再生资源应收尽收。高水平建设国家“城市矿产”示范基地，推动创建“无废园区”“无废城市”。加快建立再生原材料推广使用制度，拓展再生原材料市场应用渠道。推进废有色金属、废弃电器电子产品、报废机动车等集中处置和分类利用，加快发展退役动力电池、光伏组件、风电机组叶片等循环利用产业，提升再生资源利用行业清洁化和高值化水平。到2025年，废钢铁、废铜、废铝、废铅、废锌、废纸、废塑料、废橡胶、废玻璃等9种主要再生资源循环利用量达到1800万吨，到2030年达到2300万吨。</w:t>
      </w:r>
    </w:p>
    <w:p w14:paraId="6C81D71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衡阳是老工业基地、有色金属之乡，依托资源禀赋和人口优势，基本形成了水口山（废铜铅锌及废渣）、华菱钢管（废钢铁）、高诺（废铜）、新金龙（废纸）、诚本塑业（废塑料）、万鑫利（报废汽车）、雁翔湘（废玻璃）、金翼（废铅蓄电池）、富领（报废电动自行车）等龙头企业为引领的资源综合利用产业体系。其中废钢铁、废有色金属、废铅蓄电池的加工利用工艺及装备达到国内领先水平，近年吸引了一大批上下游产业链企业集聚化发展，进一步提升了废旧资源综合利用规模及水平。目前，衡阳市已形成加强废旧物资循环利用、发展循环经济、建设美丽新衡阳的基本共识，重点城市建设已有一定基础和成效。但与发达地区及省内其他两座重点城市（长沙、湘潭）比较，仍存在一定短板。全市经济社会发展与废旧物资回收利用还需进一步统筹协调，废旧物资回收利用体系有待健全，回收网点及设施布局有待均衡，分拣环节建设运营有待规范，废旧物资回收利用水平有待提升，低值可回收物回收利用难、再制造产业单一、再生资源税源流失等问题亟待解决。</w:t>
      </w:r>
    </w:p>
    <w:p w14:paraId="6F181A0F">
      <w:pPr>
        <w:spacing w:line="360" w:lineRule="auto"/>
        <w:ind w:firstLine="480" w:firstLineChars="200"/>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rPr>
        <w:t>2022年，国家发改委等七部委下发了《国家发展改革委办公厅等关于印发废旧物资循环利用体系建设重点城市名单的通知》（发改办环资〔2022〕649号），在全国确定了60个废旧物资循环利用体系建设重点城市，衡阳市成功入选废旧物资循环利用体系建设重点城市名单。按照衡阳市废旧物资循环利用体系示范城市建设实施方案要求，衡阳市在松木工业园规划设置了衡阳市废旧物资循环利用产业园。据初步测算，衡阳市机动车维修行业及工业企业产生的废油（漆）桶、废机油等废旧金属塑料危险废物不低于2万吨</w:t>
      </w:r>
      <w:r>
        <w:rPr>
          <w:rFonts w:hint="default" w:ascii="Times New Roman" w:hAnsi="Times New Roman" w:eastAsia="宋体" w:cs="Times New Roman"/>
          <w:sz w:val="24"/>
          <w:szCs w:val="24"/>
          <w:u w:val="single"/>
          <w:lang w:eastAsia="zh-CN"/>
        </w:rPr>
        <w:t>。</w:t>
      </w:r>
    </w:p>
    <w:p w14:paraId="4F4D52ED">
      <w:pPr>
        <w:spacing w:line="360" w:lineRule="auto"/>
        <w:ind w:firstLine="480" w:firstLineChars="200"/>
        <w:rPr>
          <w:rFonts w:hint="default" w:ascii="Times New Roman" w:hAnsi="Times New Roman" w:eastAsia="宋体" w:cs="Times New Roman"/>
          <w:sz w:val="24"/>
          <w:szCs w:val="28"/>
          <w:u w:val="single"/>
          <w:lang w:val="en-US" w:eastAsia="zh-CN"/>
        </w:rPr>
      </w:pPr>
      <w:r>
        <w:rPr>
          <w:rFonts w:hint="default" w:ascii="Times New Roman" w:hAnsi="Times New Roman" w:eastAsia="宋体" w:cs="Times New Roman"/>
          <w:sz w:val="24"/>
          <w:szCs w:val="28"/>
          <w:u w:val="single"/>
        </w:rPr>
        <w:t>根据《衡阳市生态环境局2022年度衡阳市固体废物污染防治信息公报》，衡阳市2022年全市工业危险废物产生量为75.11万吨，综合利用量为50.86万吨，处置量为21.56万吨，贮存量为2.69万吨。衡阳市工业危险废物来源较集中，主要集中在有色冶炼、无机盐制造、压延加工等行业，</w:t>
      </w:r>
      <w:r>
        <w:rPr>
          <w:rFonts w:hint="default" w:ascii="Times New Roman" w:hAnsi="Times New Roman" w:eastAsia="宋体" w:cs="Times New Roman"/>
          <w:sz w:val="24"/>
          <w:szCs w:val="28"/>
          <w:u w:val="single"/>
          <w:lang w:val="en-US" w:eastAsia="zh-CN"/>
        </w:rPr>
        <w:t>工业危险废物产生量较大，衡阳市内特别是松木经开区范围内的同时具备危险废物收集利用的单位较少，危险废物需转运至其他地区进行处置利用，危险废物收集利用的缺口仍然存在，松木经开区急需一家可同时满足危险废物收集利用的单位；根据衡阳市生态环境局松木分局2023年8月16日会议纪要：“根据湖南省生态环境厅文件湘[环发2022]62号文关于印发《湖南省小微企业危险废物收集试点工作方案》的文件要求，松木分局组织辖区内现有四家危险危废收集单位负责人对《湖南省小微企业危险废物收集试点工作方案》进行充分研究讨论，现形成一致意见，纪要如下：一、</w:t>
      </w:r>
      <w:r>
        <w:rPr>
          <w:rFonts w:hint="default" w:ascii="Times New Roman" w:hAnsi="Times New Roman" w:eastAsia="宋体" w:cs="Times New Roman"/>
          <w:color w:val="000000"/>
          <w:sz w:val="24"/>
          <w:szCs w:val="24"/>
          <w:u w:val="single"/>
        </w:rPr>
        <w:t>衡阳湘环环保科技有限公司</w:t>
      </w:r>
      <w:r>
        <w:rPr>
          <w:rFonts w:hint="default" w:ascii="Times New Roman" w:hAnsi="Times New Roman" w:eastAsia="宋体" w:cs="Times New Roman"/>
          <w:color w:val="000000"/>
          <w:sz w:val="24"/>
          <w:szCs w:val="24"/>
          <w:u w:val="single"/>
          <w:lang w:val="en-US" w:eastAsia="zh-CN"/>
        </w:rPr>
        <w:t>独立试点；····</w:t>
      </w:r>
      <w:r>
        <w:rPr>
          <w:rFonts w:hint="default" w:ascii="Times New Roman" w:hAnsi="Times New Roman" w:eastAsia="宋体" w:cs="Times New Roman"/>
          <w:sz w:val="24"/>
          <w:szCs w:val="28"/>
          <w:u w:val="single"/>
          <w:lang w:val="en-US" w:eastAsia="zh-CN"/>
        </w:rPr>
        <w:t>”，明确将</w:t>
      </w:r>
      <w:r>
        <w:rPr>
          <w:rFonts w:hint="default" w:ascii="Times New Roman" w:hAnsi="Times New Roman" w:eastAsia="宋体" w:cs="Times New Roman"/>
          <w:color w:val="000000"/>
          <w:sz w:val="24"/>
          <w:szCs w:val="24"/>
          <w:u w:val="single"/>
        </w:rPr>
        <w:t>衡阳湘环环保科技有限公司</w:t>
      </w:r>
      <w:r>
        <w:rPr>
          <w:rFonts w:hint="default" w:ascii="Times New Roman" w:hAnsi="Times New Roman" w:eastAsia="宋体" w:cs="Times New Roman"/>
          <w:color w:val="000000"/>
          <w:sz w:val="24"/>
          <w:szCs w:val="24"/>
          <w:u w:val="single"/>
          <w:lang w:val="en-US" w:eastAsia="zh-CN"/>
        </w:rPr>
        <w:t>作为松木经开区内独立试点的危险废物收集单位。</w:t>
      </w:r>
    </w:p>
    <w:p w14:paraId="77AA1BE6">
      <w:pPr>
        <w:spacing w:line="360" w:lineRule="auto"/>
        <w:ind w:firstLine="480" w:firstLineChars="200"/>
        <w:rPr>
          <w:rFonts w:hint="default" w:ascii="Times New Roman" w:hAnsi="Times New Roman" w:eastAsia="宋体" w:cs="Times New Roman"/>
          <w:sz w:val="24"/>
          <w:szCs w:val="28"/>
          <w:u w:val="single"/>
        </w:rPr>
      </w:pPr>
      <w:r>
        <w:rPr>
          <w:rFonts w:hint="default" w:ascii="Times New Roman" w:hAnsi="Times New Roman" w:eastAsia="宋体" w:cs="Times New Roman"/>
          <w:color w:val="000000"/>
          <w:sz w:val="24"/>
          <w:szCs w:val="24"/>
          <w:u w:val="single"/>
        </w:rPr>
        <w:t>衡阳湘环环保科技有限公司（与</w:t>
      </w:r>
      <w:r>
        <w:rPr>
          <w:rFonts w:hint="default" w:ascii="Times New Roman" w:hAnsi="Times New Roman" w:eastAsia="宋体" w:cs="Times New Roman"/>
          <w:sz w:val="24"/>
          <w:u w:val="single"/>
        </w:rPr>
        <w:t>湖南湘蓝再生资源利用有限公司股东相同</w:t>
      </w:r>
      <w:r>
        <w:rPr>
          <w:rFonts w:hint="default" w:ascii="Times New Roman" w:hAnsi="Times New Roman" w:eastAsia="宋体" w:cs="Times New Roman"/>
          <w:sz w:val="24"/>
          <w:u w:val="single"/>
          <w:lang w:eastAsia="zh-CN"/>
        </w:rPr>
        <w:t>，</w:t>
      </w:r>
      <w:r>
        <w:rPr>
          <w:rFonts w:hint="default" w:ascii="Times New Roman" w:hAnsi="Times New Roman" w:eastAsia="宋体" w:cs="Times New Roman"/>
          <w:sz w:val="24"/>
          <w:u w:val="single"/>
          <w:lang w:val="en-US" w:eastAsia="zh-CN"/>
        </w:rPr>
        <w:t>衡阳</w:t>
      </w:r>
      <w:r>
        <w:rPr>
          <w:rFonts w:hint="default" w:ascii="Times New Roman" w:hAnsi="Times New Roman" w:eastAsia="宋体" w:cs="Times New Roman"/>
          <w:color w:val="000000"/>
          <w:sz w:val="24"/>
          <w:szCs w:val="24"/>
          <w:u w:val="single"/>
        </w:rPr>
        <w:t>湘环环保科技有限公司</w:t>
      </w:r>
      <w:r>
        <w:rPr>
          <w:rFonts w:hint="default" w:ascii="Times New Roman" w:hAnsi="Times New Roman" w:eastAsia="宋体" w:cs="Times New Roman"/>
          <w:color w:val="000000"/>
          <w:sz w:val="24"/>
          <w:szCs w:val="24"/>
          <w:u w:val="single"/>
          <w:lang w:val="en-US" w:eastAsia="zh-CN"/>
        </w:rPr>
        <w:t>所有经营内容将全部移交给</w:t>
      </w:r>
      <w:r>
        <w:rPr>
          <w:rFonts w:hint="default" w:ascii="Times New Roman" w:hAnsi="Times New Roman" w:eastAsia="宋体" w:cs="Times New Roman"/>
          <w:sz w:val="24"/>
          <w:u w:val="single"/>
        </w:rPr>
        <w:t>湖南湘蓝再生资源利用有限公司</w:t>
      </w:r>
      <w:r>
        <w:rPr>
          <w:rFonts w:hint="default" w:ascii="Times New Roman" w:hAnsi="Times New Roman" w:eastAsia="宋体" w:cs="Times New Roman"/>
          <w:color w:val="000000"/>
          <w:sz w:val="24"/>
          <w:szCs w:val="24"/>
          <w:u w:val="single"/>
        </w:rPr>
        <w:t>）成立于2021年9月，公司于2022年4月投资500万元在湖南衡阳松木经济开发区金源路3号租赁衡阳市鑫鸿新材料有限公司的已建厂房建设了“年收集贮存9800吨危险废物项目”，收集贮存9800吨危险废物，其中包括废矿物油4000吨、</w:t>
      </w:r>
      <w:r>
        <w:rPr>
          <w:rFonts w:hint="default" w:ascii="Times New Roman" w:hAnsi="Times New Roman" w:eastAsia="宋体" w:cs="Times New Roman"/>
          <w:color w:val="000000"/>
          <w:sz w:val="24"/>
          <w:szCs w:val="24"/>
          <w:u w:val="single"/>
          <w:lang w:eastAsia="zh-CN"/>
        </w:rPr>
        <w:t>其他</w:t>
      </w:r>
      <w:r>
        <w:rPr>
          <w:rFonts w:hint="default" w:ascii="Times New Roman" w:hAnsi="Times New Roman" w:eastAsia="宋体" w:cs="Times New Roman"/>
          <w:color w:val="000000"/>
          <w:sz w:val="24"/>
          <w:szCs w:val="24"/>
          <w:u w:val="single"/>
        </w:rPr>
        <w:t>危险废物5800吨，</w:t>
      </w:r>
      <w:r>
        <w:rPr>
          <w:rFonts w:hint="default" w:ascii="Times New Roman" w:hAnsi="Times New Roman" w:eastAsia="宋体" w:cs="Times New Roman"/>
          <w:sz w:val="24"/>
          <w:szCs w:val="28"/>
          <w:u w:val="single"/>
        </w:rPr>
        <w:t>该项目《衡阳湘环环保科技有限公司年收集贮存9800吨危险废物项目环境影响报告表》于2022年4月取得衡阳市生态环境局关于该项目的环评批复（衡环松评[2022]5号，详见附件）</w:t>
      </w:r>
      <w:r>
        <w:rPr>
          <w:rFonts w:hint="default" w:ascii="Times New Roman" w:hAnsi="Times New Roman" w:eastAsia="宋体" w:cs="Times New Roman"/>
          <w:color w:val="000000"/>
          <w:sz w:val="24"/>
          <w:szCs w:val="24"/>
          <w:u w:val="single"/>
        </w:rPr>
        <w:t>，并</w:t>
      </w:r>
      <w:r>
        <w:rPr>
          <w:rFonts w:hint="default" w:ascii="Times New Roman" w:hAnsi="Times New Roman" w:eastAsia="宋体" w:cs="Times New Roman"/>
          <w:sz w:val="24"/>
          <w:szCs w:val="28"/>
          <w:u w:val="single"/>
        </w:rPr>
        <w:t>于2022年8月1日取得排污许可证（证书编号：91430400MA7BT5692C001V），在取得排污许可证之后项目于</w:t>
      </w:r>
      <w:r>
        <w:rPr>
          <w:rFonts w:hint="default" w:ascii="Times New Roman" w:hAnsi="Times New Roman" w:eastAsia="宋体" w:cs="Times New Roman"/>
          <w:color w:val="000000"/>
          <w:sz w:val="24"/>
          <w:szCs w:val="24"/>
          <w:u w:val="single"/>
        </w:rPr>
        <w:t>2022年8月开始投入试运营</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该项目</w:t>
      </w:r>
      <w:r>
        <w:rPr>
          <w:rFonts w:hint="default" w:ascii="Times New Roman" w:hAnsi="Times New Roman" w:eastAsia="宋体" w:cs="Times New Roman"/>
          <w:sz w:val="24"/>
          <w:szCs w:val="24"/>
          <w:u w:val="single"/>
          <w:lang w:val="en-US" w:eastAsia="zh-CN"/>
        </w:rPr>
        <w:t>于2023年5月完成了竣工环境保护自主验收，项目</w:t>
      </w:r>
      <w:r>
        <w:rPr>
          <w:rFonts w:hint="default" w:ascii="Times New Roman" w:hAnsi="Times New Roman" w:eastAsia="宋体" w:cs="Times New Roman"/>
          <w:sz w:val="24"/>
          <w:szCs w:val="24"/>
          <w:u w:val="single"/>
        </w:rPr>
        <w:t>目前处于</w:t>
      </w:r>
      <w:r>
        <w:rPr>
          <w:rFonts w:hint="default" w:ascii="Times New Roman" w:hAnsi="Times New Roman" w:eastAsia="宋体" w:cs="Times New Roman"/>
          <w:sz w:val="24"/>
          <w:szCs w:val="24"/>
          <w:u w:val="single"/>
          <w:lang w:val="en-US" w:eastAsia="zh-CN"/>
        </w:rPr>
        <w:t>正常</w:t>
      </w:r>
      <w:r>
        <w:rPr>
          <w:rFonts w:hint="default" w:ascii="Times New Roman" w:hAnsi="Times New Roman" w:eastAsia="宋体" w:cs="Times New Roman"/>
          <w:sz w:val="24"/>
          <w:szCs w:val="24"/>
          <w:u w:val="single"/>
        </w:rPr>
        <w:t>运营状态。</w:t>
      </w:r>
    </w:p>
    <w:p w14:paraId="6924A2A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u w:val="single"/>
          <w:lang w:val="en-US" w:eastAsia="zh-CN"/>
        </w:rPr>
        <w:t>在以上背景下，</w:t>
      </w:r>
      <w:r>
        <w:rPr>
          <w:rFonts w:hint="default" w:ascii="Times New Roman" w:hAnsi="Times New Roman" w:eastAsia="宋体" w:cs="Times New Roman"/>
          <w:sz w:val="24"/>
          <w:szCs w:val="24"/>
          <w:u w:val="single"/>
        </w:rPr>
        <w:t>为</w:t>
      </w:r>
      <w:r>
        <w:rPr>
          <w:rFonts w:hint="default" w:ascii="Times New Roman" w:hAnsi="Times New Roman" w:eastAsia="宋体" w:cs="Times New Roman"/>
          <w:sz w:val="24"/>
          <w:szCs w:val="24"/>
          <w:u w:val="single"/>
          <w:lang w:val="en-US" w:eastAsia="zh-CN"/>
        </w:rPr>
        <w:t>减少衡阳地区危险危废转运的环境风险，提高废旧资源的利用率，</w:t>
      </w:r>
      <w:r>
        <w:rPr>
          <w:rFonts w:hint="default" w:ascii="Times New Roman" w:hAnsi="Times New Roman" w:eastAsia="宋体" w:cs="Times New Roman"/>
          <w:sz w:val="24"/>
          <w:szCs w:val="24"/>
          <w:u w:val="single"/>
        </w:rPr>
        <w:t>防止废旧金属塑料危险废物流入社会，消除危险废物因堆存或处置不当带来的环境隐患，实现废旧金属塑料的资源化和无害化目标，</w:t>
      </w:r>
      <w:bookmarkStart w:id="34" w:name="_Hlk127450951"/>
      <w:r>
        <w:rPr>
          <w:rFonts w:hint="default" w:ascii="Times New Roman" w:hAnsi="Times New Roman" w:eastAsia="宋体" w:cs="Times New Roman"/>
          <w:color w:val="000000"/>
          <w:sz w:val="24"/>
          <w:szCs w:val="24"/>
          <w:u w:val="single"/>
        </w:rPr>
        <w:t>衡阳湘环环保科技有限公司相关股东于2022年12月出资新成立了</w:t>
      </w:r>
      <w:r>
        <w:rPr>
          <w:rFonts w:hint="default" w:ascii="Times New Roman" w:hAnsi="Times New Roman" w:eastAsia="宋体" w:cs="Times New Roman"/>
          <w:sz w:val="24"/>
          <w:u w:val="single"/>
        </w:rPr>
        <w:t>湖南湘蓝再生资源利用有限公司，湖南湘蓝再生资源利用有限公司拟投资约9800万元，在</w:t>
      </w:r>
      <w:r>
        <w:rPr>
          <w:rFonts w:hint="default" w:ascii="Times New Roman" w:hAnsi="Times New Roman" w:eastAsia="宋体" w:cs="Times New Roman"/>
          <w:sz w:val="24"/>
          <w:szCs w:val="24"/>
          <w:u w:val="single"/>
        </w:rPr>
        <w:t>湖南松木经济开发区</w:t>
      </w:r>
      <w:r>
        <w:rPr>
          <w:rFonts w:hint="default" w:ascii="Times New Roman" w:hAnsi="Times New Roman" w:eastAsia="宋体" w:cs="Times New Roman"/>
          <w:sz w:val="24"/>
          <w:szCs w:val="21"/>
          <w:u w:val="single"/>
        </w:rPr>
        <w:t>化工路</w:t>
      </w:r>
      <w:r>
        <w:rPr>
          <w:rFonts w:hint="default" w:ascii="Times New Roman" w:hAnsi="Times New Roman" w:eastAsia="宋体" w:cs="Times New Roman"/>
          <w:sz w:val="24"/>
          <w:szCs w:val="24"/>
          <w:u w:val="single"/>
        </w:rPr>
        <w:t>建设松木经开区循环经济产业基地项目废旧金属塑料危险废物综合利用子项目。</w:t>
      </w:r>
    </w:p>
    <w:p w14:paraId="68D9F82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该项目属于扩建性质（异地搬迁扩建），拟将现有的</w:t>
      </w:r>
      <w:r>
        <w:rPr>
          <w:rFonts w:hint="default" w:ascii="Times New Roman" w:hAnsi="Times New Roman" w:eastAsia="宋体" w:cs="Times New Roman"/>
          <w:color w:val="000000"/>
          <w:sz w:val="24"/>
          <w:szCs w:val="24"/>
        </w:rPr>
        <w:t>“年收集贮存9800吨危险废物项目”由松木经济开发区金源路整体搬迁至松木经济开发区</w:t>
      </w:r>
      <w:r>
        <w:rPr>
          <w:rFonts w:hint="default" w:ascii="Times New Roman" w:hAnsi="Times New Roman" w:eastAsia="宋体" w:cs="Times New Roman"/>
          <w:sz w:val="24"/>
          <w:szCs w:val="21"/>
        </w:rPr>
        <w:t>化工路新场地，并将危险废物收集贮存能力提高至</w:t>
      </w:r>
      <w:r>
        <w:rPr>
          <w:rFonts w:hint="default" w:ascii="Times New Roman" w:hAnsi="Times New Roman" w:eastAsia="宋体" w:cs="Times New Roman"/>
          <w:sz w:val="24"/>
          <w:szCs w:val="21"/>
          <w:lang w:eastAsia="zh-CN"/>
        </w:rPr>
        <w:t>14400</w:t>
      </w:r>
      <w:r>
        <w:rPr>
          <w:rFonts w:hint="default" w:ascii="Times New Roman" w:hAnsi="Times New Roman" w:eastAsia="宋体" w:cs="Times New Roman"/>
          <w:sz w:val="24"/>
          <w:szCs w:val="21"/>
        </w:rPr>
        <w:t>t/a</w:t>
      </w:r>
      <w:r>
        <w:rPr>
          <w:rFonts w:hint="default" w:ascii="Times New Roman" w:hAnsi="Times New Roman" w:eastAsia="宋体" w:cs="Times New Roman"/>
          <w:color w:val="000000"/>
          <w:sz w:val="24"/>
          <w:szCs w:val="24"/>
        </w:rPr>
        <w:t>，同时在新场地</w:t>
      </w:r>
      <w:r>
        <w:rPr>
          <w:rFonts w:hint="default" w:ascii="Times New Roman" w:hAnsi="Times New Roman" w:eastAsia="宋体" w:cs="Times New Roman"/>
          <w:sz w:val="24"/>
          <w:szCs w:val="24"/>
        </w:rPr>
        <w:t>拟新建废包装桶整形清洗翻新生产线1条、废金属包装容器破碎清洗生产线1条、废塑料包装物破碎清洗生产线1条。项目扩建建成投产后能将衡阳市及周边地区各行业产生废旧金属塑料危险废物进行合理回收利用，有效解决金属和塑料资源匮乏的问题，缓解金属塑料的供需矛盾，同时降低危险废物对环境的危害</w:t>
      </w:r>
      <w:bookmarkEnd w:id="34"/>
      <w:r>
        <w:rPr>
          <w:rFonts w:hint="default" w:ascii="Times New Roman" w:hAnsi="Times New Roman" w:eastAsia="宋体" w:cs="Times New Roman"/>
          <w:sz w:val="24"/>
          <w:szCs w:val="24"/>
        </w:rPr>
        <w:t>。项目的扩建完成后，现有工程将全部搬迁至</w:t>
      </w:r>
      <w:r>
        <w:rPr>
          <w:rFonts w:hint="default" w:ascii="Times New Roman" w:hAnsi="Times New Roman" w:eastAsia="宋体" w:cs="Times New Roman"/>
          <w:sz w:val="24"/>
          <w:szCs w:val="21"/>
        </w:rPr>
        <w:t>化工路</w:t>
      </w:r>
      <w:r>
        <w:rPr>
          <w:rFonts w:hint="default" w:ascii="Times New Roman" w:hAnsi="Times New Roman" w:eastAsia="宋体" w:cs="Times New Roman"/>
          <w:sz w:val="24"/>
          <w:szCs w:val="24"/>
        </w:rPr>
        <w:t>项目用地内，现有工程不再保留。</w:t>
      </w:r>
    </w:p>
    <w:p w14:paraId="4FCA63BF">
      <w:pPr>
        <w:spacing w:line="360" w:lineRule="auto"/>
        <w:ind w:firstLine="480"/>
        <w:rPr>
          <w:rFonts w:hint="default" w:ascii="Times New Roman" w:hAnsi="Times New Roman" w:eastAsia="宋体" w:cs="Times New Roman"/>
          <w:b w:val="0"/>
          <w:bCs w:val="0"/>
          <w:sz w:val="24"/>
          <w:szCs w:val="24"/>
        </w:rPr>
      </w:pPr>
      <w:r>
        <w:rPr>
          <w:rFonts w:hint="default" w:ascii="Times New Roman" w:hAnsi="Times New Roman" w:eastAsia="宋体" w:cs="Times New Roman"/>
          <w:b w:val="0"/>
          <w:bCs w:val="0"/>
          <w:sz w:val="24"/>
          <w:szCs w:val="24"/>
          <w:u w:val="single"/>
          <w:lang w:val="en-US" w:eastAsia="zh-CN"/>
        </w:rPr>
        <w:t>项目在完成本次搬迁扩建后，</w:t>
      </w:r>
      <w:r>
        <w:rPr>
          <w:rFonts w:hint="eastAsia" w:ascii="Times New Roman" w:hAnsi="Times New Roman" w:cs="Times New Roman"/>
          <w:b w:val="0"/>
          <w:bCs w:val="0"/>
          <w:sz w:val="24"/>
          <w:szCs w:val="24"/>
          <w:u w:val="single"/>
          <w:lang w:val="en-US" w:eastAsia="zh-CN"/>
        </w:rPr>
        <w:t>项目仅进行收集贮存的</w:t>
      </w:r>
      <w:r>
        <w:rPr>
          <w:rFonts w:hint="default" w:ascii="Times New Roman" w:hAnsi="Times New Roman" w:eastAsia="宋体" w:cs="Times New Roman"/>
          <w:b w:val="0"/>
          <w:bCs w:val="0"/>
          <w:sz w:val="24"/>
          <w:szCs w:val="24"/>
          <w:u w:val="single"/>
          <w:lang w:val="en-US" w:eastAsia="zh-CN"/>
        </w:rPr>
        <w:t>危险废物规模为</w:t>
      </w:r>
      <w:r>
        <w:rPr>
          <w:rFonts w:hint="eastAsia" w:ascii="Times New Roman" w:hAnsi="Times New Roman" w:cs="Times New Roman"/>
          <w:b w:val="0"/>
          <w:bCs w:val="0"/>
          <w:sz w:val="24"/>
          <w:szCs w:val="24"/>
          <w:u w:val="single"/>
          <w:lang w:val="en-US" w:eastAsia="zh-CN"/>
        </w:rPr>
        <w:t>1</w:t>
      </w:r>
      <w:r>
        <w:rPr>
          <w:rFonts w:hint="default" w:ascii="Times New Roman" w:hAnsi="Times New Roman" w:eastAsia="宋体" w:cs="Times New Roman"/>
          <w:b w:val="0"/>
          <w:bCs w:val="0"/>
          <w:sz w:val="24"/>
          <w:szCs w:val="24"/>
          <w:u w:val="single"/>
          <w:lang w:val="en-US" w:eastAsia="zh-CN"/>
        </w:rPr>
        <w:t>4400t/a</w:t>
      </w:r>
      <w:r>
        <w:rPr>
          <w:rFonts w:hint="eastAsia" w:ascii="Times New Roman" w:hAnsi="Times New Roman" w:cs="Times New Roman"/>
          <w:b w:val="0"/>
          <w:bCs w:val="0"/>
          <w:sz w:val="24"/>
          <w:szCs w:val="24"/>
          <w:u w:val="single"/>
          <w:lang w:val="en-US" w:eastAsia="zh-CN"/>
        </w:rPr>
        <w:t>，进行综合利用的危险废物规模为20000t/a（综合利用的危险废物限省内，其中5000t/a废塑料包装容器、5000t/a废金属机油滤芯、10000t/a废金属包装容器；不得接收利用含氰化物等剧毒类物质废包装容器、含爆炸性物质包装容器、感染性废弃包装物、含/沾染重金属包装容器、含/沾染一类污染物的包装容器）</w:t>
      </w:r>
      <w:r>
        <w:rPr>
          <w:rFonts w:hint="default" w:ascii="Times New Roman" w:hAnsi="Times New Roman" w:eastAsia="宋体" w:cs="Times New Roman"/>
          <w:b w:val="0"/>
          <w:bCs w:val="0"/>
          <w:sz w:val="24"/>
          <w:szCs w:val="24"/>
          <w:u w:val="single"/>
          <w:lang w:val="en-US" w:eastAsia="zh-CN"/>
        </w:rPr>
        <w:t>。</w:t>
      </w:r>
    </w:p>
    <w:p w14:paraId="60E8EEA2">
      <w:pPr>
        <w:pStyle w:val="3"/>
        <w:spacing w:before="0" w:after="0" w:line="360" w:lineRule="auto"/>
        <w:rPr>
          <w:rFonts w:hint="default" w:ascii="Times New Roman" w:hAnsi="Times New Roman" w:eastAsia="宋体" w:cs="Times New Roman"/>
          <w:kern w:val="0"/>
        </w:rPr>
      </w:pPr>
      <w:bookmarkStart w:id="35" w:name="_Toc87016962"/>
      <w:bookmarkStart w:id="36" w:name="_Toc3908019"/>
      <w:bookmarkStart w:id="37" w:name="_Toc39909197"/>
      <w:bookmarkStart w:id="38" w:name="_Toc17024329"/>
      <w:bookmarkStart w:id="39" w:name="_Toc14324"/>
      <w:bookmarkStart w:id="40" w:name="_Toc123733064"/>
      <w:bookmarkStart w:id="41" w:name="_Toc61361930"/>
      <w:bookmarkStart w:id="42" w:name="_Toc67561700"/>
      <w:bookmarkStart w:id="43" w:name="_Toc106961859"/>
      <w:bookmarkStart w:id="44" w:name="_Toc47447233"/>
      <w:bookmarkStart w:id="45" w:name="_Toc8400285"/>
      <w:bookmarkStart w:id="46" w:name="_Toc23842877"/>
      <w:bookmarkStart w:id="47" w:name="_Toc57726487"/>
      <w:bookmarkStart w:id="48" w:name="_Toc50968505"/>
      <w:r>
        <w:rPr>
          <w:rFonts w:hint="default" w:ascii="Times New Roman" w:hAnsi="Times New Roman" w:eastAsia="宋体" w:cs="Times New Roman"/>
          <w:kern w:val="0"/>
        </w:rPr>
        <w:t>1.3环境影响评价工作过程</w:t>
      </w:r>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78311DDB">
      <w:pPr>
        <w:pStyle w:val="4"/>
        <w:spacing w:before="0" w:after="0" w:line="360" w:lineRule="auto"/>
        <w:rPr>
          <w:rFonts w:hint="default" w:ascii="Times New Roman" w:hAnsi="Times New Roman" w:eastAsia="宋体" w:cs="Times New Roman"/>
          <w:kern w:val="0"/>
          <w:sz w:val="28"/>
        </w:rPr>
      </w:pPr>
      <w:r>
        <w:rPr>
          <w:rFonts w:hint="default" w:ascii="Times New Roman" w:hAnsi="Times New Roman" w:eastAsia="宋体" w:cs="Times New Roman"/>
          <w:kern w:val="0"/>
          <w:sz w:val="28"/>
        </w:rPr>
        <w:t>1.3.1行业类别判定</w:t>
      </w:r>
    </w:p>
    <w:p w14:paraId="776ED2B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本项目系对危险废物的收集、贮存、综合利用，对照《国民经济行业分类》（GBT+4754-2017）以及《2017国民经济行业分类注释》，项目归类于《国民经济行业分类》（GB/T4754-2017）中的“N7724 危险废物治理”。</w:t>
      </w:r>
    </w:p>
    <w:p w14:paraId="12441D03">
      <w:pPr>
        <w:pStyle w:val="4"/>
        <w:spacing w:before="0" w:after="0" w:line="415" w:lineRule="auto"/>
        <w:rPr>
          <w:rFonts w:hint="default" w:ascii="Times New Roman" w:hAnsi="Times New Roman" w:eastAsia="宋体" w:cs="Times New Roman"/>
          <w:kern w:val="0"/>
          <w:sz w:val="28"/>
        </w:rPr>
      </w:pPr>
      <w:r>
        <w:rPr>
          <w:rFonts w:hint="default" w:ascii="Times New Roman" w:hAnsi="Times New Roman" w:eastAsia="宋体" w:cs="Times New Roman"/>
          <w:kern w:val="0"/>
          <w:sz w:val="28"/>
        </w:rPr>
        <w:t>1.3.2评价类别判定</w:t>
      </w:r>
    </w:p>
    <w:p w14:paraId="68B18425">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对照</w:t>
      </w:r>
      <w:r>
        <w:rPr>
          <w:rFonts w:hint="default" w:ascii="Times New Roman" w:hAnsi="Times New Roman" w:eastAsia="宋体" w:cs="Times New Roman"/>
          <w:sz w:val="24"/>
          <w:szCs w:val="24"/>
        </w:rPr>
        <w:t>《建设项目环境影响评价分类管理名录》（2021年版），项目应属于</w:t>
      </w:r>
      <w:bookmarkStart w:id="49" w:name="_Hlk127193730"/>
      <w:r>
        <w:rPr>
          <w:rFonts w:hint="default" w:ascii="Times New Roman" w:hAnsi="Times New Roman" w:eastAsia="宋体" w:cs="Times New Roman"/>
          <w:sz w:val="24"/>
          <w:szCs w:val="24"/>
        </w:rPr>
        <w:t>“四十七、生态保护和环境治理业—101 危险废物（不含医疗废物）利用及处置（产生单位内部回收再利用除外；单纯收集、贮存的除外）”，应编制环境影响报告书</w:t>
      </w:r>
      <w:bookmarkEnd w:id="49"/>
      <w:r>
        <w:rPr>
          <w:rFonts w:hint="default" w:ascii="Times New Roman" w:hAnsi="Times New Roman" w:eastAsia="宋体" w:cs="Times New Roman"/>
          <w:sz w:val="24"/>
          <w:szCs w:val="24"/>
        </w:rPr>
        <w:t>。</w:t>
      </w:r>
    </w:p>
    <w:p w14:paraId="7D031BB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根据《中华人民共和国环境影响评价法》、国务院令第682号《建设项目环</w:t>
      </w:r>
      <w:r>
        <w:rPr>
          <w:rFonts w:hint="default" w:ascii="Times New Roman" w:hAnsi="Times New Roman" w:eastAsia="宋体" w:cs="Times New Roman"/>
          <w:sz w:val="24"/>
          <w:szCs w:val="24"/>
        </w:rPr>
        <w:t>境保护管理条例》、《建设项目环境影响评价分类管理名录》（2021年版）以及省市生态环境局有关文件的规定，</w:t>
      </w:r>
      <w:r>
        <w:rPr>
          <w:rFonts w:hint="default" w:ascii="Times New Roman" w:hAnsi="Times New Roman" w:eastAsia="宋体" w:cs="Times New Roman"/>
          <w:sz w:val="24"/>
        </w:rPr>
        <w:t>建设项目须进行相关环评审批方可建设运行。为保证项目建设的合法性</w:t>
      </w:r>
      <w:r>
        <w:rPr>
          <w:rFonts w:hint="default" w:ascii="Times New Roman" w:hAnsi="Times New Roman" w:eastAsia="宋体" w:cs="Times New Roman"/>
          <w:sz w:val="24"/>
          <w:szCs w:val="24"/>
        </w:rPr>
        <w:t>，</w:t>
      </w:r>
      <w:r>
        <w:rPr>
          <w:rFonts w:hint="default" w:ascii="Times New Roman" w:hAnsi="Times New Roman" w:eastAsia="宋体" w:cs="Times New Roman"/>
          <w:sz w:val="24"/>
        </w:rPr>
        <w:t>湖南湘蓝再生资源利用有限公司委托</w:t>
      </w:r>
      <w:r>
        <w:rPr>
          <w:rFonts w:hint="default" w:ascii="Times New Roman" w:hAnsi="Times New Roman" w:eastAsia="宋体" w:cs="Times New Roman"/>
          <w:sz w:val="24"/>
          <w:szCs w:val="24"/>
        </w:rPr>
        <w:t>我公司（湖南省徙木环境科技有限公司）承担本项目的环境影响评价工作（环评委托书见附件）。我公司在接受委托后，</w:t>
      </w:r>
      <w:r>
        <w:rPr>
          <w:rFonts w:hint="default" w:ascii="Times New Roman" w:hAnsi="Times New Roman" w:eastAsia="宋体" w:cs="Times New Roman"/>
          <w:kern w:val="0"/>
          <w:sz w:val="24"/>
          <w:szCs w:val="24"/>
        </w:rPr>
        <w:t>组织有关评估人员组成项目组，在认真研读项目有关资料、现场踏勘和现状监测等基础上，分析了项目建设期和营运期的废气、废水、噪声及固废排放情况，分析建设项目对周围环境的影响程度和范围，提出环境污染防治的对策与建议，</w:t>
      </w:r>
      <w:r>
        <w:rPr>
          <w:rFonts w:hint="default" w:ascii="Times New Roman" w:hAnsi="Times New Roman" w:eastAsia="宋体" w:cs="Times New Roman"/>
          <w:sz w:val="24"/>
          <w:szCs w:val="24"/>
        </w:rPr>
        <w:t>根据相关技术导则和规范完成了《湖南松木经济开发区废旧物资循环利用废旧金属塑料危险废物综合利用子项目环境影响报告书》的编制。</w:t>
      </w:r>
    </w:p>
    <w:p w14:paraId="053B963C">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本次评价采用的评价工作程序见下图。</w:t>
      </w:r>
    </w:p>
    <w:p w14:paraId="01D786DE">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5215255" cy="5955030"/>
            <wp:effectExtent l="0" t="0" r="44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extLst>
                        <a:ext uri="{28A0092B-C50C-407E-A947-70E740481C1C}">
                          <a14:useLocalDpi xmlns:a14="http://schemas.microsoft.com/office/drawing/2010/main" val="0"/>
                        </a:ext>
                      </a:extLst>
                    </a:blip>
                    <a:srcRect l="14566" t="18240" r="14410" b="2501"/>
                    <a:stretch>
                      <a:fillRect/>
                    </a:stretch>
                  </pic:blipFill>
                  <pic:spPr>
                    <a:xfrm>
                      <a:off x="0" y="0"/>
                      <a:ext cx="5220459" cy="5960787"/>
                    </a:xfrm>
                    <a:prstGeom prst="rect">
                      <a:avLst/>
                    </a:prstGeom>
                    <a:noFill/>
                    <a:ln>
                      <a:noFill/>
                    </a:ln>
                  </pic:spPr>
                </pic:pic>
              </a:graphicData>
            </a:graphic>
          </wp:inline>
        </w:drawing>
      </w:r>
    </w:p>
    <w:p w14:paraId="7D10229B">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b/>
          <w:kern w:val="0"/>
        </w:rPr>
        <w:t>图1-1 评价工作程序</w:t>
      </w:r>
      <w:r>
        <w:rPr>
          <w:rFonts w:hint="default" w:ascii="Times New Roman" w:hAnsi="Times New Roman" w:eastAsia="宋体" w:cs="Times New Roman"/>
          <w:b/>
        </w:rPr>
        <w:t>图</w:t>
      </w:r>
    </w:p>
    <w:p w14:paraId="1A542018">
      <w:pPr>
        <w:spacing w:line="360" w:lineRule="auto"/>
        <w:rPr>
          <w:rFonts w:hint="default" w:ascii="Times New Roman" w:hAnsi="Times New Roman" w:eastAsia="宋体" w:cs="Times New Roman"/>
          <w:kern w:val="0"/>
          <w:sz w:val="24"/>
          <w:szCs w:val="24"/>
        </w:rPr>
        <w:sectPr>
          <w:pgSz w:w="11906" w:h="16838"/>
          <w:pgMar w:top="1440" w:right="1800" w:bottom="1440" w:left="1800" w:header="851" w:footer="992" w:gutter="0"/>
          <w:pgBorders>
            <w:top w:val="none" w:sz="0" w:space="0"/>
            <w:left w:val="none" w:sz="0" w:space="0"/>
            <w:bottom w:val="none" w:sz="0" w:space="0"/>
            <w:right w:val="none" w:sz="0" w:space="0"/>
          </w:pgBorders>
          <w:pgNumType w:start="1"/>
          <w:cols w:space="720" w:num="1"/>
          <w:docGrid w:type="lines" w:linePitch="312" w:charSpace="0"/>
        </w:sectPr>
      </w:pPr>
    </w:p>
    <w:p w14:paraId="79A63789">
      <w:pPr>
        <w:pStyle w:val="3"/>
        <w:spacing w:before="0" w:after="0" w:line="360" w:lineRule="auto"/>
        <w:rPr>
          <w:rFonts w:hint="default" w:ascii="Times New Roman" w:hAnsi="Times New Roman" w:eastAsia="宋体" w:cs="Times New Roman"/>
          <w:kern w:val="0"/>
        </w:rPr>
      </w:pPr>
      <w:bookmarkStart w:id="50" w:name="_Toc47447234"/>
      <w:bookmarkStart w:id="51" w:name="_Toc8400286"/>
      <w:bookmarkStart w:id="52" w:name="_Toc57726488"/>
      <w:bookmarkStart w:id="53" w:name="_Toc61361931"/>
      <w:bookmarkStart w:id="54" w:name="_Toc3908020"/>
      <w:bookmarkStart w:id="55" w:name="_Toc887"/>
      <w:bookmarkStart w:id="56" w:name="_Toc123733065"/>
      <w:bookmarkStart w:id="57" w:name="_Toc67561701"/>
      <w:bookmarkStart w:id="58" w:name="_Toc39909198"/>
      <w:bookmarkStart w:id="59" w:name="_Toc106961860"/>
      <w:bookmarkStart w:id="60" w:name="_Toc87016963"/>
      <w:bookmarkStart w:id="61" w:name="_Toc17024330"/>
      <w:bookmarkStart w:id="62" w:name="_Toc23842878"/>
      <w:bookmarkStart w:id="63" w:name="_Toc50968506"/>
      <w:r>
        <w:rPr>
          <w:rFonts w:hint="default" w:ascii="Times New Roman" w:hAnsi="Times New Roman" w:eastAsia="宋体" w:cs="Times New Roman"/>
          <w:kern w:val="0"/>
        </w:rPr>
        <w:t>1.4分析判定相关情况</w:t>
      </w:r>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608BC3E8">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1.4.1产业政策符合性</w:t>
      </w:r>
    </w:p>
    <w:p w14:paraId="798D589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本项目为危险废物收集、贮存、综合利用项目，根据《国民经济行业分类》（GB/T 4754-2017），行业类别属于N7724 危险废物治理，对照《产业结构调整指导目录（20</w:t>
      </w:r>
      <w:r>
        <w:rPr>
          <w:rFonts w:hint="eastAsia" w:ascii="Times New Roman" w:hAnsi="Times New Roman" w:cs="Times New Roman"/>
          <w:sz w:val="24"/>
          <w:szCs w:val="24"/>
          <w:lang w:val="en-US" w:eastAsia="zh-CN"/>
        </w:rPr>
        <w:t>24</w:t>
      </w:r>
      <w:r>
        <w:rPr>
          <w:rFonts w:hint="default" w:ascii="Times New Roman" w:hAnsi="Times New Roman" w:eastAsia="宋体" w:cs="Times New Roman"/>
          <w:sz w:val="24"/>
          <w:szCs w:val="24"/>
        </w:rPr>
        <w:t>年本）》，分别属于鼓励类“第四十</w:t>
      </w:r>
      <w:r>
        <w:rPr>
          <w:rFonts w:hint="eastAsia" w:ascii="Times New Roman" w:hAnsi="Times New Roman" w:cs="Times New Roman"/>
          <w:sz w:val="24"/>
          <w:szCs w:val="24"/>
          <w:lang w:val="en-US" w:eastAsia="zh-CN"/>
        </w:rPr>
        <w:t>二</w:t>
      </w:r>
      <w:r>
        <w:rPr>
          <w:rFonts w:hint="default" w:ascii="Times New Roman" w:hAnsi="Times New Roman" w:eastAsia="宋体" w:cs="Times New Roman"/>
          <w:sz w:val="24"/>
          <w:szCs w:val="24"/>
        </w:rPr>
        <w:t>款 环境保护与资源节约综合利用”中的“</w:t>
      </w:r>
      <w:r>
        <w:rPr>
          <w:rFonts w:hint="eastAsia" w:ascii="Times New Roman" w:hAnsi="Times New Roman" w:cs="Times New Roman"/>
          <w:sz w:val="24"/>
          <w:szCs w:val="24"/>
          <w:lang w:val="en-US" w:eastAsia="zh-CN"/>
        </w:rPr>
        <w:t>6.危险废弃物处置：危险废物（医疗废物）无害化处置和高效利用技术设备开发制造、利用处置中心建设和（或）运营···</w:t>
      </w:r>
      <w:r>
        <w:rPr>
          <w:rFonts w:hint="default" w:ascii="Times New Roman" w:hAnsi="Times New Roman" w:eastAsia="宋体" w:cs="Times New Roman"/>
          <w:sz w:val="24"/>
          <w:szCs w:val="24"/>
        </w:rPr>
        <w:t>”。</w:t>
      </w:r>
    </w:p>
    <w:p w14:paraId="6C473C0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项目已取得湖南衡阳松木经济开发区招商合作局出具的《关于松木经开区循环经济产业基地项目废旧金属塑料危险废物综合利用子项目备案的证明》（衡松备案[2022]81号）。</w:t>
      </w:r>
    </w:p>
    <w:p w14:paraId="309D6AAC">
      <w:pPr>
        <w:spacing w:line="360" w:lineRule="auto"/>
        <w:ind w:firstLine="480" w:firstLineChars="200"/>
        <w:rPr>
          <w:rFonts w:hint="default" w:ascii="Times New Roman" w:hAnsi="Times New Roman" w:eastAsia="宋体" w:cs="Times New Roman"/>
          <w:sz w:val="32"/>
          <w:szCs w:val="32"/>
        </w:rPr>
      </w:pPr>
      <w:r>
        <w:rPr>
          <w:rFonts w:hint="default" w:ascii="Times New Roman" w:hAnsi="Times New Roman" w:eastAsia="宋体" w:cs="Times New Roman"/>
          <w:sz w:val="24"/>
          <w:szCs w:val="28"/>
        </w:rPr>
        <w:t>因此，项目建设符合国家现行的产业政策。</w:t>
      </w:r>
    </w:p>
    <w:p w14:paraId="4790CF23">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1.4.2 与环境功能区划的相符性分析</w:t>
      </w:r>
    </w:p>
    <w:p w14:paraId="523DC71A">
      <w:pPr>
        <w:pStyle w:val="48"/>
        <w:spacing w:before="0" w:line="360" w:lineRule="auto"/>
        <w:ind w:firstLine="482"/>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（1）与地表水环境功能区划的相符性分析</w:t>
      </w:r>
    </w:p>
    <w:p w14:paraId="730DC9DB">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本项目周边的地表水体主要是项目东面约2.5km的湘江。根据《湖南省主要地表水系水环境功能区划》（DB43/023-2005），蒸水口至大浦镇师塘村上游6000m 湘江段执行《地表水环境质量标准》（GB3838-2002）中的Ⅲ类标。本项目生产废水经自建的污水处理站处理达标、生活污水经厂区化粪池处理后排入园区管网进入松木污水处理厂处理达标后排入湘江。因此，从区域水体环境容量角度分析，本项目的建设满足区域水功能区划的相关要求。</w:t>
      </w:r>
    </w:p>
    <w:p w14:paraId="797F06AA">
      <w:pPr>
        <w:pStyle w:val="48"/>
        <w:spacing w:before="0" w:line="360" w:lineRule="auto"/>
        <w:ind w:firstLine="482"/>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（2）与大气环境功能划的符合性分析</w:t>
      </w:r>
    </w:p>
    <w:p w14:paraId="537EF3BE">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所在区域属于环境空气质量二类功能区。项目营运期各废气污染物在采取严格的污染防治后可满足达标排放的要求，且由大气环境影响评价结果可知，正常工况下，本项目外排废气污染物符合相关标准要求。</w:t>
      </w:r>
    </w:p>
    <w:p w14:paraId="32535D8D">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1.4.3与湖南衡阳松木经济开发区扩区规划（2020-2030）环评相符性分析</w:t>
      </w:r>
    </w:p>
    <w:p w14:paraId="23911122">
      <w:pPr>
        <w:pStyle w:val="48"/>
        <w:spacing w:before="0" w:line="360" w:lineRule="auto"/>
        <w:ind w:firstLine="482"/>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（1）与规划环评审查意见相符性分析</w:t>
      </w:r>
    </w:p>
    <w:p w14:paraId="32760B96">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湖南衡阳松木经济开发区调区扩区规划环境影响报告书》（2024年4月）以及《关于&lt;湖南衡阳松木经济开发区调区扩区规划环境影响报告书&gt;的审查意见》（湘环评函[2024]20号），本项目位于松木经济开发区化工路，距离湘江约2.5km，位于园区划定的“松木片区（在化工片区外）”范围内，结合该区的产业定位要求（松木片区是以盐卤精细化工及新材料产业为核心产业，先进装备制造、现代物流、新材料、新能源、综合服务为产业的高新技术产业园区），本项目系回收、贮存、利用废旧金属塑料危险废物（利用其他企业废弃金属包装桶、塑料包装桶等作为原材料，加工成金属颗粒和塑料碎片，实现废旧物资循环利用）并进行一般固废的分拣转运，属于废弃资源综合利用行业，与松木经开区“松木片区”的产业定位要求不相冲突，满足湖南衡阳松木经济开发区调区扩区规划环评及审查意见的要求。</w:t>
      </w:r>
    </w:p>
    <w:p w14:paraId="1CC4562A">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本项目生产废水不含重金属，经处理达标后全部进入园区污水管网；项目配套建设应急事故池和初期雨水池，初期雨水收集池与事故应急池连通，项目事故应急系统及园区应急系统</w:t>
      </w:r>
      <w:r>
        <w:rPr>
          <w:rFonts w:hint="default" w:ascii="Times New Roman" w:hAnsi="Times New Roman" w:eastAsia="宋体" w:cs="Times New Roman"/>
          <w:sz w:val="24"/>
          <w:szCs w:val="21"/>
        </w:rPr>
        <w:t>可</w:t>
      </w:r>
      <w:r>
        <w:rPr>
          <w:rFonts w:hint="default" w:ascii="Times New Roman" w:hAnsi="Times New Roman" w:eastAsia="宋体" w:cs="Times New Roman"/>
          <w:sz w:val="24"/>
          <w:szCs w:val="24"/>
        </w:rPr>
        <w:t>有效收集突发情形下排放的废水，避免废水处理站发生故障或者生产线发生火灾产生大量消防废水等突发情形下废水进入水体。</w:t>
      </w:r>
    </w:p>
    <w:p w14:paraId="7B147597">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综上所述，与松木经开区产业准入要求不相冲突。</w:t>
      </w:r>
    </w:p>
    <w:p w14:paraId="3D211537">
      <w:pPr>
        <w:pStyle w:val="48"/>
        <w:spacing w:before="0" w:line="360" w:lineRule="auto"/>
        <w:ind w:firstLine="482"/>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（2）与湖南衡阳松木经济开发区环境准入行业负面清单符合性分析</w:t>
      </w:r>
    </w:p>
    <w:p w14:paraId="7F2AE64B">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根据《湖南衡阳松木经济开发区调区扩区规划环境影响报告书》（2024年4月）可知，园区清单见下表。</w:t>
      </w:r>
    </w:p>
    <w:p w14:paraId="02D681A5">
      <w:pPr>
        <w:spacing w:line="36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表1.4-1  环境准入行业清单</w:t>
      </w:r>
    </w:p>
    <w:tbl>
      <w:tblPr>
        <w:tblStyle w:val="49"/>
        <w:tblW w:w="4513"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1288"/>
        <w:gridCol w:w="6404"/>
      </w:tblGrid>
      <w:tr w14:paraId="1721C9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837" w:type="pct"/>
            <w:vAlign w:val="center"/>
          </w:tcPr>
          <w:p w14:paraId="6759095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kern w:val="0"/>
                <w:sz w:val="21"/>
                <w:szCs w:val="21"/>
                <w:lang w:val="zh-CN"/>
              </w:rPr>
            </w:pPr>
            <w:r>
              <w:rPr>
                <w:rFonts w:hint="default" w:ascii="Times New Roman" w:hAnsi="Times New Roman" w:eastAsia="宋体" w:cs="Times New Roman"/>
                <w:b/>
                <w:bCs/>
                <w:kern w:val="0"/>
                <w:sz w:val="21"/>
                <w:szCs w:val="21"/>
                <w:lang w:val="zh-CN"/>
              </w:rPr>
              <w:t>产业园区</w:t>
            </w:r>
          </w:p>
        </w:tc>
        <w:tc>
          <w:tcPr>
            <w:tcW w:w="4162" w:type="pct"/>
            <w:vAlign w:val="center"/>
          </w:tcPr>
          <w:p w14:paraId="6F21C42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bCs/>
                <w:kern w:val="0"/>
                <w:sz w:val="21"/>
                <w:szCs w:val="21"/>
                <w:lang w:val="zh-CN"/>
              </w:rPr>
            </w:pPr>
            <w:r>
              <w:rPr>
                <w:rFonts w:hint="default" w:ascii="Times New Roman" w:hAnsi="Times New Roman" w:eastAsia="宋体" w:cs="Times New Roman"/>
                <w:b/>
                <w:bCs/>
                <w:kern w:val="0"/>
                <w:sz w:val="21"/>
                <w:szCs w:val="21"/>
                <w:lang w:val="zh-CN"/>
              </w:rPr>
              <w:t>行业</w:t>
            </w:r>
          </w:p>
        </w:tc>
      </w:tr>
      <w:tr w14:paraId="40D2F8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06" w:hRule="atLeast"/>
          <w:jc w:val="center"/>
        </w:trPr>
        <w:tc>
          <w:tcPr>
            <w:tcW w:w="837" w:type="pct"/>
            <w:vMerge w:val="restart"/>
            <w:vAlign w:val="center"/>
          </w:tcPr>
          <w:p w14:paraId="445A171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松木片区（区块一和区块二）</w:t>
            </w:r>
          </w:p>
        </w:tc>
        <w:tc>
          <w:tcPr>
            <w:tcW w:w="4162" w:type="pct"/>
            <w:vAlign w:val="center"/>
          </w:tcPr>
          <w:p w14:paraId="53DD616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以盐卤精细化工及新材料产业为核心产业，先进装备制造、现代物流、新材料、新能源、综合服务为产业的高新技术产业园区。</w:t>
            </w:r>
          </w:p>
        </w:tc>
      </w:tr>
      <w:tr w14:paraId="535730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837" w:type="pct"/>
            <w:vMerge w:val="restart"/>
            <w:vAlign w:val="center"/>
          </w:tcPr>
          <w:p w14:paraId="5E9ABF8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江东片区（区块三和区块四）</w:t>
            </w:r>
          </w:p>
        </w:tc>
        <w:tc>
          <w:tcPr>
            <w:tcW w:w="4162" w:type="pct"/>
            <w:vAlign w:val="center"/>
          </w:tcPr>
          <w:p w14:paraId="41503CB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区块三：为精细化工下游延伸新材料产业区。</w:t>
            </w:r>
          </w:p>
        </w:tc>
      </w:tr>
      <w:tr w14:paraId="4224A9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837" w:type="pct"/>
            <w:vMerge w:val="continue"/>
            <w:vAlign w:val="center"/>
          </w:tcPr>
          <w:p w14:paraId="7C8ADBE4">
            <w:pPr>
              <w:keepNext w:val="0"/>
              <w:keepLines w:val="0"/>
              <w:suppressLineNumbers w:val="0"/>
              <w:autoSpaceDE w:val="0"/>
              <w:autoSpaceDN w:val="0"/>
              <w:adjustRightInd w:val="0"/>
              <w:spacing w:before="0" w:beforeAutospacing="0" w:after="200" w:afterAutospacing="0" w:line="276" w:lineRule="auto"/>
              <w:ind w:left="0" w:right="0"/>
              <w:jc w:val="center"/>
              <w:rPr>
                <w:rFonts w:hint="default" w:ascii="Times New Roman" w:hAnsi="Times New Roman" w:eastAsia="宋体" w:cs="Times New Roman"/>
                <w:kern w:val="0"/>
                <w:sz w:val="21"/>
                <w:szCs w:val="21"/>
                <w:lang w:val="zh-CN"/>
              </w:rPr>
            </w:pPr>
          </w:p>
        </w:tc>
        <w:tc>
          <w:tcPr>
            <w:tcW w:w="4162" w:type="pct"/>
            <w:vAlign w:val="center"/>
          </w:tcPr>
          <w:p w14:paraId="6C2D3A6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区块四：紧跟城市更新政策，将市中心产业用地进行功能调整，以商业服务和居住为主导功能，满足周边居民日常生活需求。</w:t>
            </w:r>
          </w:p>
        </w:tc>
      </w:tr>
      <w:tr w14:paraId="4F83CC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837" w:type="pct"/>
            <w:vMerge w:val="restart"/>
            <w:vAlign w:val="center"/>
          </w:tcPr>
          <w:p w14:paraId="1F8B282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樟木片区（区块五）</w:t>
            </w:r>
          </w:p>
        </w:tc>
        <w:tc>
          <w:tcPr>
            <w:tcW w:w="4162" w:type="pct"/>
            <w:vAlign w:val="center"/>
          </w:tcPr>
          <w:p w14:paraId="135BCF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在松木经开区现有产业基础上，重新梳理主特产业，积极承接产业转移，形成以化工带动其他产业协同发展的新格局，充分发挥衡阳得天独厚的盐卤资源优势，依托建滔等龙头企业，通过建链、延链、强链、补链方式打造千亿产业集群。</w:t>
            </w:r>
          </w:p>
          <w:p w14:paraId="11E32C7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樟木片拟建产业园的烧碱项目生产的氯、氢、碱产品在满足园内项目需求外，相当部分可供给松木经开区新区的其他下游产业。</w:t>
            </w:r>
          </w:p>
        </w:tc>
      </w:tr>
      <w:tr w14:paraId="6FF875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0" w:hRule="atLeast"/>
          <w:jc w:val="center"/>
        </w:trPr>
        <w:tc>
          <w:tcPr>
            <w:tcW w:w="837" w:type="pct"/>
            <w:vMerge w:val="continue"/>
            <w:vAlign w:val="center"/>
          </w:tcPr>
          <w:p w14:paraId="650AAD3E">
            <w:pPr>
              <w:keepNext w:val="0"/>
              <w:keepLines w:val="0"/>
              <w:suppressLineNumbers w:val="0"/>
              <w:autoSpaceDE w:val="0"/>
              <w:autoSpaceDN w:val="0"/>
              <w:adjustRightInd w:val="0"/>
              <w:spacing w:before="0" w:beforeAutospacing="0" w:after="200" w:afterAutospacing="0" w:line="276" w:lineRule="auto"/>
              <w:ind w:left="0" w:right="0"/>
              <w:jc w:val="center"/>
              <w:rPr>
                <w:rFonts w:hint="default" w:ascii="Times New Roman" w:hAnsi="Times New Roman" w:eastAsia="宋体" w:cs="Times New Roman"/>
                <w:kern w:val="0"/>
                <w:sz w:val="21"/>
                <w:szCs w:val="21"/>
                <w:lang w:val="zh-CN"/>
              </w:rPr>
            </w:pPr>
          </w:p>
        </w:tc>
        <w:tc>
          <w:tcPr>
            <w:tcW w:w="4162" w:type="pct"/>
            <w:vAlign w:val="center"/>
          </w:tcPr>
          <w:p w14:paraId="404A31C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bookmarkStart w:id="64" w:name="_Hlk127187310"/>
            <w:r>
              <w:rPr>
                <w:rFonts w:hint="default" w:ascii="Times New Roman" w:hAnsi="Times New Roman" w:eastAsia="宋体" w:cs="Times New Roman"/>
                <w:kern w:val="0"/>
                <w:sz w:val="21"/>
                <w:szCs w:val="21"/>
              </w:rPr>
              <w:t>以VOCs、恶臭为主要特征污染物且排放量大的行业，重点气型污染排放企业</w:t>
            </w:r>
            <w:bookmarkEnd w:id="64"/>
            <w:r>
              <w:rPr>
                <w:rFonts w:hint="default" w:ascii="Times New Roman" w:hAnsi="Times New Roman" w:eastAsia="宋体" w:cs="Times New Roman"/>
                <w:kern w:val="0"/>
                <w:sz w:val="21"/>
                <w:szCs w:val="21"/>
              </w:rPr>
              <w:t>。</w:t>
            </w:r>
          </w:p>
        </w:tc>
      </w:tr>
    </w:tbl>
    <w:p w14:paraId="3A5B3A7C">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位于松木片区（在化工片区外），项目系进行回收、贮存、利用废旧金属塑料危险废物（利用其他企业废弃金属包装桶、塑料包装桶等作为原材料，加工成金属颗粒和塑料碎片，实现废旧物资循环利用），属于废弃资源综合利用行业。项目产生的各类清洗废水经处理达标后全部进入园区污水管网，不外排，外排废水不含重金属。</w:t>
      </w:r>
    </w:p>
    <w:p w14:paraId="4CBE8B70">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本项目生产过程中仅有少量有机废气和恶臭排放，不属于以恶臭为主要特征污染物且排放量大的行业，重点气型污染排放企业。</w:t>
      </w:r>
    </w:p>
    <w:p w14:paraId="3A79FF18">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综上，本项目符合《长江保护法》、《长江经济带发展负面清单》、《湘江保护条例》相关要求，符合园区规划。</w:t>
      </w:r>
    </w:p>
    <w:p w14:paraId="42BEA004">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1.4.4与土地利用规划相符性分析</w:t>
      </w:r>
    </w:p>
    <w:p w14:paraId="27A55F01">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根据衡阳市松木经济开发区土地利用规划，本项目所在地土地规划利用类型为二类工业用地（M2），具体详见附图土地利用规划图，项目用地性质符合规划要求。</w:t>
      </w:r>
    </w:p>
    <w:p w14:paraId="2447FFAF">
      <w:pPr>
        <w:pStyle w:val="3"/>
        <w:spacing w:before="0" w:after="0" w:line="360" w:lineRule="auto"/>
        <w:rPr>
          <w:rFonts w:hint="default" w:ascii="Times New Roman" w:hAnsi="Times New Roman" w:eastAsia="宋体" w:cs="Times New Roman"/>
          <w:sz w:val="28"/>
          <w:szCs w:val="28"/>
        </w:rPr>
      </w:pPr>
      <w:bookmarkStart w:id="65" w:name="_Toc12426"/>
      <w:bookmarkStart w:id="66" w:name="_Toc13615"/>
      <w:r>
        <w:rPr>
          <w:rFonts w:hint="default" w:ascii="Times New Roman" w:hAnsi="Times New Roman" w:eastAsia="宋体" w:cs="Times New Roman"/>
          <w:sz w:val="28"/>
          <w:szCs w:val="28"/>
        </w:rPr>
        <w:t>1.5与其他相关政策法规相符性分析</w:t>
      </w:r>
      <w:bookmarkEnd w:id="65"/>
      <w:bookmarkEnd w:id="66"/>
    </w:p>
    <w:p w14:paraId="5605BA8D">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1.5.1与《长江保护法》的相符性分析</w:t>
      </w:r>
    </w:p>
    <w:p w14:paraId="356D7887">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根据《长江保护法》第二十六条“国家对长江流域河湖岸线实施特殊管制。国家长江流域协调机制统筹协调国务院自然资源、水行政、生态环境、住房和城乡建设、农业农村、交通运输、林业和草原等部门和长江流域省级人民政府划定河湖岸线保护范围，制定河湖岸线保护规划，严格控制岸线开发建设，促进岸线合理高效利用。禁止在长江干支流岸线一公里范围内新建、扩建化工园区和化工项目。禁止在长江干流岸线三公里范围内和重要支流岸线一公里范围内新建、改建、扩建尾矿库；但是以提升安全、生态环境保护水平为目的的改建除外。”</w:t>
      </w:r>
    </w:p>
    <w:p w14:paraId="3E6575BA">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本项目与长江支流—湘江相距2.5km，属于长江流域范畴，项目不属于化工项目，也不属于尾矿库等禁止建设的项目，项目与《长江保护法》相符。</w:t>
      </w:r>
    </w:p>
    <w:p w14:paraId="3955D951">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1.5.2与《湖南省湘江保护条例》相符性分析</w:t>
      </w:r>
    </w:p>
    <w:p w14:paraId="54B49F12">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湖南省湘江保护条例》中第四十七条第二款规定“在湘江干流两岸各二十公里范围内不得新建化学制浆、造纸、制革和外排水污染物涉及重金属的项目”。项目距离湘江干流约2.5km，生产废水经厂区自建的污水处理站处理达标后及进入园区污水管网，废水</w:t>
      </w:r>
      <w:r>
        <w:rPr>
          <w:rFonts w:hint="default" w:ascii="Times New Roman" w:hAnsi="Times New Roman" w:eastAsia="宋体" w:cs="Times New Roman"/>
          <w:sz w:val="24"/>
          <w:szCs w:val="21"/>
          <w:lang w:val="en-US" w:eastAsia="zh-CN"/>
        </w:rPr>
        <w:t>中</w:t>
      </w:r>
      <w:r>
        <w:rPr>
          <w:rFonts w:hint="default" w:ascii="Times New Roman" w:hAnsi="Times New Roman" w:eastAsia="宋体" w:cs="Times New Roman"/>
          <w:sz w:val="24"/>
          <w:szCs w:val="21"/>
        </w:rPr>
        <w:t>不涉及重金属。</w:t>
      </w:r>
    </w:p>
    <w:p w14:paraId="49EC5F7F">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第十九条“湘江流域新建、改建、扩建建设项目，应当制定节水方案，配套建设节水设施。节水设施应当与主体工程同时设计、同时施工、同时投入使用。”本项目生产废水经厂区综合废水处理设施处理后将优先回用，可减少废水的产生量符合节水要求。</w:t>
      </w:r>
    </w:p>
    <w:p w14:paraId="2D73FDED">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综上所述，本项目符合《湖南省湘江保护条例》。</w:t>
      </w:r>
    </w:p>
    <w:p w14:paraId="576F6E90">
      <w:pPr>
        <w:pStyle w:val="4"/>
        <w:spacing w:before="0" w:after="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1.5.3与《湖南省“三线一单”生态环境总体管控要求暨省级以上产业园区生态环境准入清单》相符性分析</w:t>
      </w:r>
    </w:p>
    <w:p w14:paraId="613565A6">
      <w:pPr>
        <w:spacing w:line="360" w:lineRule="auto"/>
        <w:ind w:firstLine="480" w:firstLineChars="200"/>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4"/>
          <w:u w:val="single"/>
        </w:rPr>
        <w:t>本项目位于衡阳松木经开区，在《湖南省“三线一单”生态环境总体管控要求暨省级以上产业园区生态环境准入清单》（2020年11月）发布之后，衡阳松木经开区于2021年3月编制了《湖南衡阳松木经济开发区扩区规划（2020-2030）环境影响报告书》，并于同年10月取得批复（湘环评函[2021]30号）。《湖南省“三线一单”生态环境总体管控要求暨省级以上产业园区生态环境准入清单》（2020年11月）管控要求部分将根据最新园区规划进行调整，</w:t>
      </w:r>
      <w:r>
        <w:rPr>
          <w:rFonts w:hint="default" w:ascii="Times New Roman" w:hAnsi="Times New Roman" w:eastAsia="宋体" w:cs="Times New Roman"/>
          <w:sz w:val="24"/>
          <w:szCs w:val="21"/>
          <w:u w:val="single"/>
        </w:rPr>
        <w:t>本项目与《湖南省“三线一单”生态环境总体管控要求暨省级以上产业园区生态环境准入清单》（2020年11月）符合性分析详见下表：</w:t>
      </w:r>
    </w:p>
    <w:p w14:paraId="595D1BAB">
      <w:pPr>
        <w:spacing w:line="360" w:lineRule="auto"/>
        <w:ind w:firstLine="480" w:firstLineChars="200"/>
        <w:rPr>
          <w:rFonts w:hint="default" w:ascii="Times New Roman" w:hAnsi="Times New Roman" w:eastAsia="宋体" w:cs="Times New Roman"/>
          <w:sz w:val="24"/>
          <w:szCs w:val="21"/>
          <w:u w:val="single"/>
        </w:rPr>
      </w:pPr>
    </w:p>
    <w:p w14:paraId="54F8BE7A">
      <w:pPr>
        <w:spacing w:line="360" w:lineRule="auto"/>
        <w:ind w:firstLine="480" w:firstLineChars="200"/>
        <w:rPr>
          <w:rFonts w:hint="default" w:ascii="Times New Roman" w:hAnsi="Times New Roman" w:eastAsia="宋体" w:cs="Times New Roman"/>
          <w:sz w:val="24"/>
          <w:szCs w:val="21"/>
          <w:u w:val="single"/>
        </w:rPr>
      </w:pPr>
    </w:p>
    <w:p w14:paraId="7B7EF446">
      <w:pPr>
        <w:pStyle w:val="13"/>
        <w:spacing w:before="93" w:after="93"/>
        <w:ind w:left="0" w:leftChars="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表1.5-1 《湖南省“三线一单”生态环境总体管控要求暨省级以上产业园区生态环境准入清单》符合性分析</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4888"/>
        <w:gridCol w:w="2309"/>
        <w:gridCol w:w="677"/>
      </w:tblGrid>
      <w:tr w14:paraId="621C99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Align w:val="center"/>
          </w:tcPr>
          <w:p w14:paraId="3AC6A82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u w:val="single"/>
                <w:lang w:bidi="en-US"/>
              </w:rPr>
            </w:pPr>
            <w:r>
              <w:rPr>
                <w:rFonts w:hint="default" w:ascii="Times New Roman" w:hAnsi="Times New Roman" w:eastAsia="宋体" w:cs="Times New Roman"/>
                <w:b/>
                <w:bCs/>
                <w:kern w:val="0"/>
                <w:sz w:val="21"/>
                <w:szCs w:val="21"/>
                <w:u w:val="single"/>
                <w:lang w:bidi="en-US"/>
              </w:rPr>
              <w:t>管控维度</w:t>
            </w:r>
          </w:p>
        </w:tc>
        <w:tc>
          <w:tcPr>
            <w:tcW w:w="2868" w:type="pct"/>
            <w:vAlign w:val="center"/>
          </w:tcPr>
          <w:p w14:paraId="23E596B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u w:val="single"/>
                <w:lang w:bidi="en-US"/>
              </w:rPr>
            </w:pPr>
            <w:r>
              <w:rPr>
                <w:rFonts w:hint="default" w:ascii="Times New Roman" w:hAnsi="Times New Roman" w:eastAsia="宋体" w:cs="Times New Roman"/>
                <w:b/>
                <w:bCs/>
                <w:kern w:val="0"/>
                <w:sz w:val="21"/>
                <w:szCs w:val="21"/>
                <w:u w:val="single"/>
                <w:lang w:bidi="en-US"/>
              </w:rPr>
              <w:t>管控要求</w:t>
            </w:r>
          </w:p>
        </w:tc>
        <w:tc>
          <w:tcPr>
            <w:tcW w:w="1355" w:type="pct"/>
            <w:vAlign w:val="center"/>
          </w:tcPr>
          <w:p w14:paraId="43686E5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u w:val="single"/>
                <w:lang w:bidi="en-US"/>
              </w:rPr>
            </w:pPr>
            <w:r>
              <w:rPr>
                <w:rFonts w:hint="default" w:ascii="Times New Roman" w:hAnsi="Times New Roman" w:eastAsia="宋体" w:cs="Times New Roman"/>
                <w:b/>
                <w:bCs/>
                <w:kern w:val="0"/>
                <w:sz w:val="21"/>
                <w:szCs w:val="21"/>
                <w:u w:val="single"/>
                <w:lang w:bidi="en-US"/>
              </w:rPr>
              <w:t>本项目</w:t>
            </w:r>
          </w:p>
        </w:tc>
        <w:tc>
          <w:tcPr>
            <w:tcW w:w="397" w:type="pct"/>
            <w:vAlign w:val="center"/>
          </w:tcPr>
          <w:p w14:paraId="76F0CDC6">
            <w:pPr>
              <w:keepNext w:val="0"/>
              <w:keepLines w:val="0"/>
              <w:suppressLineNumbers w:val="0"/>
              <w:spacing w:before="0" w:beforeAutospacing="0" w:after="0" w:afterAutospacing="0"/>
              <w:ind w:left="0" w:right="0"/>
              <w:rPr>
                <w:rFonts w:hint="default" w:ascii="Times New Roman" w:hAnsi="Times New Roman" w:eastAsia="宋体" w:cs="Times New Roman"/>
                <w:b/>
                <w:bCs/>
                <w:kern w:val="0"/>
                <w:sz w:val="21"/>
                <w:szCs w:val="21"/>
                <w:u w:val="single"/>
                <w:lang w:bidi="en-US"/>
              </w:rPr>
            </w:pPr>
            <w:r>
              <w:rPr>
                <w:rFonts w:hint="default" w:ascii="Times New Roman" w:hAnsi="Times New Roman" w:eastAsia="宋体" w:cs="Times New Roman"/>
                <w:b/>
                <w:bCs/>
                <w:kern w:val="0"/>
                <w:sz w:val="21"/>
                <w:szCs w:val="21"/>
                <w:u w:val="single"/>
                <w:lang w:bidi="en-US"/>
              </w:rPr>
              <w:t>结论</w:t>
            </w:r>
          </w:p>
        </w:tc>
      </w:tr>
      <w:tr w14:paraId="7C47D7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Align w:val="center"/>
          </w:tcPr>
          <w:p w14:paraId="3EA388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空间布局约束</w:t>
            </w:r>
          </w:p>
        </w:tc>
        <w:tc>
          <w:tcPr>
            <w:tcW w:w="2868" w:type="pct"/>
            <w:vAlign w:val="center"/>
          </w:tcPr>
          <w:p w14:paraId="09126C47">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（1.1）园区内不得设置居住用地，工业用地与其他用地之间设置一定距离的绿化缓冲带。</w:t>
            </w:r>
          </w:p>
          <w:p w14:paraId="7D5D8CB3">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（1.2）禁止外排废水中主要污染物以镉、汞、铅、砷及其他重金属为主的企业及金属原矿冶炼项目入园。禁止建设制浆造纸、发酵酿造、制革等废水排放量大的项目。限制引进排放氨气的企业和项目。</w:t>
            </w:r>
          </w:p>
          <w:p w14:paraId="110B9C6F">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（1.3）二类工业用地不得引进食品、医药等行业，园区西面禁止引入气型污染企业。</w:t>
            </w:r>
          </w:p>
          <w:p w14:paraId="56074338">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（1.4）江东江西两片扩区范围不设三类工业用地，禁止电镀、铅酸电池生产项目以及其他涉及排放重金属废水、废气的项目准入。</w:t>
            </w:r>
          </w:p>
        </w:tc>
        <w:tc>
          <w:tcPr>
            <w:tcW w:w="1355" w:type="pct"/>
            <w:vAlign w:val="center"/>
          </w:tcPr>
          <w:p w14:paraId="31C04FE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本项目属废弃资源综合利用（危险废物收集、贮存、综合利用），外排废水不涉及镉、汞、铅、砷及其他重金属；不涉及氨气排放</w:t>
            </w:r>
          </w:p>
        </w:tc>
        <w:tc>
          <w:tcPr>
            <w:tcW w:w="397" w:type="pct"/>
            <w:vAlign w:val="center"/>
          </w:tcPr>
          <w:p w14:paraId="4C88B745">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符合</w:t>
            </w:r>
          </w:p>
        </w:tc>
      </w:tr>
      <w:tr w14:paraId="65C59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Merge w:val="restart"/>
            <w:vAlign w:val="center"/>
          </w:tcPr>
          <w:p w14:paraId="69F4D1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污染物排放管控</w:t>
            </w:r>
          </w:p>
        </w:tc>
        <w:tc>
          <w:tcPr>
            <w:tcW w:w="2868" w:type="pct"/>
            <w:vAlign w:val="center"/>
          </w:tcPr>
          <w:p w14:paraId="2EE349C3">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废水：园区排水实施雨污分流，一类污染物在企业车间排放口达标，园区涉重涉危化项目初期雨水进企业污水处理站处理，部分回用，允许外排的废水经松木经济开发区污水处理厂处理达标后外排湘江。园区其他雨水进雨水管道由5个排放口排入湘江。</w:t>
            </w:r>
          </w:p>
        </w:tc>
        <w:tc>
          <w:tcPr>
            <w:tcW w:w="1355" w:type="pct"/>
            <w:vAlign w:val="center"/>
          </w:tcPr>
          <w:p w14:paraId="3EFAB19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项目外排废水不涉及一类污染物或重金属</w:t>
            </w:r>
          </w:p>
        </w:tc>
        <w:tc>
          <w:tcPr>
            <w:tcW w:w="397" w:type="pct"/>
            <w:vAlign w:val="center"/>
          </w:tcPr>
          <w:p w14:paraId="1CACB0F9">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符合</w:t>
            </w:r>
          </w:p>
        </w:tc>
      </w:tr>
      <w:tr w14:paraId="0C889D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380" w:type="pct"/>
            <w:vMerge w:val="continue"/>
            <w:vAlign w:val="center"/>
          </w:tcPr>
          <w:p w14:paraId="1859DB4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p>
        </w:tc>
        <w:tc>
          <w:tcPr>
            <w:tcW w:w="2868" w:type="pct"/>
            <w:vAlign w:val="center"/>
          </w:tcPr>
          <w:p w14:paraId="3D9004B8">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废气：入园企业的自备燃煤锅炉配套烟气脱硫除尘措施。对各企业工艺废气产出的生产节点应配置废气收集与净化处理装置，确保达标排放。采取有效措施，减少入园企业工艺废气的无组织排放。交通运输设备制造等制造行业全面实施油性漆改水性漆，减少VOCs产生量，强化末端治理，加快推进有机化工、工业涂装等行业企业VOCs治理，确保达标排放。</w:t>
            </w:r>
          </w:p>
        </w:tc>
        <w:tc>
          <w:tcPr>
            <w:tcW w:w="1355" w:type="pct"/>
            <w:vAlign w:val="center"/>
          </w:tcPr>
          <w:p w14:paraId="43F87B3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本项目不设置锅炉，VOCs（非甲烷总烃）采用RCO催化燃烧后15m</w:t>
            </w:r>
            <w:r>
              <w:rPr>
                <w:rFonts w:hint="default" w:ascii="Times New Roman" w:hAnsi="Times New Roman" w:eastAsia="宋体" w:cs="Times New Roman"/>
                <w:kern w:val="0"/>
                <w:sz w:val="21"/>
                <w:szCs w:val="21"/>
                <w:u w:val="single"/>
                <w:lang w:val="en-US" w:eastAsia="zh-CN" w:bidi="en-US"/>
              </w:rPr>
              <w:t>排气筒</w:t>
            </w:r>
            <w:r>
              <w:rPr>
                <w:rFonts w:hint="default" w:ascii="Times New Roman" w:hAnsi="Times New Roman" w:eastAsia="宋体" w:cs="Times New Roman"/>
                <w:kern w:val="0"/>
                <w:sz w:val="21"/>
                <w:szCs w:val="21"/>
                <w:u w:val="single"/>
                <w:lang w:bidi="en-US"/>
              </w:rPr>
              <w:t>高空达标排放，各废气产出节点均设有收集与净化设置，可确保达标排放。</w:t>
            </w:r>
          </w:p>
        </w:tc>
        <w:tc>
          <w:tcPr>
            <w:tcW w:w="397" w:type="pct"/>
            <w:vMerge w:val="restart"/>
            <w:vAlign w:val="center"/>
          </w:tcPr>
          <w:p w14:paraId="35F059C8">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符合</w:t>
            </w:r>
          </w:p>
        </w:tc>
      </w:tr>
      <w:tr w14:paraId="456973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380" w:type="pct"/>
            <w:vMerge w:val="continue"/>
            <w:vAlign w:val="center"/>
          </w:tcPr>
          <w:p w14:paraId="2082117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p>
        </w:tc>
        <w:tc>
          <w:tcPr>
            <w:tcW w:w="2868" w:type="pct"/>
            <w:vAlign w:val="center"/>
          </w:tcPr>
          <w:p w14:paraId="5BCA4102">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固废：做好工业固体废物和生活垃圾的分类收集、转运、综合利用和无害化处理，建立统一的固废收集、贮运、综合利用和安全处置的运营管理体系。推行清洁生产，减少固体废物产生量；加强固体废物的资源化进程，提高综合利用率；规范固体废物处理措施，对工业企业产生固体废物特别是危险固废应按国家有关规定综合利用或妥善处置，严防二次污染。</w:t>
            </w:r>
          </w:p>
        </w:tc>
        <w:tc>
          <w:tcPr>
            <w:tcW w:w="1355" w:type="pct"/>
            <w:vAlign w:val="center"/>
          </w:tcPr>
          <w:p w14:paraId="047CE59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本项目设有危废贮存库，危废分类暂存于危废贮存库后根据生产需求进行综合利用</w:t>
            </w:r>
          </w:p>
        </w:tc>
        <w:tc>
          <w:tcPr>
            <w:tcW w:w="397" w:type="pct"/>
            <w:vMerge w:val="continue"/>
            <w:vAlign w:val="center"/>
          </w:tcPr>
          <w:p w14:paraId="72D2C684">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p>
        </w:tc>
      </w:tr>
      <w:tr w14:paraId="23D303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5" w:hRule="atLeast"/>
          <w:jc w:val="center"/>
        </w:trPr>
        <w:tc>
          <w:tcPr>
            <w:tcW w:w="380" w:type="pct"/>
            <w:vMerge w:val="continue"/>
            <w:vAlign w:val="center"/>
          </w:tcPr>
          <w:p w14:paraId="6EBD57A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p>
        </w:tc>
        <w:tc>
          <w:tcPr>
            <w:tcW w:w="2868" w:type="pct"/>
            <w:vAlign w:val="center"/>
          </w:tcPr>
          <w:p w14:paraId="44D04C71">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园区水泥行业及涉锅炉大气污染物排放应满足《湖南省生态环境厅关于执行污染物特别排放限值（第一批）的公告》的要求。</w:t>
            </w:r>
          </w:p>
        </w:tc>
        <w:tc>
          <w:tcPr>
            <w:tcW w:w="1355" w:type="pct"/>
            <w:vAlign w:val="center"/>
          </w:tcPr>
          <w:p w14:paraId="06FD44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本项目不属于水泥行业，不设置锅炉</w:t>
            </w:r>
          </w:p>
        </w:tc>
        <w:tc>
          <w:tcPr>
            <w:tcW w:w="397" w:type="pct"/>
            <w:vAlign w:val="center"/>
          </w:tcPr>
          <w:p w14:paraId="7DA94BA4">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p>
        </w:tc>
      </w:tr>
      <w:tr w14:paraId="488F58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Align w:val="center"/>
          </w:tcPr>
          <w:p w14:paraId="2B03776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环境风险防控</w:t>
            </w:r>
          </w:p>
        </w:tc>
        <w:tc>
          <w:tcPr>
            <w:tcW w:w="2868" w:type="pct"/>
            <w:vAlign w:val="center"/>
          </w:tcPr>
          <w:p w14:paraId="3B61E99D">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3.1）园区应建立健全环境风险防控体系，严格落实《湖南衡阳松木经济开发区突发环境事件应急预案》中提出的各项环境风险事故</w:t>
            </w:r>
          </w:p>
          <w:p w14:paraId="5E7CE4B1">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防范措施，严防环境风险事故发生，提高应急处置能力。</w:t>
            </w:r>
          </w:p>
          <w:p w14:paraId="1894DB45">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3.2）园区可能发生突发环境事件的污染物排放企业，生产、储存、运输、使用危险化学品的企业，产生、收集、贮存、运输、利用、处置危险废物的企业等应当编制和实施环境应急预案；鼓励其他企业制定单独的环境应急预案，或在突发事件应急预案中制定环境应急预案专章，并备案。</w:t>
            </w:r>
          </w:p>
          <w:p w14:paraId="18A71313">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（3.3）建设用地土壤风险防控：</w:t>
            </w:r>
          </w:p>
          <w:p w14:paraId="3C4DB138">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结合土壤污染状况详查情况，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w:t>
            </w:r>
          </w:p>
        </w:tc>
        <w:tc>
          <w:tcPr>
            <w:tcW w:w="1355" w:type="pct"/>
            <w:vAlign w:val="center"/>
          </w:tcPr>
          <w:p w14:paraId="2ADF713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评价要求项目建成后应编制企业突发环境事件应急预案并备案，定期开展应急演练，定期开展土壤监测</w:t>
            </w:r>
          </w:p>
        </w:tc>
        <w:tc>
          <w:tcPr>
            <w:tcW w:w="397" w:type="pct"/>
            <w:vAlign w:val="center"/>
          </w:tcPr>
          <w:p w14:paraId="76EDA8D1">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符合</w:t>
            </w:r>
          </w:p>
        </w:tc>
      </w:tr>
      <w:tr w14:paraId="718C57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380" w:type="pct"/>
            <w:vAlign w:val="center"/>
          </w:tcPr>
          <w:p w14:paraId="5C8270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资源开发效率要求</w:t>
            </w:r>
          </w:p>
        </w:tc>
        <w:tc>
          <w:tcPr>
            <w:tcW w:w="2868" w:type="pct"/>
            <w:vAlign w:val="center"/>
          </w:tcPr>
          <w:p w14:paraId="5064E2DF">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4.1）能源：新建项目必须使用清洁能源，扩区范围限制新批燃煤设施，现有园区燃煤装置燃煤含硫率在1%以下。提高能源支撑保障能力、加快转变能源发展方式、推进能源结构调整、促进节能减排。在园区新建燃气热电联产机组，推广天然气利用，提高清洁能源消费比例。到2020年园区年综合能源消费量当量值预测为66.6972万吨标煤，单位GDP能耗当量值预测为0.465吨标煤/万元；到2025年园区年综合能源消费量当量值预测为90.2298吨标煤，单位GDP能耗当量值预测为0.390吨标煤/万元。</w:t>
            </w:r>
          </w:p>
          <w:p w14:paraId="4B827D97">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4.2）水资源：强化工业节水，淘汰落后的用水技术、工艺、产品和设备，开展高耗水工业行业节水技术改造，开展水平衡测试和用水效率评估，大力推广工业水循环利用，推进节水型企业、节水型工业园区建设。实施最严格水资源管理制度考核，突出用水总量和强度控制目标，到2020年，石鼓区万元工业增加值用水量比2015年下降32.7%，万元GDP用水量应比2015年下降30%。园区用水总量控制指标2020年为0.19亿立方米，2030年为0.19亿立方米。</w:t>
            </w:r>
          </w:p>
          <w:p w14:paraId="087D2A0A">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（4.3）土地资源：提高土地使用效率和节约集约程度，园区土地投资强度达到3000万元/公顷。严格执行土地使用标准，工业项目投资强度执行《湖南省建设用地指标》（2020版）六等区域控制指标要求。</w:t>
            </w:r>
          </w:p>
        </w:tc>
        <w:tc>
          <w:tcPr>
            <w:tcW w:w="1355" w:type="pct"/>
            <w:vAlign w:val="center"/>
          </w:tcPr>
          <w:p w14:paraId="33D1D14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本项目能源主要为园区电能，不建设燃煤锅炉；项目生产废水经处理后优先回用于生产工序，符合节水要求。</w:t>
            </w:r>
          </w:p>
        </w:tc>
        <w:tc>
          <w:tcPr>
            <w:tcW w:w="397" w:type="pct"/>
            <w:vAlign w:val="center"/>
          </w:tcPr>
          <w:p w14:paraId="4002A737">
            <w:pPr>
              <w:keepNext w:val="0"/>
              <w:keepLines w:val="0"/>
              <w:suppressLineNumbers w:val="0"/>
              <w:spacing w:before="0" w:beforeAutospacing="0" w:after="0" w:afterAutospacing="0"/>
              <w:ind w:left="0" w:right="0"/>
              <w:rPr>
                <w:rFonts w:hint="default" w:ascii="Times New Roman" w:hAnsi="Times New Roman" w:eastAsia="宋体" w:cs="Times New Roman"/>
                <w:kern w:val="0"/>
                <w:sz w:val="21"/>
                <w:szCs w:val="21"/>
                <w:u w:val="single"/>
                <w:lang w:bidi="en-US"/>
              </w:rPr>
            </w:pPr>
            <w:r>
              <w:rPr>
                <w:rFonts w:hint="default" w:ascii="Times New Roman" w:hAnsi="Times New Roman" w:eastAsia="宋体" w:cs="Times New Roman"/>
                <w:kern w:val="0"/>
                <w:sz w:val="21"/>
                <w:szCs w:val="21"/>
                <w:u w:val="single"/>
                <w:lang w:bidi="en-US"/>
              </w:rPr>
              <w:t>符合</w:t>
            </w:r>
          </w:p>
        </w:tc>
      </w:tr>
    </w:tbl>
    <w:p w14:paraId="1F378A6B">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根据上表的分析，本项目符合《湖南省“三线一单”生态环境总体管控要求暨省级以上产业园区生态环境准入清单》。</w:t>
      </w:r>
    </w:p>
    <w:p w14:paraId="0FAF8539">
      <w:pPr>
        <w:pStyle w:val="4"/>
        <w:spacing w:before="0" w:after="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1.5.4与“三线一单”相符性分析</w:t>
      </w:r>
    </w:p>
    <w:p w14:paraId="4879482C">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（1）生态保护红线</w:t>
      </w:r>
    </w:p>
    <w:p w14:paraId="6585C678">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生态保护红线是生态空间范围内具有特殊重要生态功能必须实行强制性严格保护的区域。在生态保护红线范围内，严控各类开发建设活动，依法不予审批新建工业项目和矿产开发项目的环评文件。</w:t>
      </w:r>
    </w:p>
    <w:p w14:paraId="4689B9EF">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根据衡阳市生态红线划定结果，松木经开区园区红线范围不属于生态红线范围内。本项目位于松木经开区内，不涉及生态保护红线。</w:t>
      </w:r>
    </w:p>
    <w:p w14:paraId="0794AE05">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（2）环境质量底线</w:t>
      </w:r>
    </w:p>
    <w:p w14:paraId="12E8D891">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根据分析可知，</w:t>
      </w:r>
      <w:r>
        <w:rPr>
          <w:rFonts w:hint="default" w:ascii="Times New Roman" w:hAnsi="Times New Roman" w:eastAsia="宋体" w:cs="Times New Roman"/>
          <w:sz w:val="24"/>
          <w:szCs w:val="24"/>
          <w:u w:val="single"/>
        </w:rPr>
        <w:t>202</w:t>
      </w:r>
      <w:r>
        <w:rPr>
          <w:rFonts w:hint="default" w:ascii="Times New Roman" w:hAnsi="Times New Roman" w:eastAsia="宋体" w:cs="Times New Roman"/>
          <w:sz w:val="24"/>
          <w:szCs w:val="24"/>
          <w:u w:val="single"/>
          <w:lang w:val="en-US" w:eastAsia="zh-CN"/>
        </w:rPr>
        <w:t>2</w:t>
      </w:r>
      <w:r>
        <w:rPr>
          <w:rFonts w:hint="default" w:ascii="Times New Roman" w:hAnsi="Times New Roman" w:eastAsia="宋体" w:cs="Times New Roman"/>
          <w:sz w:val="24"/>
          <w:szCs w:val="24"/>
          <w:u w:val="single"/>
        </w:rPr>
        <w:t>年项目所在区域环境空气质量为达标区</w:t>
      </w:r>
      <w:r>
        <w:rPr>
          <w:rFonts w:hint="default" w:ascii="Times New Roman" w:hAnsi="Times New Roman" w:eastAsia="宋体" w:cs="Times New Roman"/>
          <w:sz w:val="24"/>
          <w:szCs w:val="21"/>
          <w:u w:val="single"/>
        </w:rPr>
        <w:t>；项目所在区域地表水、声环境、地下水及土壤都能达到相应质量标准要求。由工程分析和环境影响预测可知，本项目建设对周边环境影响较小，可以接受。且本项目废气主要污染因子不涉及颗粒物，未触及环境质量底线。</w:t>
      </w:r>
    </w:p>
    <w:p w14:paraId="5D33C6EF">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（3）资源利用上线</w:t>
      </w:r>
    </w:p>
    <w:p w14:paraId="2E80B57D">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本项目为废弃资源综合利用（危险废物综合利用），不属于高能耗高资源消耗的行业，能源消耗量小，未触及资源利用上线。</w:t>
      </w:r>
    </w:p>
    <w:p w14:paraId="1181263A">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（4）</w:t>
      </w:r>
      <w:r>
        <w:rPr>
          <w:rFonts w:hint="default" w:ascii="Times New Roman" w:hAnsi="Times New Roman" w:eastAsia="宋体" w:cs="Times New Roman"/>
          <w:sz w:val="24"/>
          <w:szCs w:val="21"/>
          <w:u w:val="single"/>
          <w:lang w:val="en-US" w:eastAsia="zh-CN"/>
        </w:rPr>
        <w:t>生态</w:t>
      </w:r>
      <w:r>
        <w:rPr>
          <w:rFonts w:hint="default" w:ascii="Times New Roman" w:hAnsi="Times New Roman" w:eastAsia="宋体" w:cs="Times New Roman"/>
          <w:sz w:val="24"/>
          <w:szCs w:val="21"/>
          <w:u w:val="single"/>
        </w:rPr>
        <w:t>环境准入清单</w:t>
      </w:r>
    </w:p>
    <w:p w14:paraId="13AAEB59">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根据前述分析，项目不属于湖南衡阳松木经济开发区环境准入行业负面清单，符合《湖南省“三线一单”生态环境总体管控要求暨省级以上产业园区生态环境准入清单》的要求。</w:t>
      </w:r>
    </w:p>
    <w:p w14:paraId="54EE97A5">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综上所述，本项目符合“三线一单”的要求。</w:t>
      </w:r>
    </w:p>
    <w:p w14:paraId="13B2E905">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1.5.4 与《湖南省长江经济带发展负面清单实施细则（试行）2022版》相符性分析</w:t>
      </w:r>
    </w:p>
    <w:p w14:paraId="6F423756">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湖南省推动长江经济带发展领导小组办公室2022年6月30日发布了第70号文件“关于印发《湖南省长江经济带发展负面清单实施细则（试行）</w:t>
      </w:r>
      <w:r>
        <w:rPr>
          <w:rFonts w:hint="default" w:ascii="Times New Roman" w:hAnsi="Times New Roman" w:eastAsia="宋体" w:cs="Times New Roman"/>
          <w:sz w:val="24"/>
          <w:szCs w:val="24"/>
        </w:rPr>
        <w:t>2022版</w:t>
      </w:r>
      <w:r>
        <w:rPr>
          <w:rFonts w:hint="default" w:ascii="Times New Roman" w:hAnsi="Times New Roman" w:eastAsia="宋体" w:cs="Times New Roman"/>
          <w:sz w:val="24"/>
          <w:szCs w:val="21"/>
        </w:rPr>
        <w:t>》的通知”，其中明确指出了以下负面清单：“第九条、禁止在水产种质资源保护区的岸线和河段范围内新建排污口、实施非法围垦河道和围湖造田造地等投资建设项目；第十五条、禁止在长江湖南段和洞庭湖、湘江、资江、沅江、澧水干流岸线一公里范围内新建、扩建化工园区和化工项目。禁止在长江湖南段岸线三公里范围内和湘江、资江、沅江、澧水岸线一公里范围内新建、改建、扩建尾矿库、冶炼渣库和磷石膏库，以提升安全、生态环境保护水平为目的的改建除外。”</w:t>
      </w:r>
    </w:p>
    <w:p w14:paraId="05C6C897">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不新建入河排污口，生产废水经厂区综合废水处理设施处理后排入园区管网进入松木污水处理厂深度处理达标后外排湘江；生活污水经预处理后排入园区管网进入松木污水处理厂深度处理达标后外排湘江；本项目位于松木工业园，不属于钢铁、石化、化工、焦化、建材、有色等高污染项目。因此，本项目的建设与《湖南省长江经济带发展负面清单实施细则（试行）》相符。</w:t>
      </w:r>
    </w:p>
    <w:p w14:paraId="08398AD6">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 xml:space="preserve"> 与《危险废物贮存污染控制标准》</w:t>
      </w:r>
      <w:r>
        <w:rPr>
          <w:rFonts w:hint="default" w:ascii="Times New Roman" w:hAnsi="Times New Roman" w:eastAsia="宋体" w:cs="Times New Roman"/>
          <w:color w:val="000000"/>
          <w:spacing w:val="0"/>
          <w:kern w:val="0"/>
          <w:sz w:val="24"/>
          <w:lang w:bidi="ar"/>
        </w:rPr>
        <w:t>（GB18597-2023）</w:t>
      </w:r>
      <w:r>
        <w:rPr>
          <w:rFonts w:hint="default" w:ascii="Times New Roman" w:hAnsi="Times New Roman" w:eastAsia="宋体" w:cs="Times New Roman"/>
          <w:sz w:val="24"/>
          <w:szCs w:val="24"/>
        </w:rPr>
        <w:t>的符合性分析</w:t>
      </w:r>
    </w:p>
    <w:p w14:paraId="1DF3FA12">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000000"/>
          <w:spacing w:val="0"/>
          <w:kern w:val="0"/>
          <w:sz w:val="24"/>
          <w:lang w:bidi="ar"/>
        </w:rPr>
      </w:pPr>
      <w:r>
        <w:rPr>
          <w:rFonts w:hint="default" w:ascii="Times New Roman" w:hAnsi="Times New Roman" w:eastAsia="宋体" w:cs="Times New Roman"/>
          <w:color w:val="000000"/>
          <w:spacing w:val="0"/>
          <w:kern w:val="0"/>
          <w:sz w:val="24"/>
          <w:lang w:bidi="ar"/>
        </w:rPr>
        <w:t>《危险废物贮存污染控制标准》（GB18597-2023）已于2023年7月1日起实施。本项目危险废物的收集、贮存必须按照《危险废物贮存污染控制标准》（GB18597-2023）执行，项目与该标准相关的污染控制因素符合性对照分析如下：</w:t>
      </w:r>
    </w:p>
    <w:p w14:paraId="31D94BFC">
      <w:pPr>
        <w:bidi w:val="0"/>
        <w:jc w:val="center"/>
        <w:rPr>
          <w:rFonts w:hint="default" w:ascii="Times New Roman" w:hAnsi="Times New Roman" w:eastAsia="宋体" w:cs="Times New Roman"/>
          <w:b/>
          <w:bCs/>
        </w:rPr>
      </w:pPr>
      <w:r>
        <w:rPr>
          <w:rFonts w:hint="default" w:ascii="Times New Roman" w:hAnsi="Times New Roman" w:eastAsia="宋体" w:cs="Times New Roman"/>
          <w:b/>
          <w:bCs/>
        </w:rPr>
        <w:t>表</w:t>
      </w:r>
      <w:r>
        <w:rPr>
          <w:rFonts w:hint="default" w:ascii="Times New Roman" w:hAnsi="Times New Roman" w:eastAsia="宋体" w:cs="Times New Roman"/>
          <w:b/>
          <w:bCs/>
          <w:lang w:val="en-US" w:eastAsia="zh-CN"/>
        </w:rPr>
        <w:t xml:space="preserve">1.5-2 </w:t>
      </w:r>
      <w:r>
        <w:rPr>
          <w:rFonts w:hint="default" w:ascii="Times New Roman" w:hAnsi="Times New Roman" w:eastAsia="宋体" w:cs="Times New Roman"/>
          <w:b/>
          <w:bCs/>
        </w:rPr>
        <w:t>项目与《危险废物贮存污染控制标准》相关要求的符合性分析表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55"/>
        <w:gridCol w:w="663"/>
        <w:gridCol w:w="2796"/>
        <w:gridCol w:w="2695"/>
        <w:gridCol w:w="1113"/>
      </w:tblGrid>
      <w:tr w14:paraId="132360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Align w:val="center"/>
          </w:tcPr>
          <w:p w14:paraId="20A738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kern w:val="0"/>
                <w:position w:val="0"/>
                <w:sz w:val="18"/>
                <w:szCs w:val="18"/>
              </w:rPr>
            </w:pPr>
            <w:r>
              <w:rPr>
                <w:rFonts w:hint="default" w:ascii="Times New Roman" w:hAnsi="Times New Roman" w:eastAsia="宋体" w:cs="Times New Roman"/>
                <w:b/>
                <w:spacing w:val="0"/>
                <w:w w:val="100"/>
                <w:kern w:val="0"/>
                <w:position w:val="0"/>
                <w:sz w:val="18"/>
                <w:szCs w:val="18"/>
              </w:rPr>
              <w:t>项目</w:t>
            </w:r>
          </w:p>
        </w:tc>
        <w:tc>
          <w:tcPr>
            <w:tcW w:w="2029" w:type="pct"/>
            <w:gridSpan w:val="2"/>
            <w:vAlign w:val="center"/>
          </w:tcPr>
          <w:p w14:paraId="380375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kern w:val="0"/>
                <w:position w:val="0"/>
                <w:sz w:val="18"/>
                <w:szCs w:val="18"/>
              </w:rPr>
            </w:pPr>
            <w:r>
              <w:rPr>
                <w:rFonts w:hint="default" w:ascii="Times New Roman" w:hAnsi="Times New Roman" w:eastAsia="宋体" w:cs="Times New Roman"/>
                <w:b/>
                <w:spacing w:val="0"/>
                <w:w w:val="100"/>
                <w:kern w:val="0"/>
                <w:position w:val="0"/>
                <w:sz w:val="18"/>
                <w:szCs w:val="18"/>
              </w:rPr>
              <w:t>标准条款及要求</w:t>
            </w:r>
          </w:p>
        </w:tc>
        <w:tc>
          <w:tcPr>
            <w:tcW w:w="1581" w:type="pct"/>
            <w:vAlign w:val="center"/>
          </w:tcPr>
          <w:p w14:paraId="281816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kern w:val="0"/>
                <w:position w:val="0"/>
                <w:sz w:val="18"/>
                <w:szCs w:val="18"/>
              </w:rPr>
            </w:pPr>
            <w:r>
              <w:rPr>
                <w:rFonts w:hint="default" w:ascii="Times New Roman" w:hAnsi="Times New Roman" w:eastAsia="宋体" w:cs="Times New Roman"/>
                <w:b/>
                <w:spacing w:val="0"/>
                <w:w w:val="100"/>
                <w:kern w:val="0"/>
                <w:position w:val="0"/>
                <w:sz w:val="18"/>
                <w:szCs w:val="18"/>
              </w:rPr>
              <w:t>本项目情况</w:t>
            </w:r>
          </w:p>
        </w:tc>
        <w:tc>
          <w:tcPr>
            <w:tcW w:w="653" w:type="pct"/>
            <w:vAlign w:val="center"/>
          </w:tcPr>
          <w:p w14:paraId="795093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kern w:val="0"/>
                <w:position w:val="0"/>
                <w:sz w:val="18"/>
                <w:szCs w:val="18"/>
              </w:rPr>
            </w:pPr>
            <w:r>
              <w:rPr>
                <w:rFonts w:hint="default" w:ascii="Times New Roman" w:hAnsi="Times New Roman" w:eastAsia="宋体" w:cs="Times New Roman"/>
                <w:b/>
                <w:spacing w:val="0"/>
                <w:w w:val="100"/>
                <w:kern w:val="0"/>
                <w:position w:val="0"/>
                <w:sz w:val="18"/>
                <w:szCs w:val="18"/>
              </w:rPr>
              <w:t>符合情况</w:t>
            </w:r>
          </w:p>
        </w:tc>
      </w:tr>
      <w:tr w14:paraId="004A8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restart"/>
            <w:vAlign w:val="center"/>
          </w:tcPr>
          <w:p w14:paraId="49DD11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lang w:val="en-US" w:eastAsia="zh-CN"/>
              </w:rPr>
            </w:pPr>
            <w:r>
              <w:rPr>
                <w:rFonts w:hint="default" w:ascii="Times New Roman" w:hAnsi="Times New Roman" w:eastAsia="宋体" w:cs="Times New Roman"/>
                <w:bCs/>
                <w:spacing w:val="0"/>
                <w:w w:val="100"/>
                <w:kern w:val="0"/>
                <w:position w:val="0"/>
                <w:sz w:val="18"/>
                <w:szCs w:val="18"/>
                <w:lang w:val="en-US" w:eastAsia="zh-CN"/>
              </w:rPr>
              <w:t>总体要求</w:t>
            </w:r>
          </w:p>
        </w:tc>
        <w:tc>
          <w:tcPr>
            <w:tcW w:w="2029" w:type="pct"/>
            <w:gridSpan w:val="2"/>
            <w:vAlign w:val="center"/>
          </w:tcPr>
          <w:p w14:paraId="595A03E7">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spacing w:val="0"/>
                <w:w w:val="100"/>
                <w:position w:val="0"/>
                <w:sz w:val="18"/>
                <w:szCs w:val="18"/>
              </w:rPr>
              <w:t>产生、收集、贮存、利用、处置危险废物的单位应建造危险废物贮存设施或设置贮存场所，并根据需要选择贮存设施类型。</w:t>
            </w:r>
          </w:p>
        </w:tc>
        <w:tc>
          <w:tcPr>
            <w:tcW w:w="1581" w:type="pct"/>
            <w:vAlign w:val="center"/>
          </w:tcPr>
          <w:p w14:paraId="4881FFE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spacing w:val="0"/>
                <w:w w:val="100"/>
                <w:position w:val="0"/>
                <w:sz w:val="18"/>
                <w:szCs w:val="18"/>
              </w:rPr>
              <w:t>项目为危废收集、贮存项目，项目</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按照相关规范要求进行贮存设施建设。</w:t>
            </w:r>
          </w:p>
        </w:tc>
        <w:tc>
          <w:tcPr>
            <w:tcW w:w="653" w:type="pct"/>
            <w:vAlign w:val="center"/>
          </w:tcPr>
          <w:p w14:paraId="4A91840D">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position w:val="0"/>
                <w:sz w:val="18"/>
                <w:szCs w:val="18"/>
              </w:rPr>
            </w:pPr>
          </w:p>
          <w:p w14:paraId="68BD0FA2">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position w:val="0"/>
                <w:sz w:val="18"/>
                <w:szCs w:val="18"/>
              </w:rPr>
            </w:pPr>
          </w:p>
          <w:p w14:paraId="1AE2F55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spacing w:val="0"/>
                <w:w w:val="100"/>
                <w:position w:val="0"/>
                <w:sz w:val="18"/>
                <w:szCs w:val="18"/>
              </w:rPr>
              <w:t>符合</w:t>
            </w:r>
          </w:p>
        </w:tc>
      </w:tr>
      <w:tr w14:paraId="183801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67B7E3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06BA1121">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spacing w:val="0"/>
                <w:w w:val="100"/>
                <w:position w:val="0"/>
                <w:sz w:val="18"/>
                <w:szCs w:val="18"/>
              </w:rPr>
              <w:t>贮存危险废物应根据危险废物的类 别、数量、形态、物理化学性质和环境风险等因素，确定贮存设施或场所类型和规模。</w:t>
            </w:r>
          </w:p>
        </w:tc>
        <w:tc>
          <w:tcPr>
            <w:tcW w:w="1581" w:type="pct"/>
            <w:vAlign w:val="center"/>
          </w:tcPr>
          <w:p w14:paraId="1C077DC4">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spacing w:val="0"/>
                <w:w w:val="100"/>
                <w:position w:val="0"/>
                <w:sz w:val="18"/>
                <w:szCs w:val="18"/>
              </w:rPr>
              <w:t>本项目</w:t>
            </w:r>
            <w:r>
              <w:rPr>
                <w:rFonts w:hint="default" w:ascii="Times New Roman" w:hAnsi="Times New Roman" w:eastAsia="宋体" w:cs="Times New Roman"/>
                <w:spacing w:val="0"/>
                <w:w w:val="100"/>
                <w:position w:val="0"/>
                <w:sz w:val="18"/>
                <w:szCs w:val="18"/>
                <w:lang w:val="en-US" w:eastAsia="zh-CN"/>
              </w:rPr>
              <w:t>拟</w:t>
            </w:r>
            <w:r>
              <w:rPr>
                <w:rFonts w:hint="default" w:ascii="Times New Roman" w:hAnsi="Times New Roman" w:eastAsia="宋体" w:cs="Times New Roman"/>
                <w:spacing w:val="0"/>
                <w:w w:val="100"/>
                <w:position w:val="0"/>
                <w:sz w:val="18"/>
                <w:szCs w:val="18"/>
              </w:rPr>
              <w:t>根据危险废物的类别、数量、形态、物理化学性质和环境风险等因素采取不同类别分区住贮存，</w:t>
            </w:r>
            <w:r>
              <w:rPr>
                <w:rFonts w:hint="default" w:ascii="Times New Roman" w:hAnsi="Times New Roman" w:eastAsia="宋体" w:cs="Times New Roman"/>
                <w:spacing w:val="0"/>
                <w:w w:val="100"/>
                <w:position w:val="0"/>
                <w:sz w:val="18"/>
                <w:szCs w:val="18"/>
                <w:lang w:val="en-US" w:eastAsia="zh-CN"/>
              </w:rPr>
              <w:t>拟</w:t>
            </w:r>
            <w:r>
              <w:rPr>
                <w:rFonts w:hint="default" w:ascii="Times New Roman" w:hAnsi="Times New Roman" w:eastAsia="宋体" w:cs="Times New Roman"/>
                <w:spacing w:val="0"/>
                <w:w w:val="100"/>
                <w:position w:val="0"/>
                <w:sz w:val="18"/>
                <w:szCs w:val="18"/>
              </w:rPr>
              <w:t>根据场地及转运条件确定项目贮存规模。</w:t>
            </w:r>
          </w:p>
        </w:tc>
        <w:tc>
          <w:tcPr>
            <w:tcW w:w="653" w:type="pct"/>
            <w:vAlign w:val="center"/>
          </w:tcPr>
          <w:p w14:paraId="57566760">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position w:val="0"/>
                <w:sz w:val="18"/>
                <w:szCs w:val="18"/>
              </w:rPr>
            </w:pPr>
          </w:p>
          <w:p w14:paraId="42E27345">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position w:val="0"/>
                <w:sz w:val="18"/>
                <w:szCs w:val="18"/>
              </w:rPr>
            </w:pPr>
          </w:p>
          <w:p w14:paraId="2BCDCD42">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spacing w:val="0"/>
                <w:w w:val="100"/>
                <w:position w:val="0"/>
                <w:sz w:val="18"/>
                <w:szCs w:val="18"/>
              </w:rPr>
              <w:t>符合</w:t>
            </w:r>
          </w:p>
        </w:tc>
      </w:tr>
      <w:tr w14:paraId="1CC5A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49764F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63AF9C7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贮存危险废物应根据危险废物的类 别、形态、物理化学性质和污染防治要求进行分类贮存，且应避免危险废物与不相容的物质或材料接触。</w:t>
            </w:r>
          </w:p>
        </w:tc>
        <w:tc>
          <w:tcPr>
            <w:tcW w:w="1581" w:type="pct"/>
            <w:vAlign w:val="center"/>
          </w:tcPr>
          <w:p w14:paraId="01D949C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本项目仓库设置分区，根据危险废物的类别、形态、物理化学性质和污染防治要求进行分类贮存。项目</w:t>
            </w:r>
            <w:r>
              <w:rPr>
                <w:rFonts w:hint="default" w:ascii="Times New Roman" w:hAnsi="Times New Roman" w:eastAsia="宋体" w:cs="Times New Roman"/>
                <w:spacing w:val="0"/>
                <w:w w:val="100"/>
                <w:position w:val="0"/>
                <w:sz w:val="18"/>
                <w:szCs w:val="18"/>
                <w:lang w:val="en-US" w:eastAsia="zh-CN"/>
              </w:rPr>
              <w:t>拟</w:t>
            </w:r>
            <w:r>
              <w:rPr>
                <w:rFonts w:hint="default" w:ascii="Times New Roman" w:hAnsi="Times New Roman" w:eastAsia="宋体" w:cs="Times New Roman"/>
                <w:spacing w:val="0"/>
                <w:w w:val="100"/>
                <w:position w:val="0"/>
                <w:sz w:val="18"/>
                <w:szCs w:val="18"/>
              </w:rPr>
              <w:t>收集和暂存的不相容的危废均</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分类分区贮存，不在同一容器内混装</w:t>
            </w:r>
          </w:p>
        </w:tc>
        <w:tc>
          <w:tcPr>
            <w:tcW w:w="653" w:type="pct"/>
            <w:vAlign w:val="center"/>
          </w:tcPr>
          <w:p w14:paraId="50F9864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position w:val="0"/>
                <w:sz w:val="18"/>
                <w:szCs w:val="18"/>
              </w:rPr>
            </w:pPr>
          </w:p>
          <w:p w14:paraId="79CA4F9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spacing w:val="0"/>
                <w:w w:val="100"/>
                <w:position w:val="0"/>
                <w:sz w:val="18"/>
                <w:szCs w:val="18"/>
              </w:rPr>
            </w:pPr>
          </w:p>
          <w:p w14:paraId="679987D1">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spacing w:val="0"/>
                <w:w w:val="100"/>
                <w:position w:val="0"/>
                <w:sz w:val="18"/>
                <w:szCs w:val="18"/>
              </w:rPr>
              <w:t>符合</w:t>
            </w:r>
          </w:p>
        </w:tc>
      </w:tr>
      <w:tr w14:paraId="5C224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456416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3067CE8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tc>
        <w:tc>
          <w:tcPr>
            <w:tcW w:w="1581" w:type="pct"/>
            <w:vAlign w:val="center"/>
          </w:tcPr>
          <w:p w14:paraId="4FE62A77">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w:t>
            </w:r>
            <w:r>
              <w:rPr>
                <w:rFonts w:hint="default" w:ascii="Times New Roman" w:hAnsi="Times New Roman" w:eastAsia="宋体" w:cs="Times New Roman"/>
                <w:spacing w:val="0"/>
                <w:w w:val="100"/>
                <w:position w:val="0"/>
                <w:sz w:val="18"/>
                <w:szCs w:val="18"/>
                <w:lang w:val="en-US" w:eastAsia="zh-CN"/>
              </w:rPr>
              <w:t>拟</w:t>
            </w:r>
            <w:r>
              <w:rPr>
                <w:rFonts w:hint="default" w:ascii="Times New Roman" w:hAnsi="Times New Roman" w:eastAsia="宋体" w:cs="Times New Roman"/>
                <w:spacing w:val="0"/>
                <w:w w:val="100"/>
                <w:position w:val="0"/>
                <w:sz w:val="18"/>
                <w:szCs w:val="18"/>
              </w:rPr>
              <w:t>采取分区贮存，危险废物暂存间采取防渗措施，内设事故池，同时设置强制抽风换气系统，防止液态废物污染土壤及地下水，对不同废物贮存采取不同污染控制措施，严格按管理要求进行装卸、贮存及转运，减少VOCs、酸雾、有毒有害大气污染物和刺激性气味气体等污染物的产生。</w:t>
            </w:r>
          </w:p>
        </w:tc>
        <w:tc>
          <w:tcPr>
            <w:tcW w:w="653" w:type="pct"/>
            <w:vAlign w:val="center"/>
          </w:tcPr>
          <w:p w14:paraId="572643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r>
      <w:tr w14:paraId="2BDBCB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378933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3D1B468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危险废物贮存过程产生的液态废物和固态废物应分类收集，按其环境管理要求妥善处理。</w:t>
            </w:r>
          </w:p>
        </w:tc>
        <w:tc>
          <w:tcPr>
            <w:tcW w:w="1581" w:type="pct"/>
            <w:vAlign w:val="center"/>
          </w:tcPr>
          <w:p w14:paraId="34880454">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w:t>
            </w:r>
            <w:r>
              <w:rPr>
                <w:rFonts w:hint="default" w:ascii="Times New Roman" w:hAnsi="Times New Roman" w:eastAsia="宋体" w:cs="Times New Roman"/>
                <w:spacing w:val="0"/>
                <w:w w:val="100"/>
                <w:position w:val="0"/>
                <w:sz w:val="18"/>
                <w:szCs w:val="18"/>
                <w:lang w:val="en-US" w:eastAsia="zh-CN"/>
              </w:rPr>
              <w:t>拟对</w:t>
            </w:r>
            <w:r>
              <w:rPr>
                <w:rFonts w:hint="default" w:ascii="Times New Roman" w:hAnsi="Times New Roman" w:eastAsia="宋体" w:cs="Times New Roman"/>
                <w:spacing w:val="0"/>
                <w:w w:val="100"/>
                <w:position w:val="0"/>
                <w:sz w:val="18"/>
                <w:szCs w:val="18"/>
              </w:rPr>
              <w:t>危险废物贮存过程产生的液态废物和固态废物分类收集，按其环境管理要求妥善处理。</w:t>
            </w:r>
          </w:p>
        </w:tc>
        <w:tc>
          <w:tcPr>
            <w:tcW w:w="653" w:type="pct"/>
            <w:vAlign w:val="center"/>
          </w:tcPr>
          <w:p w14:paraId="3ED71D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r>
      <w:tr w14:paraId="71C8D6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09B5B1A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1811F509">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贮存设施或场所、容器和包装物应按HJ1276 要求设置危险废物贮存设施或场所标志、危险废物贮存分区标志和危险废物标签等危险废物识别标志。</w:t>
            </w:r>
          </w:p>
        </w:tc>
        <w:tc>
          <w:tcPr>
            <w:tcW w:w="1581" w:type="pct"/>
            <w:vAlign w:val="center"/>
          </w:tcPr>
          <w:p w14:paraId="29A1E5E0">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项目建设后按照HJ1276 要求设置危险废物贮存设施或场所标志、危险废物贮存分区标志和危险废物标签等危险废物识</w:t>
            </w:r>
          </w:p>
          <w:p w14:paraId="4875FF59">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别标志。</w:t>
            </w:r>
          </w:p>
        </w:tc>
        <w:tc>
          <w:tcPr>
            <w:tcW w:w="653" w:type="pct"/>
            <w:vAlign w:val="center"/>
          </w:tcPr>
          <w:p w14:paraId="2F0B8B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r>
      <w:tr w14:paraId="1144CC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29917E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306A462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HJ1259 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tc>
        <w:tc>
          <w:tcPr>
            <w:tcW w:w="1581" w:type="pct"/>
            <w:vAlign w:val="center"/>
          </w:tcPr>
          <w:p w14:paraId="13FA91C4">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本项目建设单位</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严格采用电子地磅、电子标签、电子管理台账等技术手段对危险废物贮存过程进行信息化管理，确保数据完整、真实、准确；采用视频监控的应确保监控画面清晰，视频记录保存时间至少为3个月。</w:t>
            </w:r>
          </w:p>
        </w:tc>
        <w:tc>
          <w:tcPr>
            <w:tcW w:w="653" w:type="pct"/>
            <w:vAlign w:val="center"/>
          </w:tcPr>
          <w:p w14:paraId="29A814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r>
      <w:tr w14:paraId="67DE9F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6" w:type="pct"/>
            <w:vMerge w:val="continue"/>
            <w:vAlign w:val="center"/>
          </w:tcPr>
          <w:p w14:paraId="30EF2F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0837A2C1">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退役时，所有者或运营者应依法履行环境保护责任，退役前应妥善处理处置贮存设施内剩余的危险废物，并对贮存设施进行清理，消除污染；还应依据土壤污染防治相关法律法规履行场地环境风险防控责任。在常温常压下易爆、易燃及排出有毒气体的危险废物应进行预处理，使之稳定后贮存，否则应按易爆、易燃危险品贮存。</w:t>
            </w:r>
          </w:p>
        </w:tc>
        <w:tc>
          <w:tcPr>
            <w:tcW w:w="1581" w:type="pct"/>
            <w:vAlign w:val="center"/>
          </w:tcPr>
          <w:p w14:paraId="2C41AD9D">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lang w:val="en-US" w:eastAsia="zh-CN"/>
              </w:rPr>
              <w:t>本项目</w:t>
            </w:r>
            <w:r>
              <w:rPr>
                <w:rFonts w:hint="default" w:ascii="Times New Roman" w:hAnsi="Times New Roman" w:eastAsia="宋体" w:cs="Times New Roman"/>
                <w:spacing w:val="0"/>
                <w:w w:val="100"/>
                <w:position w:val="0"/>
                <w:sz w:val="18"/>
                <w:szCs w:val="18"/>
              </w:rPr>
              <w:t>贮存设施退役时</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严格按照相关要求执行。</w:t>
            </w:r>
          </w:p>
        </w:tc>
        <w:tc>
          <w:tcPr>
            <w:tcW w:w="653" w:type="pct"/>
            <w:vAlign w:val="center"/>
          </w:tcPr>
          <w:p w14:paraId="2202DA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r>
      <w:tr w14:paraId="29462D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36" w:type="pct"/>
            <w:vMerge w:val="continue"/>
            <w:vAlign w:val="center"/>
          </w:tcPr>
          <w:p w14:paraId="23B6E6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1A132E92">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危险废物贮存除应满足环境保护相关要求外，还应执行国家安全生产、职业健康、交通运输、消防等法律法规和标准的相关要求。</w:t>
            </w:r>
          </w:p>
        </w:tc>
        <w:tc>
          <w:tcPr>
            <w:tcW w:w="1581" w:type="pct"/>
            <w:vAlign w:val="center"/>
          </w:tcPr>
          <w:p w14:paraId="09038F3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严格执行国家安全生产、职业健康、交通运输、消防等法律法规和标准的相关要求。</w:t>
            </w:r>
          </w:p>
        </w:tc>
        <w:tc>
          <w:tcPr>
            <w:tcW w:w="653" w:type="pct"/>
            <w:vAlign w:val="center"/>
          </w:tcPr>
          <w:p w14:paraId="65B398B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r>
      <w:tr w14:paraId="2B0C3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restart"/>
            <w:vAlign w:val="center"/>
          </w:tcPr>
          <w:p w14:paraId="6636F8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lang w:val="en-US" w:eastAsia="zh-CN"/>
              </w:rPr>
            </w:pPr>
            <w:r>
              <w:rPr>
                <w:rFonts w:hint="default" w:ascii="Times New Roman" w:hAnsi="Times New Roman" w:eastAsia="宋体" w:cs="Times New Roman"/>
                <w:bCs/>
                <w:spacing w:val="0"/>
                <w:w w:val="100"/>
                <w:kern w:val="0"/>
                <w:position w:val="0"/>
                <w:sz w:val="18"/>
                <w:szCs w:val="18"/>
              </w:rPr>
              <w:t>贮存</w:t>
            </w:r>
            <w:r>
              <w:rPr>
                <w:rFonts w:hint="default" w:ascii="Times New Roman" w:hAnsi="Times New Roman" w:eastAsia="宋体" w:cs="Times New Roman"/>
                <w:bCs/>
                <w:spacing w:val="0"/>
                <w:w w:val="100"/>
                <w:kern w:val="0"/>
                <w:position w:val="0"/>
                <w:sz w:val="18"/>
                <w:szCs w:val="18"/>
                <w:lang w:val="en-US" w:eastAsia="zh-CN"/>
              </w:rPr>
              <w:t>设施选址要求</w:t>
            </w:r>
          </w:p>
        </w:tc>
        <w:tc>
          <w:tcPr>
            <w:tcW w:w="2029" w:type="pct"/>
            <w:gridSpan w:val="2"/>
            <w:vAlign w:val="center"/>
          </w:tcPr>
          <w:p w14:paraId="792268F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贮存设施选址应满足生态环境保护法律法规、规划和“三线一单”生态环境分区管控的要求，建设项目应依法进行环境影响评价。</w:t>
            </w:r>
          </w:p>
        </w:tc>
        <w:tc>
          <w:tcPr>
            <w:tcW w:w="1581" w:type="pct"/>
            <w:vAlign w:val="center"/>
          </w:tcPr>
          <w:p w14:paraId="69A705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依法开展环境影响评价，项目选址不占用生态保护红线</w:t>
            </w:r>
          </w:p>
        </w:tc>
        <w:tc>
          <w:tcPr>
            <w:tcW w:w="653" w:type="pct"/>
            <w:vAlign w:val="center"/>
          </w:tcPr>
          <w:p w14:paraId="6A008B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352EE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0842C0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631EAAE1">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集中贮存设施不应选在生态保护红线区域、永久基本农田和其他需要特别保护的区域内，不应建在溶洞区或易遭受洪水、滑坡、泥石流、潮汐等严重自然灾害影响的地区。</w:t>
            </w:r>
          </w:p>
        </w:tc>
        <w:tc>
          <w:tcPr>
            <w:tcW w:w="1581" w:type="pct"/>
            <w:vAlign w:val="center"/>
          </w:tcPr>
          <w:p w14:paraId="555A7D96">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项目选址不在生态保护红线区域、永久基本农田和其他需要特别保护的区域内，不在溶洞区或易遭受洪水、滑坡、泥石流、潮汐等严重自然灾害影响</w:t>
            </w:r>
          </w:p>
          <w:p w14:paraId="509EC5D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的地区。</w:t>
            </w:r>
          </w:p>
        </w:tc>
        <w:tc>
          <w:tcPr>
            <w:tcW w:w="653" w:type="pct"/>
            <w:vAlign w:val="center"/>
          </w:tcPr>
          <w:p w14:paraId="314E91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4CF7A8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5B2DCD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296A2F0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贮存设施不应选在江河、湖泊、运河、渠道、水库及其最高水位线以下的滩地和岸坡，以及法律法规规定禁止贮存危险废物的其他地点。</w:t>
            </w:r>
          </w:p>
        </w:tc>
        <w:tc>
          <w:tcPr>
            <w:tcW w:w="1581" w:type="pct"/>
            <w:vAlign w:val="center"/>
          </w:tcPr>
          <w:p w14:paraId="54696EA8">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项目选址不在江河、湖泊、运河、渠道、水库及其最高水位线以下的滩地和岸坡，以及法律法规规定禁止贮存危险废物</w:t>
            </w:r>
          </w:p>
          <w:p w14:paraId="7B4DFF00">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的其他地点。</w:t>
            </w:r>
          </w:p>
        </w:tc>
        <w:tc>
          <w:tcPr>
            <w:tcW w:w="653" w:type="pct"/>
            <w:vAlign w:val="center"/>
          </w:tcPr>
          <w:p w14:paraId="70D646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74520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11BF5C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3602A75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贮存设施场址的位置以及其与周围环境敏感目标的距离应依据环境影响评价文件确定。</w:t>
            </w:r>
          </w:p>
        </w:tc>
        <w:tc>
          <w:tcPr>
            <w:tcW w:w="1581" w:type="pct"/>
            <w:vAlign w:val="center"/>
          </w:tcPr>
          <w:p w14:paraId="3098019D">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经环评分析评价，贮存设施场址的位置以及其与周围环境敏感目标的距离符合相关要求。</w:t>
            </w:r>
          </w:p>
        </w:tc>
        <w:tc>
          <w:tcPr>
            <w:tcW w:w="653" w:type="pct"/>
            <w:vAlign w:val="center"/>
          </w:tcPr>
          <w:p w14:paraId="143E03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5FABA3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restart"/>
            <w:vAlign w:val="center"/>
          </w:tcPr>
          <w:p w14:paraId="3DFEC2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lang w:val="en-US" w:eastAsia="zh-CN"/>
              </w:rPr>
            </w:pPr>
            <w:r>
              <w:rPr>
                <w:rFonts w:hint="default" w:ascii="Times New Roman" w:hAnsi="Times New Roman" w:eastAsia="宋体" w:cs="Times New Roman"/>
                <w:bCs/>
                <w:spacing w:val="0"/>
                <w:w w:val="100"/>
                <w:kern w:val="0"/>
                <w:position w:val="0"/>
                <w:sz w:val="18"/>
                <w:szCs w:val="18"/>
                <w:lang w:val="en-US" w:eastAsia="zh-CN"/>
              </w:rPr>
              <w:t>贮存设施污染控制要求</w:t>
            </w:r>
          </w:p>
        </w:tc>
        <w:tc>
          <w:tcPr>
            <w:tcW w:w="2029" w:type="pct"/>
            <w:gridSpan w:val="2"/>
            <w:vAlign w:val="center"/>
          </w:tcPr>
          <w:p w14:paraId="6A34E65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贮存设施应根据危险废物的形 态、物理化学性质、包装形式和污染物迁移途径，采取必要的防风、防晒、防雨、防漏、防渗、防腐以及其他环境污染防治措</w:t>
            </w:r>
          </w:p>
          <w:p w14:paraId="487F8AE5">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施，不应露天堆放危险废物。</w:t>
            </w:r>
          </w:p>
        </w:tc>
        <w:tc>
          <w:tcPr>
            <w:tcW w:w="1581" w:type="pct"/>
            <w:vAlign w:val="center"/>
          </w:tcPr>
          <w:p w14:paraId="158C4B09">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本项目建设的危险废物贮存设施</w:t>
            </w:r>
            <w:r>
              <w:rPr>
                <w:rFonts w:hint="default" w:ascii="Times New Roman" w:hAnsi="Times New Roman" w:eastAsia="宋体" w:cs="Times New Roman"/>
                <w:spacing w:val="0"/>
                <w:w w:val="100"/>
                <w:position w:val="0"/>
                <w:sz w:val="18"/>
                <w:szCs w:val="18"/>
                <w:lang w:val="en-US" w:eastAsia="zh-CN"/>
              </w:rPr>
              <w:t>均将</w:t>
            </w:r>
            <w:r>
              <w:rPr>
                <w:rFonts w:hint="default" w:ascii="Times New Roman" w:hAnsi="Times New Roman" w:eastAsia="宋体" w:cs="Times New Roman"/>
                <w:spacing w:val="0"/>
                <w:w w:val="100"/>
                <w:position w:val="0"/>
                <w:sz w:val="18"/>
                <w:szCs w:val="18"/>
              </w:rPr>
              <w:t>采取防风、防晒、防雨、防漏、防渗、防腐以及其他环境污染防治措施，项目禁止露天装卸或堆放危险废物。</w:t>
            </w:r>
          </w:p>
        </w:tc>
        <w:tc>
          <w:tcPr>
            <w:tcW w:w="653" w:type="pct"/>
            <w:vAlign w:val="center"/>
          </w:tcPr>
          <w:p w14:paraId="6A3B09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15A76D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708D240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3402A7F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贮存设施应根据危险废物的类 别、数量、形态、物理化学性质和污染防治等要求设置必要的贮存分区，避免不相容的危险废物接触、混合。</w:t>
            </w:r>
          </w:p>
        </w:tc>
        <w:tc>
          <w:tcPr>
            <w:tcW w:w="1581" w:type="pct"/>
            <w:vAlign w:val="center"/>
          </w:tcPr>
          <w:p w14:paraId="7D048A1D">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本项目根据危险废物的类别、形态、物理化学性质和污染防治要求进行分类贮存。项目收集和暂存的不相容的危废均分类分区贮存，不在同一容器内混装。</w:t>
            </w:r>
          </w:p>
        </w:tc>
        <w:tc>
          <w:tcPr>
            <w:tcW w:w="653" w:type="pct"/>
            <w:vAlign w:val="center"/>
          </w:tcPr>
          <w:p w14:paraId="7D150C4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72A767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7E2113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1D41659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贮存设施或贮存分区内地面、墙面裙脚、堵截泄漏的围堰、接触危险废物的隔板和墙体等应采用坚固的材料建造，表面无裂缝。</w:t>
            </w:r>
          </w:p>
        </w:tc>
        <w:tc>
          <w:tcPr>
            <w:tcW w:w="1581" w:type="pct"/>
            <w:vAlign w:val="center"/>
          </w:tcPr>
          <w:p w14:paraId="7565B0C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本项目建设过程</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按照要求，贮存分区内地面、墙面裙脚、堵截泄漏的围堰、接触危险废物的隔板和墙体等应采用坚固的</w:t>
            </w:r>
          </w:p>
          <w:p w14:paraId="69E5F805">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材料建造，表面无裂缝。</w:t>
            </w:r>
          </w:p>
        </w:tc>
        <w:tc>
          <w:tcPr>
            <w:tcW w:w="653" w:type="pct"/>
            <w:vAlign w:val="center"/>
          </w:tcPr>
          <w:p w14:paraId="748B77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7FA9BC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4D393C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5FCD62E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default" w:ascii="Times New Roman" w:hAnsi="Times New Roman" w:eastAsia="宋体" w:cs="Times New Roman"/>
                <w:spacing w:val="0"/>
                <w:w w:val="100"/>
                <w:position w:val="0"/>
                <w:sz w:val="18"/>
                <w:szCs w:val="18"/>
                <w:vertAlign w:val="superscript"/>
              </w:rPr>
              <w:t xml:space="preserve">-7 </w:t>
            </w:r>
            <w:r>
              <w:rPr>
                <w:rFonts w:hint="default" w:ascii="Times New Roman" w:hAnsi="Times New Roman" w:eastAsia="宋体" w:cs="Times New Roman"/>
                <w:spacing w:val="0"/>
                <w:w w:val="100"/>
                <w:position w:val="0"/>
                <w:sz w:val="18"/>
                <w:szCs w:val="18"/>
              </w:rPr>
              <w:t>cm/s），或至少2 mm 厚高密度聚乙烯膜等人工防渗材料（渗透系数不大于10-</w:t>
            </w:r>
            <w:r>
              <w:rPr>
                <w:rFonts w:hint="default" w:ascii="Times New Roman" w:hAnsi="Times New Roman" w:eastAsia="宋体" w:cs="Times New Roman"/>
                <w:spacing w:val="0"/>
                <w:w w:val="100"/>
                <w:position w:val="0"/>
                <w:sz w:val="18"/>
                <w:szCs w:val="18"/>
                <w:vertAlign w:val="superscript"/>
              </w:rPr>
              <w:t>10</w:t>
            </w:r>
            <w:r>
              <w:rPr>
                <w:rFonts w:hint="default" w:ascii="Times New Roman" w:hAnsi="Times New Roman" w:eastAsia="宋体" w:cs="Times New Roman"/>
                <w:spacing w:val="0"/>
                <w:w w:val="100"/>
                <w:position w:val="0"/>
                <w:sz w:val="18"/>
                <w:szCs w:val="18"/>
                <w:vertAlign w:val="baseline"/>
              </w:rPr>
              <w:t xml:space="preserve"> cm/s），或其他防渗性能</w:t>
            </w:r>
            <w:r>
              <w:rPr>
                <w:rFonts w:hint="default" w:ascii="Times New Roman" w:hAnsi="Times New Roman" w:eastAsia="宋体" w:cs="Times New Roman"/>
                <w:spacing w:val="0"/>
                <w:w w:val="100"/>
                <w:position w:val="0"/>
                <w:sz w:val="18"/>
                <w:szCs w:val="18"/>
              </w:rPr>
              <w:t>等效的材料。</w:t>
            </w:r>
          </w:p>
        </w:tc>
        <w:tc>
          <w:tcPr>
            <w:tcW w:w="1581" w:type="pct"/>
            <w:vAlign w:val="center"/>
          </w:tcPr>
          <w:p w14:paraId="524E0F82">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贮存设施地面与裙脚采取</w:t>
            </w:r>
            <w:r>
              <w:rPr>
                <w:rFonts w:hint="default" w:ascii="Times New Roman" w:hAnsi="Times New Roman" w:eastAsia="宋体" w:cs="Times New Roman"/>
                <w:spacing w:val="0"/>
                <w:w w:val="100"/>
                <w:position w:val="0"/>
                <w:sz w:val="18"/>
                <w:szCs w:val="18"/>
                <w:lang w:eastAsia="zh-CN"/>
              </w:rPr>
              <w:t>了</w:t>
            </w:r>
            <w:r>
              <w:rPr>
                <w:rFonts w:hint="default" w:ascii="Times New Roman" w:hAnsi="Times New Roman" w:eastAsia="宋体" w:cs="Times New Roman"/>
                <w:spacing w:val="0"/>
                <w:w w:val="100"/>
                <w:position w:val="0"/>
                <w:sz w:val="18"/>
                <w:szCs w:val="18"/>
                <w:lang w:val="en-US" w:eastAsia="zh-CN"/>
              </w:rPr>
              <w:t>基础防渗和</w:t>
            </w:r>
            <w:r>
              <w:rPr>
                <w:rFonts w:hint="default" w:ascii="Times New Roman" w:hAnsi="Times New Roman" w:eastAsia="宋体" w:cs="Times New Roman"/>
                <w:spacing w:val="0"/>
                <w:w w:val="100"/>
                <w:position w:val="0"/>
                <w:sz w:val="18"/>
                <w:szCs w:val="18"/>
              </w:rPr>
              <w:t>表面防渗措施；防渗处理方式为</w:t>
            </w:r>
            <w:r>
              <w:rPr>
                <w:rFonts w:hint="default" w:ascii="Times New Roman" w:hAnsi="Times New Roman" w:eastAsia="宋体" w:cs="Times New Roman"/>
                <w:spacing w:val="0"/>
                <w:w w:val="100"/>
                <w:position w:val="0"/>
                <w:sz w:val="18"/>
                <w:szCs w:val="18"/>
                <w:lang w:val="en-US" w:eastAsia="zh-CN"/>
              </w:rPr>
              <w:t>铺设满足渗透系数要求（</w:t>
            </w:r>
            <w:r>
              <w:rPr>
                <w:rFonts w:hint="default" w:ascii="Times New Roman" w:hAnsi="Times New Roman" w:eastAsia="宋体" w:cs="Times New Roman"/>
                <w:spacing w:val="0"/>
                <w:w w:val="100"/>
                <w:position w:val="0"/>
                <w:sz w:val="18"/>
                <w:szCs w:val="18"/>
              </w:rPr>
              <w:t>渗透系数</w:t>
            </w:r>
            <w:r>
              <w:rPr>
                <w:rFonts w:hint="default" w:ascii="Times New Roman" w:hAnsi="Times New Roman" w:eastAsia="宋体" w:cs="Times New Roman"/>
                <w:spacing w:val="0"/>
                <w:w w:val="100"/>
                <w:position w:val="0"/>
                <w:sz w:val="18"/>
                <w:szCs w:val="18"/>
                <w:lang w:val="en-US" w:eastAsia="zh-CN"/>
              </w:rPr>
              <w:t>＜</w:t>
            </w:r>
            <w:r>
              <w:rPr>
                <w:rFonts w:hint="default" w:ascii="Times New Roman" w:hAnsi="Times New Roman" w:eastAsia="宋体" w:cs="Times New Roman"/>
                <w:spacing w:val="0"/>
                <w:w w:val="100"/>
                <w:position w:val="0"/>
                <w:sz w:val="18"/>
                <w:szCs w:val="18"/>
              </w:rPr>
              <w:t>1.0×10</w:t>
            </w:r>
            <w:r>
              <w:rPr>
                <w:rFonts w:hint="default" w:ascii="Times New Roman" w:hAnsi="Times New Roman" w:eastAsia="宋体" w:cs="Times New Roman"/>
                <w:spacing w:val="0"/>
                <w:w w:val="100"/>
                <w:position w:val="0"/>
                <w:sz w:val="18"/>
                <w:szCs w:val="18"/>
                <w:vertAlign w:val="superscript"/>
              </w:rPr>
              <w:t>-10</w:t>
            </w:r>
            <w:r>
              <w:rPr>
                <w:rFonts w:hint="default" w:ascii="Times New Roman" w:hAnsi="Times New Roman" w:eastAsia="宋体" w:cs="Times New Roman"/>
                <w:spacing w:val="0"/>
                <w:w w:val="100"/>
                <w:position w:val="0"/>
                <w:sz w:val="18"/>
                <w:szCs w:val="18"/>
              </w:rPr>
              <w:t>cm/s</w:t>
            </w:r>
            <w:r>
              <w:rPr>
                <w:rFonts w:hint="default" w:ascii="Times New Roman" w:hAnsi="Times New Roman" w:eastAsia="宋体" w:cs="Times New Roman"/>
                <w:spacing w:val="0"/>
                <w:w w:val="100"/>
                <w:position w:val="0"/>
                <w:sz w:val="18"/>
                <w:szCs w:val="18"/>
                <w:lang w:val="en-US" w:eastAsia="zh-CN"/>
              </w:rPr>
              <w:t>）的防渗材料</w:t>
            </w:r>
            <w:r>
              <w:rPr>
                <w:rFonts w:hint="default" w:ascii="Times New Roman" w:hAnsi="Times New Roman" w:eastAsia="宋体" w:cs="Times New Roman"/>
                <w:spacing w:val="0"/>
                <w:w w:val="100"/>
                <w:position w:val="0"/>
                <w:sz w:val="18"/>
                <w:szCs w:val="18"/>
              </w:rPr>
              <w:t>。</w:t>
            </w:r>
          </w:p>
        </w:tc>
        <w:tc>
          <w:tcPr>
            <w:tcW w:w="653" w:type="pct"/>
            <w:vAlign w:val="center"/>
          </w:tcPr>
          <w:p w14:paraId="741338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5CA18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58B5B8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255E2D56">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同一贮存设施宜采用相同的防渗、防腐工艺（包括防渗、防腐结构或材料），防渗、防腐材料应覆盖所有可能与废物及其渗滤</w:t>
            </w:r>
          </w:p>
          <w:p w14:paraId="6DB6E2B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液、渗漏液等接触的构筑物表面； 采用不同防渗、防腐工艺应分别建设贮存分区。</w:t>
            </w:r>
          </w:p>
        </w:tc>
        <w:tc>
          <w:tcPr>
            <w:tcW w:w="1581" w:type="pct"/>
            <w:vAlign w:val="center"/>
          </w:tcPr>
          <w:p w14:paraId="61846604">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根据危险废物类别分区建设贮存区，防渗、防腐材料覆盖所有可能与废物及其渗滤液、渗漏液等接触的构筑物表面。</w:t>
            </w:r>
          </w:p>
        </w:tc>
        <w:tc>
          <w:tcPr>
            <w:tcW w:w="653" w:type="pct"/>
            <w:vAlign w:val="center"/>
          </w:tcPr>
          <w:p w14:paraId="61EDE1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4000F0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16FB14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7B69E52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贮存设施应采取技术和管理措施防止无关人员进入。</w:t>
            </w:r>
          </w:p>
        </w:tc>
        <w:tc>
          <w:tcPr>
            <w:tcW w:w="1581" w:type="pct"/>
            <w:vAlign w:val="center"/>
          </w:tcPr>
          <w:p w14:paraId="0F8036F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通过采取技术和管理措施防止无关人员进入（主要为上双锁及视频监控）。</w:t>
            </w:r>
          </w:p>
        </w:tc>
        <w:tc>
          <w:tcPr>
            <w:tcW w:w="653" w:type="pct"/>
            <w:vAlign w:val="center"/>
          </w:tcPr>
          <w:p w14:paraId="5017D7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5D60DD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0634E2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087B575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贮存库内不同贮存分区之间应采取隔离措施。隔离措施可根据危险废物特性采用过道、隔板或隔墙等方式。</w:t>
            </w:r>
          </w:p>
        </w:tc>
        <w:tc>
          <w:tcPr>
            <w:tcW w:w="1581" w:type="pct"/>
            <w:vAlign w:val="center"/>
          </w:tcPr>
          <w:p w14:paraId="5F5ADE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w:t>
            </w:r>
            <w:r>
              <w:rPr>
                <w:rFonts w:hint="default" w:ascii="Times New Roman" w:hAnsi="Times New Roman" w:eastAsia="宋体" w:cs="Times New Roman"/>
                <w:spacing w:val="0"/>
                <w:w w:val="100"/>
                <w:position w:val="0"/>
                <w:sz w:val="18"/>
                <w:szCs w:val="18"/>
                <w:lang w:val="en-US" w:eastAsia="zh-CN"/>
              </w:rPr>
              <w:t>将在</w:t>
            </w:r>
            <w:r>
              <w:rPr>
                <w:rFonts w:hint="default" w:ascii="Times New Roman" w:hAnsi="Times New Roman" w:eastAsia="宋体" w:cs="Times New Roman"/>
                <w:spacing w:val="0"/>
                <w:w w:val="100"/>
                <w:position w:val="0"/>
                <w:sz w:val="18"/>
                <w:szCs w:val="18"/>
              </w:rPr>
              <w:t>贮存库内不同贮存分区之间采取隔离措施，主要为过道及隔墙。</w:t>
            </w:r>
          </w:p>
        </w:tc>
        <w:tc>
          <w:tcPr>
            <w:tcW w:w="653" w:type="pct"/>
            <w:vAlign w:val="center"/>
          </w:tcPr>
          <w:p w14:paraId="1AAF83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2EDB08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Align w:val="center"/>
          </w:tcPr>
          <w:p w14:paraId="261257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5D8CC62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w:t>
            </w:r>
          </w:p>
          <w:p w14:paraId="2F2D78B6">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满足渗滤液的收集要求。</w:t>
            </w:r>
          </w:p>
        </w:tc>
        <w:tc>
          <w:tcPr>
            <w:tcW w:w="1581" w:type="pct"/>
            <w:vAlign w:val="center"/>
          </w:tcPr>
          <w:p w14:paraId="15516F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w:t>
            </w:r>
            <w:r>
              <w:rPr>
                <w:rFonts w:hint="default" w:ascii="Times New Roman" w:hAnsi="Times New Roman" w:eastAsia="宋体" w:cs="Times New Roman"/>
                <w:spacing w:val="0"/>
                <w:w w:val="100"/>
                <w:position w:val="0"/>
                <w:sz w:val="18"/>
                <w:szCs w:val="18"/>
                <w:lang w:val="en-US" w:eastAsia="zh-CN"/>
              </w:rPr>
              <w:t>拟在</w:t>
            </w:r>
            <w:r>
              <w:rPr>
                <w:rFonts w:hint="default" w:ascii="Times New Roman" w:hAnsi="Times New Roman" w:eastAsia="宋体" w:cs="Times New Roman"/>
                <w:spacing w:val="0"/>
                <w:w w:val="100"/>
                <w:position w:val="0"/>
                <w:sz w:val="18"/>
                <w:szCs w:val="18"/>
              </w:rPr>
              <w:t>贮存液态危险废物的区域设置截流沟及事故应急池。废矿物油</w:t>
            </w:r>
            <w:r>
              <w:rPr>
                <w:rFonts w:hint="default" w:ascii="Times New Roman" w:hAnsi="Times New Roman" w:eastAsia="宋体" w:cs="Times New Roman"/>
                <w:spacing w:val="0"/>
                <w:w w:val="100"/>
                <w:position w:val="0"/>
                <w:sz w:val="18"/>
                <w:szCs w:val="18"/>
                <w:vertAlign w:val="baseline"/>
              </w:rPr>
              <w:t>储油罐存放区域设置围堰容积</w:t>
            </w:r>
            <w:r>
              <w:rPr>
                <w:rFonts w:hint="default" w:ascii="Times New Roman" w:hAnsi="Times New Roman" w:eastAsia="宋体" w:cs="Times New Roman"/>
                <w:spacing w:val="0"/>
                <w:w w:val="100"/>
                <w:position w:val="0"/>
                <w:sz w:val="18"/>
                <w:szCs w:val="18"/>
                <w:vertAlign w:val="baseline"/>
                <w:lang w:val="en-US" w:eastAsia="zh-CN"/>
              </w:rPr>
              <w:t>将</w:t>
            </w:r>
            <w:r>
              <w:rPr>
                <w:rFonts w:hint="default" w:ascii="Times New Roman" w:hAnsi="Times New Roman" w:eastAsia="宋体" w:cs="Times New Roman"/>
                <w:spacing w:val="0"/>
                <w:w w:val="100"/>
                <w:position w:val="0"/>
                <w:sz w:val="18"/>
                <w:szCs w:val="18"/>
                <w:vertAlign w:val="baseline"/>
              </w:rPr>
              <w:t>不低于最大液态废物容器容积或液态废物总储量1/10（二者取较大者）要求。</w:t>
            </w:r>
          </w:p>
        </w:tc>
        <w:tc>
          <w:tcPr>
            <w:tcW w:w="653" w:type="pct"/>
            <w:vAlign w:val="center"/>
          </w:tcPr>
          <w:p w14:paraId="5960E8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r>
      <w:tr w14:paraId="38F2D1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Align w:val="center"/>
          </w:tcPr>
          <w:p w14:paraId="1452AA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20BB09D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贮存易产生粉尘、VOCs、酸雾、有毒有害大气污染物和刺激性气味气体的危险废物贮存库，应设置气体收集装置和气体净化设施；气体净化设施的排气筒高度应符合 GB16297要求。</w:t>
            </w:r>
          </w:p>
        </w:tc>
        <w:tc>
          <w:tcPr>
            <w:tcW w:w="1581" w:type="pct"/>
            <w:vAlign w:val="center"/>
          </w:tcPr>
          <w:p w14:paraId="2B35F8E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各类危险废物入库和转运出库的包装方式不变，除废矿物油外，其他危险废物均不分装、不倒罐，同时均采用密闭包装容器进行储存，正常情况下不会或会有极少量废气产生，这部分废气很难在贮存场进行收集，项目废气采取抽排风系统进行废气换气处理。</w:t>
            </w:r>
          </w:p>
        </w:tc>
        <w:tc>
          <w:tcPr>
            <w:tcW w:w="653" w:type="pct"/>
            <w:vAlign w:val="center"/>
          </w:tcPr>
          <w:p w14:paraId="6AFD26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r>
      <w:tr w14:paraId="27639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restart"/>
            <w:vAlign w:val="center"/>
          </w:tcPr>
          <w:p w14:paraId="28CFCE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lang w:val="en-US" w:eastAsia="zh-CN"/>
              </w:rPr>
            </w:pPr>
            <w:r>
              <w:rPr>
                <w:rFonts w:hint="default" w:ascii="Times New Roman" w:hAnsi="Times New Roman" w:eastAsia="宋体" w:cs="Times New Roman"/>
                <w:bCs/>
                <w:spacing w:val="0"/>
                <w:w w:val="100"/>
                <w:kern w:val="0"/>
                <w:position w:val="0"/>
                <w:sz w:val="18"/>
                <w:szCs w:val="18"/>
                <w:lang w:val="en-US" w:eastAsia="zh-CN"/>
              </w:rPr>
              <w:t>容器和包装物污染控制要求</w:t>
            </w:r>
          </w:p>
        </w:tc>
        <w:tc>
          <w:tcPr>
            <w:tcW w:w="2029" w:type="pct"/>
            <w:gridSpan w:val="2"/>
            <w:vAlign w:val="center"/>
          </w:tcPr>
          <w:p w14:paraId="1684251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容器和包装物材质、内衬应与盛装的危险废物相容。</w:t>
            </w:r>
          </w:p>
        </w:tc>
        <w:tc>
          <w:tcPr>
            <w:tcW w:w="1581" w:type="pct"/>
            <w:vAlign w:val="center"/>
          </w:tcPr>
          <w:p w14:paraId="70DFF70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本项目贮存各类别危险废物采用的容器和包装物材质、内衬与盛装的危险废物相容。</w:t>
            </w:r>
          </w:p>
        </w:tc>
        <w:tc>
          <w:tcPr>
            <w:tcW w:w="653" w:type="pct"/>
            <w:vAlign w:val="center"/>
          </w:tcPr>
          <w:p w14:paraId="0AC268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578267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0A2F6F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37DD17D7">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针对不同类别、形态、物理化学性质的危险废物，其容器和包装物应满足相应的防渗、防漏、防腐和强度等要求。</w:t>
            </w:r>
          </w:p>
        </w:tc>
        <w:tc>
          <w:tcPr>
            <w:tcW w:w="1581" w:type="pct"/>
            <w:vAlign w:val="center"/>
          </w:tcPr>
          <w:p w14:paraId="49255DA9">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针对不同类别、形态、物理化学性质的危险废物，其容器和包装物要求满足相应的防渗、防漏、防腐和强度等。</w:t>
            </w:r>
          </w:p>
        </w:tc>
        <w:tc>
          <w:tcPr>
            <w:tcW w:w="653" w:type="pct"/>
            <w:vAlign w:val="center"/>
          </w:tcPr>
          <w:p w14:paraId="670B98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057FD4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1AD54C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38055F4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硬质容器和包装物及其支护结构堆叠 码放时不应有明显变形，无破损泄漏。</w:t>
            </w:r>
          </w:p>
        </w:tc>
        <w:tc>
          <w:tcPr>
            <w:tcW w:w="1581" w:type="pct"/>
            <w:vAlign w:val="center"/>
          </w:tcPr>
          <w:p w14:paraId="616C602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lang w:val="en-US" w:eastAsia="zh-CN"/>
              </w:rPr>
              <w:t>项目</w:t>
            </w:r>
            <w:r>
              <w:rPr>
                <w:rFonts w:hint="default" w:ascii="Times New Roman" w:hAnsi="Times New Roman" w:eastAsia="宋体" w:cs="Times New Roman"/>
                <w:spacing w:val="0"/>
                <w:w w:val="100"/>
                <w:position w:val="0"/>
                <w:sz w:val="18"/>
                <w:szCs w:val="18"/>
              </w:rPr>
              <w:t>硬质容器和包装物及其支护结构堆叠码放时不应有明显变形，无破损泄漏。</w:t>
            </w:r>
          </w:p>
        </w:tc>
        <w:tc>
          <w:tcPr>
            <w:tcW w:w="653" w:type="pct"/>
            <w:vAlign w:val="center"/>
          </w:tcPr>
          <w:p w14:paraId="349E41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455D5B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4D29AA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516C5595">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柔性容器和包装物堆叠码放时应封口严密，无破损泄漏。</w:t>
            </w:r>
          </w:p>
        </w:tc>
        <w:tc>
          <w:tcPr>
            <w:tcW w:w="1581" w:type="pct"/>
            <w:vAlign w:val="center"/>
          </w:tcPr>
          <w:p w14:paraId="3829775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lang w:val="en-US" w:eastAsia="zh-CN"/>
              </w:rPr>
              <w:t>项目</w:t>
            </w:r>
            <w:r>
              <w:rPr>
                <w:rFonts w:hint="default" w:ascii="Times New Roman" w:hAnsi="Times New Roman" w:eastAsia="宋体" w:cs="Times New Roman"/>
                <w:spacing w:val="0"/>
                <w:w w:val="100"/>
                <w:position w:val="0"/>
                <w:sz w:val="18"/>
                <w:szCs w:val="18"/>
              </w:rPr>
              <w:t>柔性容器和包装物堆叠码放时应封口严密，无破损泄漏。</w:t>
            </w:r>
          </w:p>
        </w:tc>
        <w:tc>
          <w:tcPr>
            <w:tcW w:w="653" w:type="pct"/>
            <w:vAlign w:val="center"/>
          </w:tcPr>
          <w:p w14:paraId="07C5A5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1A6B9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7A65439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79FC85B0">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使用容器盛装液态、半固态危险废物时，容器内部应留有适当的空间，以适应因温度变化等可能引发的收缩和膨胀，防止其导致容器渗漏或永久变形。</w:t>
            </w:r>
          </w:p>
        </w:tc>
        <w:tc>
          <w:tcPr>
            <w:tcW w:w="1581" w:type="pct"/>
            <w:vAlign w:val="center"/>
          </w:tcPr>
          <w:p w14:paraId="10DA044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lang w:val="en-US" w:eastAsia="zh-CN"/>
              </w:rPr>
              <w:t>项目</w:t>
            </w:r>
            <w:r>
              <w:rPr>
                <w:rFonts w:hint="default" w:ascii="Times New Roman" w:hAnsi="Times New Roman" w:eastAsia="宋体" w:cs="Times New Roman"/>
                <w:spacing w:val="0"/>
                <w:w w:val="100"/>
                <w:position w:val="0"/>
                <w:sz w:val="18"/>
                <w:szCs w:val="18"/>
              </w:rPr>
              <w:t>盛装液态、半固态危险废物的容器留有适当的空间。</w:t>
            </w:r>
          </w:p>
        </w:tc>
        <w:tc>
          <w:tcPr>
            <w:tcW w:w="653" w:type="pct"/>
            <w:vAlign w:val="center"/>
          </w:tcPr>
          <w:p w14:paraId="4215A5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358E95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458D36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77CFCD01">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容器和包装物外表面应保持清洁。</w:t>
            </w:r>
          </w:p>
        </w:tc>
        <w:tc>
          <w:tcPr>
            <w:tcW w:w="1581" w:type="pct"/>
            <w:vAlign w:val="center"/>
          </w:tcPr>
          <w:p w14:paraId="08BFA05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容器和包装物外表面保持清洁。</w:t>
            </w:r>
          </w:p>
        </w:tc>
        <w:tc>
          <w:tcPr>
            <w:tcW w:w="653" w:type="pct"/>
            <w:vAlign w:val="center"/>
          </w:tcPr>
          <w:p w14:paraId="14B59B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080C5A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restart"/>
            <w:vAlign w:val="center"/>
          </w:tcPr>
          <w:p w14:paraId="22A41F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lang w:val="en-US" w:eastAsia="zh-CN"/>
              </w:rPr>
            </w:pPr>
            <w:r>
              <w:rPr>
                <w:rFonts w:hint="default" w:ascii="Times New Roman" w:hAnsi="Times New Roman" w:eastAsia="宋体" w:cs="Times New Roman"/>
                <w:bCs/>
                <w:spacing w:val="0"/>
                <w:w w:val="100"/>
                <w:kern w:val="0"/>
                <w:position w:val="0"/>
                <w:sz w:val="18"/>
                <w:szCs w:val="18"/>
                <w:lang w:val="en-US" w:eastAsia="zh-CN"/>
              </w:rPr>
              <w:t>贮存过程污染控制要求</w:t>
            </w:r>
          </w:p>
          <w:p w14:paraId="25C5AC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p w14:paraId="753D83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restart"/>
            <w:tcBorders>
              <w:right w:val="single" w:color="auto" w:sz="4" w:space="0"/>
            </w:tcBorders>
            <w:vAlign w:val="center"/>
          </w:tcPr>
          <w:p w14:paraId="49E2A4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kern w:val="0"/>
                <w:position w:val="0"/>
                <w:sz w:val="18"/>
                <w:szCs w:val="18"/>
                <w:lang w:val="en-US" w:eastAsia="zh-CN" w:bidi="ar"/>
              </w:rPr>
            </w:pPr>
            <w:r>
              <w:rPr>
                <w:rFonts w:hint="default" w:ascii="Times New Roman" w:hAnsi="Times New Roman" w:eastAsia="宋体" w:cs="Times New Roman"/>
                <w:spacing w:val="0"/>
                <w:w w:val="100"/>
                <w:kern w:val="0"/>
                <w:position w:val="0"/>
                <w:sz w:val="18"/>
                <w:szCs w:val="18"/>
                <w:lang w:val="en-US" w:eastAsia="zh-CN" w:bidi="ar"/>
              </w:rPr>
              <w:t>一般规定</w:t>
            </w:r>
          </w:p>
        </w:tc>
        <w:tc>
          <w:tcPr>
            <w:tcW w:w="1640" w:type="pct"/>
            <w:tcBorders>
              <w:left w:val="single" w:color="auto" w:sz="4" w:space="0"/>
            </w:tcBorders>
            <w:vAlign w:val="center"/>
          </w:tcPr>
          <w:p w14:paraId="3F439976">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在常温常压下不易水解、不易挥发的固态危险废物可分类堆放贮存，其他固态危险废物应装入容</w:t>
            </w:r>
          </w:p>
          <w:p w14:paraId="5FC755F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器或包装物内贮存。</w:t>
            </w:r>
          </w:p>
        </w:tc>
        <w:tc>
          <w:tcPr>
            <w:tcW w:w="1581" w:type="pct"/>
            <w:vAlign w:val="center"/>
          </w:tcPr>
          <w:p w14:paraId="7B90F922">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根据危险废物特性分类采用相应容器或包装物贮存。</w:t>
            </w:r>
          </w:p>
        </w:tc>
        <w:tc>
          <w:tcPr>
            <w:tcW w:w="653" w:type="pct"/>
            <w:vAlign w:val="center"/>
          </w:tcPr>
          <w:p w14:paraId="3EE9A1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221019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3EC9E5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0B1667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7ECA90F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液态危险废物应装入容器内贮存，或直接采用贮存池、贮存罐区贮存。</w:t>
            </w:r>
          </w:p>
        </w:tc>
        <w:tc>
          <w:tcPr>
            <w:tcW w:w="1581" w:type="pct"/>
            <w:vAlign w:val="center"/>
          </w:tcPr>
          <w:p w14:paraId="3BFF715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本项目不设置贮存池，液态危险废物装入容器内。</w:t>
            </w:r>
          </w:p>
        </w:tc>
        <w:tc>
          <w:tcPr>
            <w:tcW w:w="653" w:type="pct"/>
            <w:vAlign w:val="center"/>
          </w:tcPr>
          <w:p w14:paraId="3E760C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52179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71817A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33F047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46A9D39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半固态危险废物应装入容器或包装袋内贮存，或直接采用贮存池贮存具有热塑性的危险废物应装</w:t>
            </w:r>
          </w:p>
          <w:p w14:paraId="4F57369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入容器或包装袋内进行贮存。</w:t>
            </w:r>
          </w:p>
        </w:tc>
        <w:tc>
          <w:tcPr>
            <w:tcW w:w="1581" w:type="pct"/>
            <w:vAlign w:val="center"/>
          </w:tcPr>
          <w:p w14:paraId="12D372F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本项目不建设贮存池，半固态危险废物装入容器或包装袋内贮存。</w:t>
            </w:r>
          </w:p>
        </w:tc>
        <w:tc>
          <w:tcPr>
            <w:tcW w:w="653" w:type="pct"/>
            <w:vAlign w:val="center"/>
          </w:tcPr>
          <w:p w14:paraId="3EF659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7370CD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3B26A0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57FECC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1F21CD6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易产生粉尘、VOCs、酸雾、有毒有害大气污染物和刺激性气味气体的危险废物应装入闭口容器或</w:t>
            </w:r>
          </w:p>
          <w:p w14:paraId="3FE443B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包装物内贮存。</w:t>
            </w:r>
          </w:p>
        </w:tc>
        <w:tc>
          <w:tcPr>
            <w:tcW w:w="1581" w:type="pct"/>
            <w:vAlign w:val="center"/>
          </w:tcPr>
          <w:p w14:paraId="65EADC2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VOCs、酸雾、有毒有害大气污染物和刺激性气味气体的危险废物装入闭口容器或包装物内贮存。</w:t>
            </w:r>
          </w:p>
        </w:tc>
        <w:tc>
          <w:tcPr>
            <w:tcW w:w="653" w:type="pct"/>
            <w:vAlign w:val="center"/>
          </w:tcPr>
          <w:p w14:paraId="1246AB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78D09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38EF7F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5338B2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1D580145">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危险废物贮存过程中易产生粉尘等无组织排放的，应采取抑尘等有效措施。</w:t>
            </w:r>
          </w:p>
        </w:tc>
        <w:tc>
          <w:tcPr>
            <w:tcW w:w="1581" w:type="pct"/>
            <w:vAlign w:val="center"/>
          </w:tcPr>
          <w:p w14:paraId="33B124C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本项目贮存的危险废物不易产生粉尘，库内防风、防扬洒，不易产生粉尘。</w:t>
            </w:r>
          </w:p>
        </w:tc>
        <w:tc>
          <w:tcPr>
            <w:tcW w:w="653" w:type="pct"/>
            <w:vAlign w:val="center"/>
          </w:tcPr>
          <w:p w14:paraId="70C9AD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6366A3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71F75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restart"/>
            <w:tcBorders>
              <w:right w:val="single" w:color="auto" w:sz="4" w:space="0"/>
            </w:tcBorders>
            <w:vAlign w:val="center"/>
          </w:tcPr>
          <w:p w14:paraId="6E1875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贮存设施运行环境管理要求</w:t>
            </w:r>
          </w:p>
        </w:tc>
        <w:tc>
          <w:tcPr>
            <w:tcW w:w="1640" w:type="pct"/>
            <w:tcBorders>
              <w:left w:val="single" w:color="auto" w:sz="4" w:space="0"/>
            </w:tcBorders>
            <w:vAlign w:val="center"/>
          </w:tcPr>
          <w:p w14:paraId="109E57F4">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危险废物存入贮存设施前应对危险废物类别和特性与危险废物标签等危险废物识别标志的一致性进行核验，不一致的或类别、特性不明的不应存入。</w:t>
            </w:r>
          </w:p>
        </w:tc>
        <w:tc>
          <w:tcPr>
            <w:tcW w:w="1581" w:type="pct"/>
            <w:vAlign w:val="center"/>
          </w:tcPr>
          <w:p w14:paraId="039F30D5">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危险废物存入贮存设施前对危险废物类别和特性与危险废物标签等危险废物识别标志的一致性进行核验，不一致的或类别、特性不明的不存入。</w:t>
            </w:r>
          </w:p>
        </w:tc>
        <w:tc>
          <w:tcPr>
            <w:tcW w:w="653" w:type="pct"/>
            <w:vAlign w:val="center"/>
          </w:tcPr>
          <w:p w14:paraId="2D4FD2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2F6193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66AC3C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4CA569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047D1146">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应定期检查危险废物的贮存状 况，及时清理贮存设施地面，更换破损泄漏的危险废物贮存容器和包装物，保证堆存危险废物的防雨、防风、防扬尘等设施功能完好。</w:t>
            </w:r>
          </w:p>
        </w:tc>
        <w:tc>
          <w:tcPr>
            <w:tcW w:w="1581" w:type="pct"/>
            <w:vAlign w:val="center"/>
          </w:tcPr>
          <w:p w14:paraId="7AAE02C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应定期检查危险废物的贮存状况，及时清理贮存设施地面，更换破损泄漏的危险废物贮存容器和包装物，保证堆存危险废物的防雨、防风、防扬尘等设施功能完好。</w:t>
            </w:r>
          </w:p>
        </w:tc>
        <w:tc>
          <w:tcPr>
            <w:tcW w:w="653" w:type="pct"/>
            <w:vAlign w:val="center"/>
          </w:tcPr>
          <w:p w14:paraId="51E8ED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4F0D8C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0734F5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338AC4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7B696AD9">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作业设备及车辆等结束作业离开贮存设施时，应对其残留的危险废物进行清理，清理的废物或清洗废水应收集处理。</w:t>
            </w:r>
          </w:p>
        </w:tc>
        <w:tc>
          <w:tcPr>
            <w:tcW w:w="1581" w:type="pct"/>
            <w:vAlign w:val="center"/>
          </w:tcPr>
          <w:p w14:paraId="5E5ED91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作业设备及车辆等结束作业离开贮存设施时，</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对其残留的危险废物进行清理，清理的废物收集处理。</w:t>
            </w:r>
          </w:p>
        </w:tc>
        <w:tc>
          <w:tcPr>
            <w:tcW w:w="653" w:type="pct"/>
            <w:vAlign w:val="center"/>
          </w:tcPr>
          <w:p w14:paraId="2F043E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571E9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2B30F2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12687C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1575C94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贮存设施运行期间，应按国家有关标准和规定建立危险废物管理台账并保存。</w:t>
            </w:r>
          </w:p>
        </w:tc>
        <w:tc>
          <w:tcPr>
            <w:tcW w:w="1581" w:type="pct"/>
            <w:vAlign w:val="center"/>
          </w:tcPr>
          <w:p w14:paraId="515F273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贮存设施运行期间，建设单位按国家有关标准和规定建立危险废物管理台账并保存。</w:t>
            </w:r>
          </w:p>
        </w:tc>
        <w:tc>
          <w:tcPr>
            <w:tcW w:w="653" w:type="pct"/>
            <w:vAlign w:val="center"/>
          </w:tcPr>
          <w:p w14:paraId="6AC8A7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469D7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3FDAE6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28AFFF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7237090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贮存设施所有者或运营者应建立贮存设施环境管理制度、管理人员岗位职责制度、设施运行操作制度、人员岗位培训制度等。</w:t>
            </w:r>
          </w:p>
        </w:tc>
        <w:tc>
          <w:tcPr>
            <w:tcW w:w="1581" w:type="pct"/>
            <w:vAlign w:val="center"/>
          </w:tcPr>
          <w:p w14:paraId="08E5E2C8">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建设单位</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建立贮存设施环境管理制度、管理人员岗位职责制度、设施运行操作制度、人员岗位培训制度等。并将制度上墙至贮存场。</w:t>
            </w:r>
          </w:p>
        </w:tc>
        <w:tc>
          <w:tcPr>
            <w:tcW w:w="653" w:type="pct"/>
            <w:vAlign w:val="center"/>
          </w:tcPr>
          <w:p w14:paraId="2CFC65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2A4E4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4CA218D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3FCC17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56BB03E2">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贮存设施所有者或运营者应依据国家土壤和地下水污染防治的有关规定，结合贮存设施特点建立土壤和地下水污染隐患排查制 度，并定期开展隐患排查；发现隐患应及时采取措施消除隐患，并建立档案。</w:t>
            </w:r>
          </w:p>
        </w:tc>
        <w:tc>
          <w:tcPr>
            <w:tcW w:w="1581" w:type="pct"/>
            <w:vAlign w:val="center"/>
          </w:tcPr>
          <w:p w14:paraId="1C9F146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建设单位</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结合贮存设施特点建立土壤和地下水污染隐患排查制度，并定期开展隐患排查；发现隐患应及时采取措施消除隐患，并建立档案。</w:t>
            </w:r>
          </w:p>
        </w:tc>
        <w:tc>
          <w:tcPr>
            <w:tcW w:w="653" w:type="pct"/>
            <w:vAlign w:val="center"/>
          </w:tcPr>
          <w:p w14:paraId="0E317E2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22D5C3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2DAF7C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3B0230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5DA74DCD">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贮存设施所有者或运营者应建立贮存设施全部档案，包括设计、施工、验收、运行、监测和环境应急等，应按国家有关档案管理的法律法规进行整理和归档。</w:t>
            </w:r>
          </w:p>
        </w:tc>
        <w:tc>
          <w:tcPr>
            <w:tcW w:w="1581" w:type="pct"/>
            <w:vAlign w:val="center"/>
          </w:tcPr>
          <w:p w14:paraId="760DE8C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建设单位</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建立贮存设施全部档案，包括设计、施工、验收、运行、监测和环境应急等，应按国家有关档案管理的法律法规进行整理和归档。</w:t>
            </w:r>
          </w:p>
        </w:tc>
        <w:tc>
          <w:tcPr>
            <w:tcW w:w="653" w:type="pct"/>
            <w:vAlign w:val="center"/>
          </w:tcPr>
          <w:p w14:paraId="6A9433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732C6A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61D86E5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restart"/>
            <w:tcBorders>
              <w:right w:val="single" w:color="auto" w:sz="4" w:space="0"/>
            </w:tcBorders>
            <w:vAlign w:val="center"/>
          </w:tcPr>
          <w:p w14:paraId="55C922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贮存点环境管理要求</w:t>
            </w:r>
          </w:p>
        </w:tc>
        <w:tc>
          <w:tcPr>
            <w:tcW w:w="1640" w:type="pct"/>
            <w:tcBorders>
              <w:left w:val="single" w:color="auto" w:sz="4" w:space="0"/>
            </w:tcBorders>
            <w:vAlign w:val="center"/>
          </w:tcPr>
          <w:p w14:paraId="11A27CE6">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贮存点应具有固定的区域边界，并应采取与其他区域进行隔离的措施。</w:t>
            </w:r>
          </w:p>
        </w:tc>
        <w:tc>
          <w:tcPr>
            <w:tcW w:w="1581" w:type="pct"/>
            <w:vAlign w:val="center"/>
          </w:tcPr>
          <w:p w14:paraId="6082D39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本项目不涉及贮存点。</w:t>
            </w:r>
          </w:p>
        </w:tc>
        <w:tc>
          <w:tcPr>
            <w:tcW w:w="889" w:type="dxa"/>
            <w:vAlign w:val="center"/>
          </w:tcPr>
          <w:p w14:paraId="558EDD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153545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05DBB0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474003B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321674C0">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贮存点应采取防风、防雨、防晒和防止危险废物流失、扬散等措施。</w:t>
            </w:r>
          </w:p>
        </w:tc>
        <w:tc>
          <w:tcPr>
            <w:tcW w:w="1581" w:type="pct"/>
            <w:vAlign w:val="center"/>
          </w:tcPr>
          <w:p w14:paraId="07FB421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本项目不涉及贮存点。</w:t>
            </w:r>
          </w:p>
        </w:tc>
        <w:tc>
          <w:tcPr>
            <w:tcW w:w="889" w:type="dxa"/>
            <w:vAlign w:val="center"/>
          </w:tcPr>
          <w:p w14:paraId="247D29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7EB50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3520F8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0AC863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79F07D6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贮存点贮存的危险废物应置于容器或包装物中，不应直接散堆。</w:t>
            </w:r>
          </w:p>
        </w:tc>
        <w:tc>
          <w:tcPr>
            <w:tcW w:w="1581" w:type="pct"/>
            <w:vAlign w:val="center"/>
          </w:tcPr>
          <w:p w14:paraId="41A07F2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本项目不涉及贮存点。</w:t>
            </w:r>
          </w:p>
        </w:tc>
        <w:tc>
          <w:tcPr>
            <w:tcW w:w="889" w:type="dxa"/>
            <w:vAlign w:val="center"/>
          </w:tcPr>
          <w:p w14:paraId="315028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33F4EC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51C66A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1D1B25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5B848A3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贮存点应根据危险废物的形态、物理化学性质、包装形式等，采取防渗、防漏等污染防治措施或采用具有相应功能的装置。</w:t>
            </w:r>
          </w:p>
        </w:tc>
        <w:tc>
          <w:tcPr>
            <w:tcW w:w="1581" w:type="pct"/>
            <w:vAlign w:val="center"/>
          </w:tcPr>
          <w:p w14:paraId="47A90E9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本项目不涉及贮存点。</w:t>
            </w:r>
          </w:p>
        </w:tc>
        <w:tc>
          <w:tcPr>
            <w:tcW w:w="889" w:type="dxa"/>
            <w:vAlign w:val="center"/>
          </w:tcPr>
          <w:p w14:paraId="1007DEC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6D92C7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7619E2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389" w:type="pct"/>
            <w:vMerge w:val="continue"/>
            <w:tcBorders>
              <w:right w:val="single" w:color="auto" w:sz="4" w:space="0"/>
            </w:tcBorders>
            <w:vAlign w:val="center"/>
          </w:tcPr>
          <w:p w14:paraId="09EE5B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p>
        </w:tc>
        <w:tc>
          <w:tcPr>
            <w:tcW w:w="1640" w:type="pct"/>
            <w:tcBorders>
              <w:left w:val="single" w:color="auto" w:sz="4" w:space="0"/>
            </w:tcBorders>
            <w:vAlign w:val="center"/>
          </w:tcPr>
          <w:p w14:paraId="771BBA8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贮存点应及时清运贮存的危险废物，实时贮存量不应超过3吨。</w:t>
            </w:r>
          </w:p>
        </w:tc>
        <w:tc>
          <w:tcPr>
            <w:tcW w:w="1581" w:type="pct"/>
            <w:vAlign w:val="center"/>
          </w:tcPr>
          <w:p w14:paraId="0932FE86">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本项目不涉及贮存点。</w:t>
            </w:r>
          </w:p>
        </w:tc>
        <w:tc>
          <w:tcPr>
            <w:tcW w:w="889" w:type="dxa"/>
            <w:vAlign w:val="center"/>
          </w:tcPr>
          <w:p w14:paraId="5A357A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23AA1B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restart"/>
            <w:vAlign w:val="center"/>
          </w:tcPr>
          <w:p w14:paraId="32AA72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污染物排放控制要求</w:t>
            </w:r>
          </w:p>
        </w:tc>
        <w:tc>
          <w:tcPr>
            <w:tcW w:w="2029" w:type="pct"/>
            <w:gridSpan w:val="2"/>
            <w:vAlign w:val="center"/>
          </w:tcPr>
          <w:p w14:paraId="64CF9C74">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贮存设施产生的废水（包括贮存设施、作业设备、车辆等清洗废水，贮存罐区积存雨水，贮存事故废水等）应进行收集处理，废水排放应符合GB8978规定的要求。</w:t>
            </w:r>
          </w:p>
        </w:tc>
        <w:tc>
          <w:tcPr>
            <w:tcW w:w="1581" w:type="pct"/>
            <w:vAlign w:val="center"/>
          </w:tcPr>
          <w:p w14:paraId="0F11F9D5">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lang w:val="en-US" w:eastAsia="zh-CN"/>
              </w:rPr>
              <w:t>项目</w:t>
            </w:r>
            <w:r>
              <w:rPr>
                <w:rFonts w:hint="default" w:ascii="Times New Roman" w:hAnsi="Times New Roman" w:eastAsia="宋体" w:cs="Times New Roman"/>
                <w:spacing w:val="0"/>
                <w:w w:val="100"/>
                <w:position w:val="0"/>
                <w:sz w:val="18"/>
                <w:szCs w:val="18"/>
              </w:rPr>
              <w:t>贮存设施不</w:t>
            </w:r>
            <w:r>
              <w:rPr>
                <w:rFonts w:hint="default" w:ascii="Times New Roman" w:hAnsi="Times New Roman" w:eastAsia="宋体" w:cs="Times New Roman"/>
                <w:spacing w:val="0"/>
                <w:w w:val="100"/>
                <w:position w:val="0"/>
                <w:sz w:val="18"/>
                <w:szCs w:val="18"/>
                <w:lang w:val="en-US" w:eastAsia="zh-CN"/>
              </w:rPr>
              <w:t>需</w:t>
            </w:r>
            <w:r>
              <w:rPr>
                <w:rFonts w:hint="default" w:ascii="Times New Roman" w:hAnsi="Times New Roman" w:eastAsia="宋体" w:cs="Times New Roman"/>
                <w:spacing w:val="0"/>
                <w:w w:val="100"/>
                <w:position w:val="0"/>
                <w:sz w:val="18"/>
                <w:szCs w:val="18"/>
              </w:rPr>
              <w:t>进行清洗，无雨水及其他生产废水，事故废水集中收集处理，项目严禁废水外排。</w:t>
            </w:r>
          </w:p>
        </w:tc>
        <w:tc>
          <w:tcPr>
            <w:tcW w:w="653" w:type="pct"/>
            <w:vAlign w:val="center"/>
          </w:tcPr>
          <w:p w14:paraId="760A1C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48CDB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24A3C8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167EDFE8">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贮存设施产生的废气（含无组织废气） 的排放应符合GB 16297 和GB37822 规定的要求。</w:t>
            </w:r>
          </w:p>
        </w:tc>
        <w:tc>
          <w:tcPr>
            <w:tcW w:w="1581" w:type="pct"/>
            <w:vAlign w:val="center"/>
          </w:tcPr>
          <w:p w14:paraId="288E5C7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贮存设施产生的废气排放</w:t>
            </w:r>
            <w:r>
              <w:rPr>
                <w:rFonts w:hint="default" w:ascii="Times New Roman" w:hAnsi="Times New Roman" w:eastAsia="宋体" w:cs="Times New Roman"/>
                <w:spacing w:val="0"/>
                <w:w w:val="100"/>
                <w:position w:val="0"/>
                <w:sz w:val="18"/>
                <w:szCs w:val="18"/>
                <w:lang w:val="en-US" w:eastAsia="zh-CN"/>
              </w:rPr>
              <w:t>将严格</w:t>
            </w:r>
            <w:r>
              <w:rPr>
                <w:rFonts w:hint="default" w:ascii="Times New Roman" w:hAnsi="Times New Roman" w:eastAsia="宋体" w:cs="Times New Roman"/>
                <w:spacing w:val="0"/>
                <w:w w:val="100"/>
                <w:position w:val="0"/>
                <w:sz w:val="18"/>
                <w:szCs w:val="18"/>
              </w:rPr>
              <w:t>执行GB 16297 和GB 37822规定的要求。</w:t>
            </w:r>
          </w:p>
        </w:tc>
        <w:tc>
          <w:tcPr>
            <w:tcW w:w="653" w:type="pct"/>
            <w:vAlign w:val="center"/>
          </w:tcPr>
          <w:p w14:paraId="15FEE94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2C0EF6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3E5CA9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4D3D8E83">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贮存设施产生的恶臭气体的排放应符合 GB 14554 规定的要求。</w:t>
            </w:r>
          </w:p>
        </w:tc>
        <w:tc>
          <w:tcPr>
            <w:tcW w:w="1581" w:type="pct"/>
            <w:vAlign w:val="center"/>
          </w:tcPr>
          <w:p w14:paraId="75AA154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贮存设施产生的恶臭气体排放</w:t>
            </w:r>
            <w:r>
              <w:rPr>
                <w:rFonts w:hint="default" w:ascii="Times New Roman" w:hAnsi="Times New Roman" w:eastAsia="宋体" w:cs="Times New Roman"/>
                <w:spacing w:val="0"/>
                <w:w w:val="100"/>
                <w:position w:val="0"/>
                <w:sz w:val="18"/>
                <w:szCs w:val="18"/>
                <w:lang w:val="en-US" w:eastAsia="zh-CN"/>
              </w:rPr>
              <w:t>将严格</w:t>
            </w:r>
            <w:r>
              <w:rPr>
                <w:rFonts w:hint="default" w:ascii="Times New Roman" w:hAnsi="Times New Roman" w:eastAsia="宋体" w:cs="Times New Roman"/>
                <w:spacing w:val="0"/>
                <w:w w:val="100"/>
                <w:position w:val="0"/>
                <w:sz w:val="18"/>
                <w:szCs w:val="18"/>
              </w:rPr>
              <w:t>执行 GB 14554 规定的要求。</w:t>
            </w:r>
          </w:p>
        </w:tc>
        <w:tc>
          <w:tcPr>
            <w:tcW w:w="653" w:type="pct"/>
            <w:vAlign w:val="center"/>
          </w:tcPr>
          <w:p w14:paraId="7A334D4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04550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265B04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4A3734A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贮存设施内产生以及清理的固体废物应按固体废物分类管理要求妥善处理。</w:t>
            </w:r>
          </w:p>
        </w:tc>
        <w:tc>
          <w:tcPr>
            <w:tcW w:w="1581" w:type="pct"/>
            <w:vAlign w:val="center"/>
          </w:tcPr>
          <w:p w14:paraId="4459A401">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贮存设施内产生以及清理的固体废物按固体废物分类管理</w:t>
            </w:r>
            <w:r>
              <w:rPr>
                <w:rFonts w:hint="default" w:ascii="Times New Roman" w:hAnsi="Times New Roman" w:eastAsia="宋体" w:cs="Times New Roman"/>
                <w:spacing w:val="0"/>
                <w:w w:val="100"/>
                <w:position w:val="0"/>
                <w:sz w:val="18"/>
                <w:szCs w:val="18"/>
                <w:lang w:val="en-US" w:eastAsia="zh-CN"/>
              </w:rPr>
              <w:t>将进行</w:t>
            </w:r>
            <w:r>
              <w:rPr>
                <w:rFonts w:hint="default" w:ascii="Times New Roman" w:hAnsi="Times New Roman" w:eastAsia="宋体" w:cs="Times New Roman"/>
                <w:spacing w:val="0"/>
                <w:w w:val="100"/>
                <w:position w:val="0"/>
                <w:sz w:val="18"/>
                <w:szCs w:val="18"/>
              </w:rPr>
              <w:t>妥善处理。</w:t>
            </w:r>
          </w:p>
        </w:tc>
        <w:tc>
          <w:tcPr>
            <w:tcW w:w="653" w:type="pct"/>
            <w:vAlign w:val="center"/>
          </w:tcPr>
          <w:p w14:paraId="6597315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1C3497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6B5905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37A854C8">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贮存设施排放的环境噪声应符合 GB 12348规定的要求。</w:t>
            </w:r>
          </w:p>
        </w:tc>
        <w:tc>
          <w:tcPr>
            <w:tcW w:w="1581" w:type="pct"/>
            <w:vAlign w:val="center"/>
          </w:tcPr>
          <w:p w14:paraId="1C615127">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贮存设施排放的环境噪声执行GB 12348 规定的要求。</w:t>
            </w:r>
          </w:p>
        </w:tc>
        <w:tc>
          <w:tcPr>
            <w:tcW w:w="653" w:type="pct"/>
            <w:vAlign w:val="center"/>
          </w:tcPr>
          <w:p w14:paraId="7E3B6B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375D58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119FF9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4052B9C8">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贮存设施产生的废水（包括贮存设施、作业设备、车辆等清洗废水，贮存罐区积存雨水，贮存事故废水等）应进行收集处理，废水排放应符合GB8978规定的要求。</w:t>
            </w:r>
          </w:p>
        </w:tc>
        <w:tc>
          <w:tcPr>
            <w:tcW w:w="1581" w:type="pct"/>
            <w:vAlign w:val="center"/>
          </w:tcPr>
          <w:p w14:paraId="3A12B86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贮存设施不对设备进行清洗，事故废水集中收集处理，项目</w:t>
            </w:r>
            <w:r>
              <w:rPr>
                <w:rFonts w:hint="default" w:ascii="Times New Roman" w:hAnsi="Times New Roman" w:eastAsia="宋体" w:cs="Times New Roman"/>
                <w:spacing w:val="0"/>
                <w:w w:val="100"/>
                <w:position w:val="0"/>
                <w:sz w:val="18"/>
                <w:szCs w:val="18"/>
                <w:lang w:val="en-US" w:eastAsia="zh-CN"/>
              </w:rPr>
              <w:t>生产废水处理达标后排放</w:t>
            </w:r>
            <w:r>
              <w:rPr>
                <w:rFonts w:hint="default" w:ascii="Times New Roman" w:hAnsi="Times New Roman" w:eastAsia="宋体" w:cs="Times New Roman"/>
                <w:spacing w:val="0"/>
                <w:w w:val="100"/>
                <w:position w:val="0"/>
                <w:sz w:val="18"/>
                <w:szCs w:val="18"/>
              </w:rPr>
              <w:t>。</w:t>
            </w:r>
          </w:p>
        </w:tc>
        <w:tc>
          <w:tcPr>
            <w:tcW w:w="653" w:type="pct"/>
            <w:vAlign w:val="center"/>
          </w:tcPr>
          <w:p w14:paraId="630642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30C1B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restart"/>
            <w:vAlign w:val="center"/>
          </w:tcPr>
          <w:p w14:paraId="48440A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环境监测要求</w:t>
            </w:r>
          </w:p>
          <w:p w14:paraId="70D485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p w14:paraId="4900E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1DC8A852">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贮存设施的环境监测应纳入主体设施的环境监测计划。</w:t>
            </w:r>
          </w:p>
        </w:tc>
        <w:tc>
          <w:tcPr>
            <w:tcW w:w="1581" w:type="pct"/>
            <w:vAlign w:val="center"/>
          </w:tcPr>
          <w:p w14:paraId="3DB92704">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本项目贮存设施的环境监测</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纳入主体设施的环境监测计划。</w:t>
            </w:r>
          </w:p>
        </w:tc>
        <w:tc>
          <w:tcPr>
            <w:tcW w:w="653" w:type="pct"/>
            <w:vAlign w:val="center"/>
          </w:tcPr>
          <w:p w14:paraId="1974BC1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5FFA4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3D5ADF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17E372AB">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贮存设施所有者或运营者应依据</w:t>
            </w:r>
            <w:r>
              <w:rPr>
                <w:rFonts w:hint="eastAsia" w:ascii="Times New Roman" w:hAnsi="Times New Roman" w:cs="Times New Roman"/>
                <w:spacing w:val="0"/>
                <w:w w:val="100"/>
                <w:position w:val="0"/>
                <w:sz w:val="18"/>
                <w:szCs w:val="18"/>
                <w:lang w:eastAsia="zh-CN"/>
              </w:rPr>
              <w:t>《中华人民共和国大气污染防治法》《中华人民共和国水污染防治法》《中华人民共和国土壤污染防治法》</w:t>
            </w:r>
            <w:r>
              <w:rPr>
                <w:rFonts w:hint="default" w:ascii="Times New Roman" w:hAnsi="Times New Roman" w:eastAsia="宋体" w:cs="Times New Roman"/>
                <w:spacing w:val="0"/>
                <w:w w:val="100"/>
                <w:position w:val="0"/>
                <w:sz w:val="18"/>
                <w:szCs w:val="18"/>
              </w:rPr>
              <w:t>等有关法律、《排污许可管理条例》等行政法规和 HJ 819、HJ 1250 等规定制订监测方案，对贮存设施污染物排放状况开展自行监测，保存原始监测记录，并公布监测结果。</w:t>
            </w:r>
          </w:p>
        </w:tc>
        <w:tc>
          <w:tcPr>
            <w:tcW w:w="1581" w:type="pct"/>
            <w:vAlign w:val="center"/>
          </w:tcPr>
          <w:p w14:paraId="791E3CFD">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本项目将按照排污许可证要求开展自行监测，保存原始监测记录，并公布监测结果。</w:t>
            </w:r>
          </w:p>
        </w:tc>
        <w:tc>
          <w:tcPr>
            <w:tcW w:w="653" w:type="pct"/>
            <w:vAlign w:val="center"/>
          </w:tcPr>
          <w:p w14:paraId="216003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032B75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22113B2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7F4815C8">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贮存设施废水污染物排放的监测方法和监测指标应符合国家相关标准要求。10.4 HJ 1259 规定的危险废物环境重点监管单位贮存设施地下水环境监测点布设应符合 HJ 164 要求， 监测因子应根据贮存废物的特性选择具有代</w:t>
            </w:r>
          </w:p>
          <w:p w14:paraId="2EA6804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表性且能表征危险废物特性的指标，地下水监测因子分析方法按照 GB/T14848 执行。</w:t>
            </w:r>
          </w:p>
        </w:tc>
        <w:tc>
          <w:tcPr>
            <w:tcW w:w="1581" w:type="pct"/>
            <w:vAlign w:val="center"/>
          </w:tcPr>
          <w:p w14:paraId="1B1CE2AC">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贮存设施无废水排放；本项目属于危险废物环境重点监管单位，地下水环境监测点布设执行 HJ164 要求，监测因子根据贮存废物的特性选择具有代表性且能表征危险废物特性的指标，地下水监测因子分析方法按照 GB/T 14848 执行。</w:t>
            </w:r>
          </w:p>
        </w:tc>
        <w:tc>
          <w:tcPr>
            <w:tcW w:w="653" w:type="pct"/>
            <w:vAlign w:val="center"/>
          </w:tcPr>
          <w:p w14:paraId="484295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2DF572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49508C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7AB7D711">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配有收集净化系统的贮存设施大气污染物排放的监测采样应按 GB/T16157、HJ/T 397、HJ 732 的规定执行。</w:t>
            </w:r>
          </w:p>
        </w:tc>
        <w:tc>
          <w:tcPr>
            <w:tcW w:w="1581" w:type="pct"/>
            <w:vAlign w:val="center"/>
          </w:tcPr>
          <w:p w14:paraId="4D38A10A">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本项目贮存设施大气污染物排放的监测采样按 GB/T 16157、HJ/T 397、HJ 732 的规定执行。</w:t>
            </w:r>
          </w:p>
        </w:tc>
        <w:tc>
          <w:tcPr>
            <w:tcW w:w="653" w:type="pct"/>
            <w:vAlign w:val="center"/>
          </w:tcPr>
          <w:p w14:paraId="1064887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1D7A4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6611CA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234C1210">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贮存设施无组织气体排放监测因子应根据贮存废物的特性选择具有代表性且能表征危险废物特性的指标；采样点布设、采样及监测方法可按HJ/T 55的规定执行，VOCs 的无组织排放监测还应符合 GB 37822 的规定。</w:t>
            </w:r>
          </w:p>
        </w:tc>
        <w:tc>
          <w:tcPr>
            <w:tcW w:w="1581" w:type="pct"/>
            <w:vAlign w:val="center"/>
          </w:tcPr>
          <w:p w14:paraId="14FEB2A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本项目无组织气体排放监测因子根据贮存废物的特性选择具有代表性且能表征危险废物特性的指标；采样点布设、采样及监测方法按 HJ/T 55的规定执行，VOCs 的无组织排放监测执行 GB 37822 的规定。</w:t>
            </w:r>
          </w:p>
        </w:tc>
        <w:tc>
          <w:tcPr>
            <w:tcW w:w="653" w:type="pct"/>
            <w:vAlign w:val="center"/>
          </w:tcPr>
          <w:p w14:paraId="04D73E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1FAA2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126F0C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029" w:type="pct"/>
            <w:gridSpan w:val="2"/>
            <w:vAlign w:val="center"/>
          </w:tcPr>
          <w:p w14:paraId="4E622515">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贮存设施恶臭气体的排放监测应符合GB 14554、HJ 905 的规定。</w:t>
            </w:r>
          </w:p>
        </w:tc>
        <w:tc>
          <w:tcPr>
            <w:tcW w:w="1581" w:type="pct"/>
            <w:vAlign w:val="center"/>
          </w:tcPr>
          <w:p w14:paraId="5D1ACAF9">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恶臭气体的排放监测执行 GB14554、HJ 905 的规定。</w:t>
            </w:r>
          </w:p>
        </w:tc>
        <w:tc>
          <w:tcPr>
            <w:tcW w:w="889" w:type="dxa"/>
            <w:vAlign w:val="center"/>
          </w:tcPr>
          <w:p w14:paraId="2AC355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4E965D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restart"/>
            <w:vAlign w:val="center"/>
          </w:tcPr>
          <w:p w14:paraId="0E0FB7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spacing w:val="0"/>
                <w:w w:val="100"/>
                <w:position w:val="0"/>
                <w:sz w:val="18"/>
                <w:szCs w:val="18"/>
              </w:rPr>
              <w:t>环境应急要求</w:t>
            </w:r>
          </w:p>
        </w:tc>
        <w:tc>
          <w:tcPr>
            <w:tcW w:w="2763" w:type="dxa"/>
            <w:gridSpan w:val="2"/>
            <w:vAlign w:val="center"/>
          </w:tcPr>
          <w:p w14:paraId="3BC6841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贮存设施所有者或运营者应按照国家有关规定编制突发环境事件应急预 案，定期开展必要的培训和环境应急演练，并做好培训、演练记录。</w:t>
            </w:r>
          </w:p>
        </w:tc>
        <w:tc>
          <w:tcPr>
            <w:tcW w:w="2153" w:type="dxa"/>
            <w:vAlign w:val="center"/>
          </w:tcPr>
          <w:p w14:paraId="66020682">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建设单位</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按照规定编制突发环境事件应急预案，定期开展必要的培训和环境应急演练，并</w:t>
            </w:r>
          </w:p>
          <w:p w14:paraId="6F64533D">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做好培训、演练记录。</w:t>
            </w:r>
          </w:p>
        </w:tc>
        <w:tc>
          <w:tcPr>
            <w:tcW w:w="889" w:type="dxa"/>
            <w:vAlign w:val="center"/>
          </w:tcPr>
          <w:p w14:paraId="1DA6D9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33D97A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203D37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763" w:type="dxa"/>
            <w:gridSpan w:val="2"/>
            <w:vAlign w:val="center"/>
          </w:tcPr>
          <w:p w14:paraId="1ACC0B90">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贮存设施所有者或运营者应配备满足其突发环境事件应急要求的应急人 员、装备和物资，并应设置应急照明系统。</w:t>
            </w:r>
          </w:p>
        </w:tc>
        <w:tc>
          <w:tcPr>
            <w:tcW w:w="2153" w:type="dxa"/>
            <w:vAlign w:val="center"/>
          </w:tcPr>
          <w:p w14:paraId="44AFE4CD">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建设单位</w:t>
            </w:r>
            <w:r>
              <w:rPr>
                <w:rFonts w:hint="default" w:ascii="Times New Roman" w:hAnsi="Times New Roman" w:eastAsia="宋体" w:cs="Times New Roman"/>
                <w:spacing w:val="0"/>
                <w:w w:val="100"/>
                <w:position w:val="0"/>
                <w:sz w:val="18"/>
                <w:szCs w:val="18"/>
                <w:lang w:val="en-US" w:eastAsia="zh-CN"/>
              </w:rPr>
              <w:t>将</w:t>
            </w:r>
            <w:r>
              <w:rPr>
                <w:rFonts w:hint="default" w:ascii="Times New Roman" w:hAnsi="Times New Roman" w:eastAsia="宋体" w:cs="Times New Roman"/>
                <w:spacing w:val="0"/>
                <w:w w:val="100"/>
                <w:position w:val="0"/>
                <w:sz w:val="18"/>
                <w:szCs w:val="18"/>
              </w:rPr>
              <w:t>配备满足其突发环境事件应急要求的应急人员、装备和物资，并应设置应急照明系统。</w:t>
            </w:r>
          </w:p>
        </w:tc>
        <w:tc>
          <w:tcPr>
            <w:tcW w:w="889" w:type="dxa"/>
            <w:vAlign w:val="center"/>
          </w:tcPr>
          <w:p w14:paraId="62D79D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r w14:paraId="218B7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36" w:type="pct"/>
            <w:vMerge w:val="continue"/>
            <w:vAlign w:val="center"/>
          </w:tcPr>
          <w:p w14:paraId="0B831B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spacing w:val="0"/>
                <w:w w:val="100"/>
                <w:kern w:val="0"/>
                <w:position w:val="0"/>
                <w:sz w:val="18"/>
                <w:szCs w:val="18"/>
              </w:rPr>
            </w:pPr>
          </w:p>
        </w:tc>
        <w:tc>
          <w:tcPr>
            <w:tcW w:w="2763" w:type="dxa"/>
            <w:gridSpan w:val="2"/>
            <w:vAlign w:val="center"/>
          </w:tcPr>
          <w:p w14:paraId="2352831F">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spacing w:val="0"/>
                <w:w w:val="100"/>
                <w:position w:val="0"/>
                <w:sz w:val="18"/>
                <w:szCs w:val="18"/>
              </w:rPr>
            </w:pPr>
            <w:r>
              <w:rPr>
                <w:rFonts w:hint="default" w:ascii="Times New Roman" w:hAnsi="Times New Roman" w:eastAsia="宋体" w:cs="Times New Roman"/>
                <w:spacing w:val="0"/>
                <w:w w:val="100"/>
                <w:position w:val="0"/>
                <w:sz w:val="18"/>
                <w:szCs w:val="18"/>
              </w:rPr>
              <w:t>相关部门发布自然灾害或恶劣天气预警后，贮存设施所有者或运营者应启动相应防控措施，若有必要可将危险</w:t>
            </w:r>
          </w:p>
          <w:p w14:paraId="6EDAA4AE">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废物转移至其他具有防护条件的地点贮存。</w:t>
            </w:r>
          </w:p>
        </w:tc>
        <w:tc>
          <w:tcPr>
            <w:tcW w:w="2153" w:type="dxa"/>
            <w:vAlign w:val="center"/>
          </w:tcPr>
          <w:p w14:paraId="3A16C045">
            <w:pPr>
              <w:pStyle w:val="60"/>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000000"/>
                <w:spacing w:val="0"/>
                <w:w w:val="100"/>
                <w:kern w:val="0"/>
                <w:position w:val="0"/>
                <w:sz w:val="18"/>
                <w:szCs w:val="18"/>
                <w:lang w:bidi="ar"/>
              </w:rPr>
            </w:pPr>
            <w:r>
              <w:rPr>
                <w:rFonts w:hint="default" w:ascii="Times New Roman" w:hAnsi="Times New Roman" w:eastAsia="宋体" w:cs="Times New Roman"/>
                <w:spacing w:val="0"/>
                <w:w w:val="100"/>
                <w:position w:val="0"/>
                <w:sz w:val="18"/>
                <w:szCs w:val="18"/>
              </w:rPr>
              <w:t>相关部门发布自然灾害或恶劣天气预警后，建设单位视情况启动预防措施。</w:t>
            </w:r>
          </w:p>
        </w:tc>
        <w:tc>
          <w:tcPr>
            <w:tcW w:w="889" w:type="dxa"/>
            <w:vAlign w:val="center"/>
          </w:tcPr>
          <w:p w14:paraId="183D370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Cs/>
                <w:spacing w:val="0"/>
                <w:w w:val="100"/>
                <w:kern w:val="0"/>
                <w:position w:val="0"/>
                <w:sz w:val="18"/>
                <w:szCs w:val="18"/>
              </w:rPr>
            </w:pPr>
            <w:r>
              <w:rPr>
                <w:rFonts w:hint="default" w:ascii="Times New Roman" w:hAnsi="Times New Roman" w:eastAsia="宋体" w:cs="Times New Roman"/>
                <w:bCs/>
                <w:spacing w:val="0"/>
                <w:w w:val="100"/>
                <w:kern w:val="0"/>
                <w:position w:val="0"/>
                <w:sz w:val="18"/>
                <w:szCs w:val="18"/>
              </w:rPr>
              <w:t>符合</w:t>
            </w:r>
          </w:p>
        </w:tc>
      </w:tr>
    </w:tbl>
    <w:p w14:paraId="7D778752">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 xml:space="preserve"> </w:t>
      </w:r>
      <w:r>
        <w:rPr>
          <w:rFonts w:hint="default" w:ascii="Times New Roman" w:hAnsi="Times New Roman" w:eastAsia="宋体" w:cs="Times New Roman"/>
          <w:b/>
          <w:bCs/>
          <w:spacing w:val="0"/>
          <w:sz w:val="24"/>
          <w:u w:val="none"/>
          <w:lang w:val="en-US" w:eastAsia="zh-CN"/>
        </w:rPr>
        <w:t>与《湖南省小微企业危险废物收集试点工作方案》的通知（湘环发[2022]62号）的符合性分析</w:t>
      </w:r>
    </w:p>
    <w:p w14:paraId="481BAD1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default" w:ascii="Times New Roman" w:hAnsi="Times New Roman" w:eastAsia="宋体" w:cs="Times New Roman"/>
          <w:color w:val="000000"/>
          <w:spacing w:val="0"/>
          <w:sz w:val="24"/>
          <w:szCs w:val="24"/>
          <w:u w:val="none"/>
        </w:rPr>
      </w:pPr>
      <w:r>
        <w:rPr>
          <w:rFonts w:hint="default" w:ascii="Times New Roman" w:hAnsi="Times New Roman" w:eastAsia="宋体" w:cs="Times New Roman"/>
          <w:color w:val="000000"/>
          <w:spacing w:val="0"/>
          <w:sz w:val="24"/>
          <w:szCs w:val="24"/>
          <w:u w:val="none"/>
        </w:rPr>
        <w:t>本项目与《湖南省小微企业危险废物收集试点工作方案》的相符性分析，见下表：</w:t>
      </w:r>
    </w:p>
    <w:p w14:paraId="7AE1F1F0">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000000"/>
          <w:spacing w:val="0"/>
          <w:sz w:val="21"/>
          <w:szCs w:val="21"/>
          <w:u w:val="none"/>
        </w:rPr>
      </w:pPr>
      <w:r>
        <w:rPr>
          <w:rFonts w:hint="default" w:ascii="Times New Roman" w:hAnsi="Times New Roman" w:eastAsia="宋体" w:cs="Times New Roman"/>
          <w:b/>
          <w:bCs/>
          <w:color w:val="000000"/>
          <w:spacing w:val="0"/>
          <w:sz w:val="21"/>
          <w:szCs w:val="21"/>
          <w:u w:val="none"/>
        </w:rPr>
        <w:t>表</w:t>
      </w:r>
      <w:r>
        <w:rPr>
          <w:rFonts w:hint="default" w:ascii="Times New Roman" w:hAnsi="Times New Roman" w:eastAsia="宋体" w:cs="Times New Roman"/>
          <w:b/>
          <w:bCs/>
          <w:color w:val="000000"/>
          <w:spacing w:val="0"/>
          <w:sz w:val="21"/>
          <w:szCs w:val="21"/>
          <w:u w:val="none"/>
          <w:lang w:val="en-US" w:eastAsia="zh-CN"/>
        </w:rPr>
        <w:t xml:space="preserve">1.5-3 </w:t>
      </w:r>
      <w:r>
        <w:rPr>
          <w:rFonts w:hint="default" w:ascii="Times New Roman" w:hAnsi="Times New Roman" w:eastAsia="宋体" w:cs="Times New Roman"/>
          <w:b/>
          <w:bCs/>
          <w:color w:val="000000"/>
          <w:spacing w:val="0"/>
          <w:sz w:val="21"/>
          <w:szCs w:val="21"/>
          <w:u w:val="none"/>
        </w:rPr>
        <w:t>与《</w:t>
      </w:r>
      <w:r>
        <w:rPr>
          <w:rFonts w:hint="default" w:ascii="Times New Roman" w:hAnsi="Times New Roman" w:eastAsia="宋体" w:cs="Times New Roman"/>
          <w:b/>
          <w:bCs/>
          <w:spacing w:val="0"/>
          <w:sz w:val="21"/>
          <w:szCs w:val="21"/>
          <w:u w:val="none"/>
          <w:lang w:val="en-US" w:eastAsia="zh-CN"/>
        </w:rPr>
        <w:t>湖南省小微企业危险废物收集试点工作方案</w:t>
      </w:r>
      <w:r>
        <w:rPr>
          <w:rFonts w:hint="default" w:ascii="Times New Roman" w:hAnsi="Times New Roman" w:eastAsia="宋体" w:cs="Times New Roman"/>
          <w:b/>
          <w:bCs/>
          <w:color w:val="000000"/>
          <w:spacing w:val="0"/>
          <w:sz w:val="21"/>
          <w:szCs w:val="21"/>
          <w:u w:val="none"/>
        </w:rPr>
        <w:t>》符合性分析</w:t>
      </w:r>
    </w:p>
    <w:tbl>
      <w:tblPr>
        <w:tblStyle w:val="33"/>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73"/>
        <w:gridCol w:w="3580"/>
        <w:gridCol w:w="1067"/>
      </w:tblGrid>
      <w:tr w14:paraId="0C97E8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3" w:type="pct"/>
            <w:vAlign w:val="center"/>
          </w:tcPr>
          <w:p w14:paraId="4394A519">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0"/>
                <w:sz w:val="21"/>
                <w:szCs w:val="21"/>
                <w:u w:val="none"/>
                <w:lang w:val="en-US" w:eastAsia="zh-CN"/>
              </w:rPr>
            </w:pPr>
            <w:r>
              <w:rPr>
                <w:rFonts w:hint="default" w:ascii="Times New Roman" w:hAnsi="Times New Roman" w:eastAsia="宋体" w:cs="Times New Roman"/>
                <w:b/>
                <w:bCs/>
                <w:spacing w:val="0"/>
                <w:sz w:val="21"/>
                <w:szCs w:val="21"/>
                <w:u w:val="none"/>
                <w:lang w:val="en-US" w:eastAsia="zh-CN"/>
              </w:rPr>
              <w:t>湘环发[2022]62号</w:t>
            </w:r>
          </w:p>
          <w:p w14:paraId="30674C3A">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0"/>
                <w:kern w:val="0"/>
                <w:sz w:val="21"/>
                <w:szCs w:val="21"/>
                <w:u w:val="none"/>
              </w:rPr>
            </w:pPr>
            <w:r>
              <w:rPr>
                <w:rFonts w:hint="default" w:ascii="Times New Roman" w:hAnsi="Times New Roman" w:eastAsia="宋体" w:cs="Times New Roman"/>
                <w:b/>
                <w:bCs/>
                <w:color w:val="000000"/>
                <w:spacing w:val="0"/>
                <w:kern w:val="0"/>
                <w:sz w:val="21"/>
                <w:szCs w:val="21"/>
                <w:u w:val="none"/>
              </w:rPr>
              <w:t>内容要求</w:t>
            </w:r>
          </w:p>
        </w:tc>
        <w:tc>
          <w:tcPr>
            <w:tcW w:w="2101" w:type="pct"/>
            <w:vAlign w:val="center"/>
          </w:tcPr>
          <w:p w14:paraId="5CA782A0">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0"/>
                <w:kern w:val="0"/>
                <w:sz w:val="21"/>
                <w:szCs w:val="21"/>
                <w:u w:val="none"/>
              </w:rPr>
            </w:pPr>
            <w:r>
              <w:rPr>
                <w:rFonts w:hint="default" w:ascii="Times New Roman" w:hAnsi="Times New Roman" w:eastAsia="宋体" w:cs="Times New Roman"/>
                <w:b/>
                <w:bCs/>
                <w:spacing w:val="0"/>
                <w:kern w:val="0"/>
                <w:sz w:val="21"/>
                <w:szCs w:val="21"/>
                <w:u w:val="none"/>
              </w:rPr>
              <w:t>本项目具体情况</w:t>
            </w:r>
          </w:p>
        </w:tc>
        <w:tc>
          <w:tcPr>
            <w:tcW w:w="624" w:type="pct"/>
            <w:vAlign w:val="center"/>
          </w:tcPr>
          <w:p w14:paraId="58FF7694">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0"/>
                <w:kern w:val="0"/>
                <w:sz w:val="21"/>
                <w:szCs w:val="21"/>
                <w:u w:val="none"/>
              </w:rPr>
            </w:pPr>
            <w:r>
              <w:rPr>
                <w:rFonts w:hint="default" w:ascii="Times New Roman" w:hAnsi="Times New Roman" w:eastAsia="宋体" w:cs="Times New Roman"/>
                <w:b/>
                <w:bCs/>
                <w:spacing w:val="0"/>
                <w:kern w:val="0"/>
                <w:sz w:val="21"/>
                <w:szCs w:val="21"/>
                <w:u w:val="none"/>
              </w:rPr>
              <w:t>符合性</w:t>
            </w:r>
          </w:p>
        </w:tc>
      </w:tr>
      <w:tr w14:paraId="369C4C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3" w:type="pct"/>
            <w:vAlign w:val="center"/>
          </w:tcPr>
          <w:p w14:paraId="1963C238">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eastAsia="zh-CN"/>
              </w:rPr>
            </w:pPr>
            <w:r>
              <w:rPr>
                <w:rFonts w:hint="default" w:ascii="Times New Roman" w:hAnsi="Times New Roman" w:eastAsia="宋体" w:cs="Times New Roman"/>
                <w:spacing w:val="0"/>
                <w:kern w:val="0"/>
                <w:sz w:val="21"/>
                <w:szCs w:val="21"/>
                <w:u w:val="none"/>
                <w:lang w:eastAsia="zh-CN"/>
              </w:rPr>
              <w:t>收集点严禁收集：</w:t>
            </w:r>
          </w:p>
          <w:p w14:paraId="7ED715A6">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eastAsia="zh-CN"/>
              </w:rPr>
            </w:pPr>
            <w:r>
              <w:rPr>
                <w:rFonts w:hint="default" w:ascii="Times New Roman" w:hAnsi="Times New Roman" w:eastAsia="宋体" w:cs="Times New Roman"/>
                <w:spacing w:val="0"/>
                <w:kern w:val="0"/>
                <w:sz w:val="21"/>
                <w:szCs w:val="21"/>
                <w:u w:val="none"/>
                <w:lang w:eastAsia="zh-CN"/>
              </w:rPr>
              <w:t>①医疗废物；②具有爆炸性、剧毒性的危险废物；③无明确利用处置途径以及成分不明的危险废物；④法律法规规定需要单独收集的危险废物。</w:t>
            </w:r>
          </w:p>
        </w:tc>
        <w:tc>
          <w:tcPr>
            <w:tcW w:w="2101" w:type="pct"/>
            <w:vAlign w:val="center"/>
          </w:tcPr>
          <w:p w14:paraId="306901C8">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val="en-US" w:eastAsia="zh-CN"/>
              </w:rPr>
            </w:pPr>
            <w:r>
              <w:rPr>
                <w:rFonts w:hint="default" w:ascii="Times New Roman" w:hAnsi="Times New Roman" w:eastAsia="宋体" w:cs="Times New Roman"/>
                <w:spacing w:val="0"/>
                <w:kern w:val="0"/>
                <w:sz w:val="21"/>
                <w:szCs w:val="21"/>
                <w:u w:val="none"/>
                <w:lang w:val="en-US" w:eastAsia="zh-CN"/>
              </w:rPr>
              <w:t>本项目不收集</w:t>
            </w:r>
            <w:r>
              <w:rPr>
                <w:rFonts w:hint="default" w:ascii="Times New Roman" w:hAnsi="Times New Roman" w:eastAsia="宋体" w:cs="Times New Roman"/>
                <w:spacing w:val="0"/>
                <w:kern w:val="0"/>
                <w:sz w:val="21"/>
                <w:szCs w:val="21"/>
                <w:u w:val="none"/>
                <w:lang w:eastAsia="zh-CN"/>
              </w:rPr>
              <w:t>医疗废物；具有爆炸性、剧毒性的危险废物；无明确利用处置途径以及成分不明的危险废物；</w:t>
            </w:r>
            <w:r>
              <w:rPr>
                <w:rFonts w:hint="default" w:ascii="Times New Roman" w:hAnsi="Times New Roman" w:eastAsia="宋体" w:cs="Times New Roman"/>
                <w:spacing w:val="0"/>
                <w:kern w:val="0"/>
                <w:sz w:val="21"/>
                <w:szCs w:val="21"/>
                <w:u w:val="none"/>
                <w:lang w:val="en-US" w:eastAsia="zh-CN"/>
              </w:rPr>
              <w:t>以及</w:t>
            </w:r>
            <w:r>
              <w:rPr>
                <w:rFonts w:hint="default" w:ascii="Times New Roman" w:hAnsi="Times New Roman" w:eastAsia="宋体" w:cs="Times New Roman"/>
                <w:spacing w:val="0"/>
                <w:kern w:val="0"/>
                <w:sz w:val="21"/>
                <w:szCs w:val="21"/>
                <w:u w:val="none"/>
                <w:lang w:eastAsia="zh-CN"/>
              </w:rPr>
              <w:t>法律法规规定需要单独收集的危险废物。</w:t>
            </w:r>
          </w:p>
        </w:tc>
        <w:tc>
          <w:tcPr>
            <w:tcW w:w="624" w:type="pct"/>
            <w:vAlign w:val="center"/>
          </w:tcPr>
          <w:p w14:paraId="6CEF66EF">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rPr>
              <w:t>符合</w:t>
            </w:r>
          </w:p>
        </w:tc>
      </w:tr>
      <w:tr w14:paraId="757322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000" w:type="pct"/>
            <w:gridSpan w:val="3"/>
            <w:vAlign w:val="center"/>
          </w:tcPr>
          <w:p w14:paraId="6364183A">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lang w:eastAsia="zh-CN"/>
              </w:rPr>
              <w:t>集点准入要求</w:t>
            </w:r>
          </w:p>
        </w:tc>
      </w:tr>
      <w:tr w14:paraId="032CC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3" w:type="pct"/>
            <w:vAlign w:val="center"/>
          </w:tcPr>
          <w:p w14:paraId="6470AA2B">
            <w:pPr>
              <w:keepNext w:val="0"/>
              <w:keepLines w:val="0"/>
              <w:pageBreakBefore w:val="0"/>
              <w:widowControl w:val="0"/>
              <w:numPr>
                <w:ilvl w:val="0"/>
                <w:numId w:val="0"/>
              </w:numPr>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none"/>
                <w:lang w:eastAsia="zh-CN"/>
              </w:rPr>
            </w:pPr>
            <w:r>
              <w:rPr>
                <w:rFonts w:hint="default" w:ascii="Times New Roman" w:hAnsi="Times New Roman" w:eastAsia="宋体" w:cs="Times New Roman"/>
                <w:spacing w:val="0"/>
                <w:kern w:val="0"/>
                <w:sz w:val="21"/>
                <w:szCs w:val="21"/>
                <w:u w:val="none"/>
                <w:lang w:val="en-US" w:eastAsia="zh-CN"/>
              </w:rPr>
              <w:t>1.</w:t>
            </w:r>
            <w:r>
              <w:rPr>
                <w:rFonts w:hint="default" w:ascii="Times New Roman" w:hAnsi="Times New Roman" w:eastAsia="宋体" w:cs="Times New Roman"/>
                <w:spacing w:val="0"/>
                <w:kern w:val="0"/>
                <w:sz w:val="21"/>
                <w:szCs w:val="21"/>
                <w:u w:val="none"/>
                <w:lang w:eastAsia="zh-CN"/>
              </w:rPr>
              <w:t>独立法人单位，建设项目选址应位于工业园区内，具有环评、排污许可、应急预案备案等完善的环保手续以及消防、安评等相关手续</w:t>
            </w:r>
          </w:p>
        </w:tc>
        <w:tc>
          <w:tcPr>
            <w:tcW w:w="2101" w:type="pct"/>
            <w:vAlign w:val="center"/>
          </w:tcPr>
          <w:p w14:paraId="14407B20">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val="en-US"/>
              </w:rPr>
            </w:pPr>
            <w:r>
              <w:rPr>
                <w:rFonts w:hint="default" w:ascii="Times New Roman" w:hAnsi="Times New Roman" w:eastAsia="宋体" w:cs="Times New Roman"/>
                <w:spacing w:val="0"/>
                <w:kern w:val="0"/>
                <w:sz w:val="21"/>
                <w:szCs w:val="21"/>
                <w:u w:val="none"/>
                <w:lang w:val="en-US" w:eastAsia="zh-CN"/>
              </w:rPr>
              <w:t>本项目建设单位为</w:t>
            </w:r>
            <w:r>
              <w:rPr>
                <w:rFonts w:hint="default" w:ascii="Times New Roman" w:hAnsi="Times New Roman" w:eastAsia="宋体" w:cs="Times New Roman"/>
                <w:spacing w:val="0"/>
                <w:kern w:val="0"/>
                <w:sz w:val="21"/>
                <w:szCs w:val="21"/>
                <w:u w:val="none"/>
                <w:lang w:eastAsia="zh-CN"/>
              </w:rPr>
              <w:t>独立法人单位，项目选址位于</w:t>
            </w:r>
            <w:r>
              <w:rPr>
                <w:rFonts w:hint="default" w:ascii="Times New Roman" w:hAnsi="Times New Roman" w:eastAsia="宋体" w:cs="Times New Roman"/>
                <w:spacing w:val="0"/>
                <w:kern w:val="0"/>
                <w:sz w:val="21"/>
                <w:szCs w:val="21"/>
                <w:u w:val="none"/>
                <w:lang w:val="en-US" w:eastAsia="zh-CN"/>
              </w:rPr>
              <w:t>松木经济开发区</w:t>
            </w:r>
            <w:r>
              <w:rPr>
                <w:rFonts w:hint="default" w:ascii="Times New Roman" w:hAnsi="Times New Roman" w:eastAsia="宋体" w:cs="Times New Roman"/>
                <w:spacing w:val="0"/>
                <w:kern w:val="0"/>
                <w:sz w:val="21"/>
                <w:szCs w:val="21"/>
                <w:u w:val="none"/>
                <w:lang w:eastAsia="zh-CN"/>
              </w:rPr>
              <w:t>内，环评、排污许可、应急预案备案等的环保手续以及消防、安评等相关手续</w:t>
            </w:r>
            <w:r>
              <w:rPr>
                <w:rFonts w:hint="default" w:ascii="Times New Roman" w:hAnsi="Times New Roman" w:eastAsia="宋体" w:cs="Times New Roman"/>
                <w:spacing w:val="0"/>
                <w:kern w:val="0"/>
                <w:sz w:val="21"/>
                <w:szCs w:val="21"/>
                <w:u w:val="none"/>
                <w:lang w:val="en-US" w:eastAsia="zh-CN"/>
              </w:rPr>
              <w:t>正在按照要求进行办理</w:t>
            </w:r>
          </w:p>
        </w:tc>
        <w:tc>
          <w:tcPr>
            <w:tcW w:w="624" w:type="pct"/>
            <w:vAlign w:val="center"/>
          </w:tcPr>
          <w:p w14:paraId="007FC94C">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rPr>
              <w:t>符合</w:t>
            </w:r>
          </w:p>
        </w:tc>
      </w:tr>
      <w:tr w14:paraId="573E7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3" w:type="pct"/>
            <w:vAlign w:val="center"/>
          </w:tcPr>
          <w:p w14:paraId="10F6CB75">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eastAsia="zh-CN"/>
              </w:rPr>
            </w:pPr>
            <w:r>
              <w:rPr>
                <w:rFonts w:hint="default" w:ascii="Times New Roman" w:hAnsi="Times New Roman" w:eastAsia="宋体" w:cs="Times New Roman"/>
                <w:spacing w:val="0"/>
                <w:kern w:val="0"/>
                <w:sz w:val="21"/>
                <w:szCs w:val="21"/>
                <w:u w:val="none"/>
                <w:lang w:val="en-US" w:eastAsia="zh-CN"/>
              </w:rPr>
              <w:t>2.</w:t>
            </w:r>
            <w:r>
              <w:rPr>
                <w:rFonts w:hint="default" w:ascii="Times New Roman" w:hAnsi="Times New Roman" w:eastAsia="宋体" w:cs="Times New Roman"/>
                <w:spacing w:val="0"/>
                <w:kern w:val="0"/>
                <w:sz w:val="21"/>
                <w:szCs w:val="21"/>
                <w:u w:val="none"/>
                <w:lang w:eastAsia="zh-CN"/>
              </w:rPr>
              <w:t>至少有1名以上环境科学与工程、化学等相关专业背景中级及以上技术职称，并有3年以上固体废物污染治理经历的全职技术人员</w:t>
            </w:r>
          </w:p>
        </w:tc>
        <w:tc>
          <w:tcPr>
            <w:tcW w:w="2101" w:type="pct"/>
            <w:vAlign w:val="center"/>
          </w:tcPr>
          <w:p w14:paraId="22AD16E3">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lang w:val="en-US" w:eastAsia="zh-CN"/>
              </w:rPr>
              <w:t>本项目建设单位将按要求配备具有相关专业技术职称的全职人员</w:t>
            </w:r>
          </w:p>
        </w:tc>
        <w:tc>
          <w:tcPr>
            <w:tcW w:w="624" w:type="pct"/>
            <w:vAlign w:val="center"/>
          </w:tcPr>
          <w:p w14:paraId="6F16281A">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rPr>
              <w:t>符合</w:t>
            </w:r>
          </w:p>
        </w:tc>
      </w:tr>
      <w:tr w14:paraId="207F60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3" w:type="pct"/>
            <w:vAlign w:val="center"/>
          </w:tcPr>
          <w:p w14:paraId="4A75CD00">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eastAsia="zh-CN"/>
              </w:rPr>
            </w:pPr>
            <w:r>
              <w:rPr>
                <w:rFonts w:hint="default" w:ascii="Times New Roman" w:hAnsi="Times New Roman" w:eastAsia="宋体" w:cs="Times New Roman"/>
                <w:spacing w:val="0"/>
                <w:kern w:val="0"/>
                <w:sz w:val="21"/>
                <w:szCs w:val="21"/>
                <w:u w:val="none"/>
                <w:lang w:val="en-US" w:eastAsia="zh-CN"/>
              </w:rPr>
              <w:t>3.</w:t>
            </w:r>
            <w:r>
              <w:rPr>
                <w:rFonts w:hint="default" w:ascii="Times New Roman" w:hAnsi="Times New Roman" w:eastAsia="宋体" w:cs="Times New Roman"/>
                <w:spacing w:val="0"/>
                <w:kern w:val="0"/>
                <w:sz w:val="21"/>
                <w:szCs w:val="21"/>
                <w:u w:val="none"/>
                <w:lang w:eastAsia="zh-CN"/>
              </w:rPr>
              <w:t>收集贮存设施应符合国家有关标准和技术规范，贮存面积应根据收集贮存量及中转周期合理设计，且集中收集点不小于1000平方米，园区收集点不小于700平方米，最长贮存期限不得超过90个工作日，最大贮存量不大于有效库容的80%</w:t>
            </w:r>
          </w:p>
        </w:tc>
        <w:tc>
          <w:tcPr>
            <w:tcW w:w="2101" w:type="pct"/>
            <w:vAlign w:val="center"/>
          </w:tcPr>
          <w:p w14:paraId="5AA3FA91">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lang w:val="en-US" w:eastAsia="zh-CN"/>
              </w:rPr>
              <w:t>本项目拟采用的</w:t>
            </w:r>
            <w:r>
              <w:rPr>
                <w:rFonts w:hint="default" w:ascii="Times New Roman" w:hAnsi="Times New Roman" w:eastAsia="宋体" w:cs="Times New Roman"/>
                <w:spacing w:val="0"/>
                <w:kern w:val="0"/>
                <w:sz w:val="21"/>
                <w:szCs w:val="21"/>
                <w:u w:val="none"/>
                <w:lang w:eastAsia="zh-CN"/>
              </w:rPr>
              <w:t>收集贮存设施</w:t>
            </w:r>
            <w:r>
              <w:rPr>
                <w:rFonts w:hint="default" w:ascii="Times New Roman" w:hAnsi="Times New Roman" w:eastAsia="宋体" w:cs="Times New Roman"/>
                <w:spacing w:val="0"/>
                <w:kern w:val="0"/>
                <w:sz w:val="21"/>
                <w:szCs w:val="21"/>
                <w:u w:val="none"/>
                <w:lang w:val="en-US" w:eastAsia="zh-CN"/>
              </w:rPr>
              <w:t>均</w:t>
            </w:r>
            <w:r>
              <w:rPr>
                <w:rFonts w:hint="default" w:ascii="Times New Roman" w:hAnsi="Times New Roman" w:eastAsia="宋体" w:cs="Times New Roman"/>
                <w:spacing w:val="0"/>
                <w:kern w:val="0"/>
                <w:sz w:val="21"/>
                <w:szCs w:val="21"/>
                <w:u w:val="none"/>
                <w:lang w:eastAsia="zh-CN"/>
              </w:rPr>
              <w:t>符合国家有关标准和技术规范，贮存面积应根据收集贮存量及中转周期合理设计，</w:t>
            </w:r>
            <w:r>
              <w:rPr>
                <w:rFonts w:hint="default" w:ascii="Times New Roman" w:hAnsi="Times New Roman" w:eastAsia="宋体" w:cs="Times New Roman"/>
                <w:spacing w:val="0"/>
                <w:kern w:val="0"/>
                <w:sz w:val="21"/>
                <w:szCs w:val="21"/>
                <w:u w:val="none"/>
                <w:lang w:val="en-US" w:eastAsia="zh-CN"/>
              </w:rPr>
              <w:t>项目</w:t>
            </w:r>
            <w:r>
              <w:rPr>
                <w:rFonts w:hint="default" w:ascii="Times New Roman" w:hAnsi="Times New Roman" w:eastAsia="宋体" w:cs="Times New Roman"/>
                <w:spacing w:val="0"/>
                <w:kern w:val="0"/>
                <w:sz w:val="21"/>
                <w:szCs w:val="21"/>
                <w:u w:val="none"/>
                <w:lang w:eastAsia="zh-CN"/>
              </w:rPr>
              <w:t>收集点</w:t>
            </w:r>
            <w:r>
              <w:rPr>
                <w:rFonts w:hint="default" w:ascii="Times New Roman" w:hAnsi="Times New Roman" w:eastAsia="宋体" w:cs="Times New Roman"/>
                <w:spacing w:val="0"/>
                <w:kern w:val="0"/>
                <w:sz w:val="21"/>
                <w:szCs w:val="21"/>
                <w:u w:val="none"/>
                <w:lang w:val="en-US" w:eastAsia="zh-CN"/>
              </w:rPr>
              <w:t>面积大于1000m</w:t>
            </w:r>
            <w:r>
              <w:rPr>
                <w:rFonts w:hint="default" w:ascii="Times New Roman" w:hAnsi="Times New Roman" w:eastAsia="宋体" w:cs="Times New Roman"/>
                <w:spacing w:val="0"/>
                <w:kern w:val="0"/>
                <w:sz w:val="21"/>
                <w:szCs w:val="21"/>
                <w:u w:val="none"/>
                <w:vertAlign w:val="superscript"/>
                <w:lang w:val="en-US" w:eastAsia="zh-CN"/>
              </w:rPr>
              <w:t>2</w:t>
            </w:r>
            <w:r>
              <w:rPr>
                <w:rFonts w:hint="default" w:ascii="Times New Roman" w:hAnsi="Times New Roman" w:eastAsia="宋体" w:cs="Times New Roman"/>
                <w:spacing w:val="0"/>
                <w:kern w:val="0"/>
                <w:sz w:val="21"/>
                <w:szCs w:val="21"/>
                <w:u w:val="none"/>
                <w:lang w:eastAsia="zh-CN"/>
              </w:rPr>
              <w:t>，最长贮存期限不得超过90个工作日，最大贮存量不大于有效库容的80%</w:t>
            </w:r>
          </w:p>
        </w:tc>
        <w:tc>
          <w:tcPr>
            <w:tcW w:w="624" w:type="pct"/>
            <w:vAlign w:val="center"/>
          </w:tcPr>
          <w:p w14:paraId="4A1384B4">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rPr>
              <w:t>符合</w:t>
            </w:r>
          </w:p>
        </w:tc>
      </w:tr>
      <w:tr w14:paraId="09F010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3" w:type="pct"/>
            <w:vAlign w:val="center"/>
          </w:tcPr>
          <w:p w14:paraId="4F7568E9">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eastAsia="zh-CN"/>
              </w:rPr>
            </w:pPr>
            <w:r>
              <w:rPr>
                <w:rFonts w:hint="default" w:ascii="Times New Roman" w:hAnsi="Times New Roman" w:eastAsia="宋体" w:cs="Times New Roman"/>
                <w:spacing w:val="0"/>
                <w:kern w:val="0"/>
                <w:sz w:val="21"/>
                <w:szCs w:val="21"/>
                <w:u w:val="none"/>
                <w:lang w:val="en-US" w:eastAsia="zh-CN"/>
              </w:rPr>
              <w:t>4.</w:t>
            </w:r>
            <w:r>
              <w:rPr>
                <w:rFonts w:hint="default" w:ascii="Times New Roman" w:hAnsi="Times New Roman" w:eastAsia="宋体" w:cs="Times New Roman"/>
                <w:spacing w:val="0"/>
                <w:kern w:val="0"/>
                <w:sz w:val="21"/>
                <w:szCs w:val="21"/>
                <w:u w:val="none"/>
                <w:lang w:eastAsia="zh-CN"/>
              </w:rPr>
              <w:t>收集贮存设施应配备仓储式货架，采用智能负压仓储系统，并配置相应的毒气及易燃气体监控、防火防爆报警装置</w:t>
            </w:r>
          </w:p>
        </w:tc>
        <w:tc>
          <w:tcPr>
            <w:tcW w:w="2101" w:type="pct"/>
            <w:vAlign w:val="center"/>
          </w:tcPr>
          <w:p w14:paraId="0664B9D2">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lang w:val="en-US" w:eastAsia="zh-CN"/>
              </w:rPr>
              <w:t>本项目</w:t>
            </w:r>
            <w:r>
              <w:rPr>
                <w:rFonts w:hint="default" w:ascii="Times New Roman" w:hAnsi="Times New Roman" w:eastAsia="宋体" w:cs="Times New Roman"/>
                <w:spacing w:val="0"/>
                <w:kern w:val="0"/>
                <w:sz w:val="21"/>
                <w:szCs w:val="21"/>
                <w:u w:val="none"/>
                <w:lang w:eastAsia="zh-CN"/>
              </w:rPr>
              <w:t>收集贮存设施</w:t>
            </w:r>
            <w:r>
              <w:rPr>
                <w:rFonts w:hint="default" w:ascii="Times New Roman" w:hAnsi="Times New Roman" w:eastAsia="宋体" w:cs="Times New Roman"/>
                <w:spacing w:val="0"/>
                <w:kern w:val="0"/>
                <w:sz w:val="21"/>
                <w:szCs w:val="21"/>
                <w:u w:val="none"/>
                <w:lang w:val="en-US" w:eastAsia="zh-CN"/>
              </w:rPr>
              <w:t>将</w:t>
            </w:r>
            <w:r>
              <w:rPr>
                <w:rFonts w:hint="default" w:ascii="Times New Roman" w:hAnsi="Times New Roman" w:eastAsia="宋体" w:cs="Times New Roman"/>
                <w:spacing w:val="0"/>
                <w:kern w:val="0"/>
                <w:sz w:val="21"/>
                <w:szCs w:val="21"/>
                <w:u w:val="none"/>
                <w:lang w:eastAsia="zh-CN"/>
              </w:rPr>
              <w:t>配备仓储式货架，采用负压仓储系统，并配置相应的毒气及易燃气体监控、防火防爆报警装置</w:t>
            </w:r>
          </w:p>
        </w:tc>
        <w:tc>
          <w:tcPr>
            <w:tcW w:w="624" w:type="pct"/>
            <w:vAlign w:val="center"/>
          </w:tcPr>
          <w:p w14:paraId="7DE0A5E5">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rPr>
              <w:t>符合</w:t>
            </w:r>
          </w:p>
        </w:tc>
      </w:tr>
      <w:tr w14:paraId="089BB9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3" w:type="pct"/>
            <w:vAlign w:val="center"/>
          </w:tcPr>
          <w:p w14:paraId="7061C5D5">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eastAsia="zh-CN"/>
              </w:rPr>
            </w:pPr>
            <w:r>
              <w:rPr>
                <w:rFonts w:hint="default" w:ascii="Times New Roman" w:hAnsi="Times New Roman" w:eastAsia="宋体" w:cs="Times New Roman"/>
                <w:spacing w:val="0"/>
                <w:kern w:val="0"/>
                <w:sz w:val="21"/>
                <w:szCs w:val="21"/>
                <w:u w:val="none"/>
                <w:lang w:val="en-US" w:eastAsia="zh-CN"/>
              </w:rPr>
              <w:t>5.</w:t>
            </w:r>
            <w:r>
              <w:rPr>
                <w:rFonts w:hint="default" w:ascii="Times New Roman" w:hAnsi="Times New Roman" w:eastAsia="宋体" w:cs="Times New Roman"/>
                <w:spacing w:val="0"/>
                <w:kern w:val="0"/>
                <w:sz w:val="21"/>
                <w:szCs w:val="21"/>
                <w:u w:val="none"/>
                <w:lang w:eastAsia="zh-CN"/>
              </w:rPr>
              <w:t>与利用处置单位签订协议书并投保环境污染责任险，及时将收集的危险废物委托给有资质单位利用处置，严禁将危险废物转移至无资质单位</w:t>
            </w:r>
          </w:p>
        </w:tc>
        <w:tc>
          <w:tcPr>
            <w:tcW w:w="2101" w:type="pct"/>
            <w:vAlign w:val="center"/>
          </w:tcPr>
          <w:p w14:paraId="75BED1E0">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lang w:val="en-US" w:eastAsia="zh-CN"/>
              </w:rPr>
              <w:t>项目拟</w:t>
            </w:r>
            <w:r>
              <w:rPr>
                <w:rFonts w:hint="default" w:ascii="Times New Roman" w:hAnsi="Times New Roman" w:eastAsia="宋体" w:cs="Times New Roman"/>
                <w:spacing w:val="0"/>
                <w:kern w:val="0"/>
                <w:sz w:val="21"/>
                <w:szCs w:val="21"/>
                <w:u w:val="none"/>
                <w:lang w:eastAsia="zh-CN"/>
              </w:rPr>
              <w:t>与利用处置单位签订协议书并投保环境污染责任险，及时将收集的危险废物委托给有资质单位利用处置，严禁将危险废物转移至无资质单位</w:t>
            </w:r>
          </w:p>
        </w:tc>
        <w:tc>
          <w:tcPr>
            <w:tcW w:w="624" w:type="pct"/>
            <w:vAlign w:val="center"/>
          </w:tcPr>
          <w:p w14:paraId="14D0D6D3">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rPr>
              <w:t>符合</w:t>
            </w:r>
          </w:p>
        </w:tc>
      </w:tr>
      <w:tr w14:paraId="7C3D2D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3" w:type="pct"/>
            <w:vAlign w:val="center"/>
          </w:tcPr>
          <w:p w14:paraId="7E78FF98">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eastAsia="zh-CN"/>
              </w:rPr>
            </w:pPr>
            <w:r>
              <w:rPr>
                <w:rFonts w:hint="default" w:ascii="Times New Roman" w:hAnsi="Times New Roman" w:eastAsia="宋体" w:cs="Times New Roman"/>
                <w:spacing w:val="0"/>
                <w:kern w:val="0"/>
                <w:sz w:val="21"/>
                <w:szCs w:val="21"/>
                <w:u w:val="none"/>
                <w:lang w:val="en-US" w:eastAsia="zh-CN"/>
              </w:rPr>
              <w:t>6.</w:t>
            </w:r>
            <w:r>
              <w:rPr>
                <w:rFonts w:hint="default" w:ascii="Times New Roman" w:hAnsi="Times New Roman" w:eastAsia="宋体" w:cs="Times New Roman"/>
                <w:spacing w:val="0"/>
                <w:kern w:val="0"/>
                <w:sz w:val="21"/>
                <w:szCs w:val="21"/>
                <w:u w:val="none"/>
                <w:lang w:eastAsia="zh-CN"/>
              </w:rPr>
              <w:t>有符合国家和地方环境保护标准要求的包装工具、贮存场所和配套的污染防治设施，具有防范危险废物污染环境的管理制度、污染防治措施和环境应急预案。严格按照《危险废物贮存污染控制标准》（GB 18597—2001）要求，合理设计分区，设置独立的事故收集系统，贮存产生VOCs挥发性气体或有毒气体的，贮存库要有气体收集处理设施处理达标</w:t>
            </w:r>
          </w:p>
        </w:tc>
        <w:tc>
          <w:tcPr>
            <w:tcW w:w="2101" w:type="pct"/>
            <w:vAlign w:val="center"/>
          </w:tcPr>
          <w:p w14:paraId="31DCB034">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lang w:val="en-US" w:eastAsia="zh-CN"/>
              </w:rPr>
              <w:t>建设运营过程中间将使用符合环保标准的包装工具、贮存场所，并将配套满足环保要求的污染防治措施。将建立相关危险废物污染治理的管理制度并制定突发环境事件应急预案；项目系</w:t>
            </w:r>
            <w:r>
              <w:rPr>
                <w:rFonts w:hint="default" w:ascii="Times New Roman" w:hAnsi="Times New Roman" w:eastAsia="宋体" w:cs="Times New Roman"/>
                <w:spacing w:val="0"/>
                <w:kern w:val="0"/>
                <w:sz w:val="21"/>
                <w:szCs w:val="21"/>
                <w:u w:val="none"/>
                <w:lang w:eastAsia="zh-CN"/>
              </w:rPr>
              <w:t>严格按照《危险废物贮存污染控制标准》（GB 18597—20</w:t>
            </w:r>
            <w:r>
              <w:rPr>
                <w:rFonts w:hint="default" w:ascii="Times New Roman" w:hAnsi="Times New Roman" w:eastAsia="宋体" w:cs="Times New Roman"/>
                <w:spacing w:val="0"/>
                <w:kern w:val="0"/>
                <w:sz w:val="21"/>
                <w:szCs w:val="21"/>
                <w:u w:val="none"/>
                <w:lang w:val="en-US" w:eastAsia="zh-CN"/>
              </w:rPr>
              <w:t>23</w:t>
            </w:r>
            <w:r>
              <w:rPr>
                <w:rFonts w:hint="default" w:ascii="Times New Roman" w:hAnsi="Times New Roman" w:eastAsia="宋体" w:cs="Times New Roman"/>
                <w:spacing w:val="0"/>
                <w:kern w:val="0"/>
                <w:sz w:val="21"/>
                <w:szCs w:val="21"/>
                <w:u w:val="none"/>
                <w:lang w:eastAsia="zh-CN"/>
              </w:rPr>
              <w:t>）</w:t>
            </w:r>
            <w:r>
              <w:rPr>
                <w:rFonts w:hint="default" w:ascii="Times New Roman" w:hAnsi="Times New Roman" w:eastAsia="宋体" w:cs="Times New Roman"/>
                <w:spacing w:val="0"/>
                <w:kern w:val="0"/>
                <w:sz w:val="21"/>
                <w:szCs w:val="21"/>
                <w:u w:val="none"/>
                <w:lang w:val="en-US" w:eastAsia="zh-CN"/>
              </w:rPr>
              <w:t>的</w:t>
            </w:r>
            <w:r>
              <w:rPr>
                <w:rFonts w:hint="default" w:ascii="Times New Roman" w:hAnsi="Times New Roman" w:eastAsia="宋体" w:cs="Times New Roman"/>
                <w:spacing w:val="0"/>
                <w:kern w:val="0"/>
                <w:sz w:val="21"/>
                <w:szCs w:val="21"/>
                <w:u w:val="none"/>
                <w:lang w:eastAsia="zh-CN"/>
              </w:rPr>
              <w:t>要求，合理</w:t>
            </w:r>
            <w:r>
              <w:rPr>
                <w:rFonts w:hint="default" w:ascii="Times New Roman" w:hAnsi="Times New Roman" w:eastAsia="宋体" w:cs="Times New Roman"/>
                <w:spacing w:val="0"/>
                <w:kern w:val="0"/>
                <w:sz w:val="21"/>
                <w:szCs w:val="21"/>
                <w:u w:val="none"/>
                <w:lang w:val="en-US" w:eastAsia="zh-CN"/>
              </w:rPr>
              <w:t>进行</w:t>
            </w:r>
            <w:r>
              <w:rPr>
                <w:rFonts w:hint="default" w:ascii="Times New Roman" w:hAnsi="Times New Roman" w:eastAsia="宋体" w:cs="Times New Roman"/>
                <w:spacing w:val="0"/>
                <w:kern w:val="0"/>
                <w:sz w:val="21"/>
                <w:szCs w:val="21"/>
                <w:u w:val="none"/>
                <w:lang w:eastAsia="zh-CN"/>
              </w:rPr>
              <w:t>设计分区，设置独立的事故收集系统，</w:t>
            </w:r>
            <w:r>
              <w:rPr>
                <w:rFonts w:hint="default" w:ascii="Times New Roman" w:hAnsi="Times New Roman" w:eastAsia="宋体" w:cs="Times New Roman"/>
                <w:spacing w:val="0"/>
                <w:kern w:val="0"/>
                <w:sz w:val="21"/>
                <w:szCs w:val="21"/>
                <w:u w:val="none"/>
                <w:lang w:val="en-US" w:eastAsia="zh-CN"/>
              </w:rPr>
              <w:t>针对</w:t>
            </w:r>
            <w:r>
              <w:rPr>
                <w:rFonts w:hint="default" w:ascii="Times New Roman" w:hAnsi="Times New Roman" w:eastAsia="宋体" w:cs="Times New Roman"/>
                <w:spacing w:val="0"/>
                <w:kern w:val="0"/>
                <w:sz w:val="21"/>
                <w:szCs w:val="21"/>
                <w:u w:val="none"/>
                <w:lang w:eastAsia="zh-CN"/>
              </w:rPr>
              <w:t>贮存产生VOCs挥发性气体，</w:t>
            </w:r>
            <w:r>
              <w:rPr>
                <w:rFonts w:hint="default" w:ascii="Times New Roman" w:hAnsi="Times New Roman" w:eastAsia="宋体" w:cs="Times New Roman"/>
                <w:spacing w:val="0"/>
                <w:kern w:val="0"/>
                <w:sz w:val="21"/>
                <w:szCs w:val="21"/>
                <w:u w:val="none"/>
                <w:lang w:val="en-US" w:eastAsia="zh-CN"/>
              </w:rPr>
              <w:t>将设置</w:t>
            </w:r>
            <w:r>
              <w:rPr>
                <w:rFonts w:hint="default" w:ascii="Times New Roman" w:hAnsi="Times New Roman" w:eastAsia="宋体" w:cs="Times New Roman"/>
                <w:spacing w:val="0"/>
                <w:kern w:val="0"/>
                <w:sz w:val="21"/>
                <w:szCs w:val="21"/>
                <w:u w:val="none"/>
                <w:lang w:eastAsia="zh-CN"/>
              </w:rPr>
              <w:t>气体收集处理设施处理达标</w:t>
            </w:r>
          </w:p>
        </w:tc>
        <w:tc>
          <w:tcPr>
            <w:tcW w:w="624" w:type="pct"/>
            <w:vAlign w:val="center"/>
          </w:tcPr>
          <w:p w14:paraId="3A244FA3">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rPr>
              <w:t>符合</w:t>
            </w:r>
          </w:p>
        </w:tc>
      </w:tr>
      <w:tr w14:paraId="6784B5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3" w:type="pct"/>
            <w:vAlign w:val="center"/>
          </w:tcPr>
          <w:p w14:paraId="61390E8F">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lang w:eastAsia="zh-CN"/>
              </w:rPr>
            </w:pPr>
            <w:r>
              <w:rPr>
                <w:rFonts w:hint="default" w:ascii="Times New Roman" w:hAnsi="Times New Roman" w:eastAsia="宋体" w:cs="Times New Roman"/>
                <w:spacing w:val="0"/>
                <w:kern w:val="0"/>
                <w:sz w:val="21"/>
                <w:szCs w:val="21"/>
                <w:u w:val="none"/>
                <w:lang w:val="en-US" w:eastAsia="zh-CN"/>
              </w:rPr>
              <w:t>7.</w:t>
            </w:r>
            <w:r>
              <w:rPr>
                <w:rFonts w:hint="default" w:ascii="Times New Roman" w:hAnsi="Times New Roman" w:eastAsia="宋体" w:cs="Times New Roman"/>
                <w:spacing w:val="0"/>
                <w:kern w:val="0"/>
                <w:sz w:val="21"/>
                <w:szCs w:val="21"/>
                <w:u w:val="none"/>
                <w:lang w:eastAsia="zh-CN"/>
              </w:rPr>
              <w:t>具有与所收集的危险废物相适应的分析检测能力，不具备相关分析检测能力的，应签订协议书委托具备相关资质能力单位开展分析检测工作</w:t>
            </w:r>
          </w:p>
        </w:tc>
        <w:tc>
          <w:tcPr>
            <w:tcW w:w="2101" w:type="pct"/>
            <w:vAlign w:val="center"/>
          </w:tcPr>
          <w:p w14:paraId="3EFAEF82">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lang w:val="en-US" w:eastAsia="zh-CN"/>
              </w:rPr>
              <w:t>项目将与具有相应分析检测能力的单位签订协议，委托具备相关能力的单位开展分析检测工作</w:t>
            </w:r>
          </w:p>
        </w:tc>
        <w:tc>
          <w:tcPr>
            <w:tcW w:w="624" w:type="pct"/>
            <w:vAlign w:val="center"/>
          </w:tcPr>
          <w:p w14:paraId="17E89EA5">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none"/>
              </w:rPr>
            </w:pPr>
            <w:r>
              <w:rPr>
                <w:rFonts w:hint="default" w:ascii="Times New Roman" w:hAnsi="Times New Roman" w:eastAsia="宋体" w:cs="Times New Roman"/>
                <w:spacing w:val="0"/>
                <w:kern w:val="0"/>
                <w:sz w:val="21"/>
                <w:szCs w:val="21"/>
                <w:u w:val="none"/>
              </w:rPr>
              <w:t>符合</w:t>
            </w:r>
          </w:p>
        </w:tc>
      </w:tr>
    </w:tbl>
    <w:p w14:paraId="7B9CE806">
      <w:pPr>
        <w:pStyle w:val="4"/>
        <w:spacing w:before="0" w:after="0" w:line="360" w:lineRule="auto"/>
        <w:rPr>
          <w:rFonts w:hint="default" w:ascii="Times New Roman" w:hAnsi="Times New Roman" w:eastAsia="宋体" w:cs="Times New Roman"/>
          <w:b/>
          <w:bCs/>
          <w:spacing w:val="0"/>
          <w:sz w:val="24"/>
          <w:u w:val="single"/>
          <w:lang w:val="en-US" w:eastAsia="zh-CN"/>
        </w:rPr>
      </w:pPr>
      <w:r>
        <w:rPr>
          <w:rFonts w:hint="default" w:ascii="Times New Roman" w:hAnsi="Times New Roman" w:eastAsia="宋体" w:cs="Times New Roman"/>
          <w:sz w:val="24"/>
          <w:szCs w:val="24"/>
          <w:u w:val="single"/>
        </w:rPr>
        <w:t>1.5.</w:t>
      </w:r>
      <w:r>
        <w:rPr>
          <w:rFonts w:hint="default" w:ascii="Times New Roman" w:hAnsi="Times New Roman" w:eastAsia="宋体" w:cs="Times New Roman"/>
          <w:sz w:val="24"/>
          <w:szCs w:val="24"/>
          <w:u w:val="single"/>
          <w:lang w:val="en-US" w:eastAsia="zh-CN"/>
        </w:rPr>
        <w:t>7</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b/>
          <w:bCs/>
          <w:spacing w:val="0"/>
          <w:sz w:val="24"/>
          <w:u w:val="single"/>
          <w:lang w:val="en-US" w:eastAsia="zh-CN"/>
        </w:rPr>
        <w:t>与《衡阳市小微企业危险废物收集试点建设方案》的通知（衡环办[2023]27号）的符合性分析</w:t>
      </w:r>
    </w:p>
    <w:p w14:paraId="1768C557">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default" w:ascii="Times New Roman" w:hAnsi="Times New Roman" w:eastAsia="宋体" w:cs="Times New Roman"/>
          <w:color w:val="000000"/>
          <w:spacing w:val="0"/>
          <w:sz w:val="24"/>
          <w:szCs w:val="24"/>
          <w:u w:val="single"/>
        </w:rPr>
      </w:pPr>
      <w:r>
        <w:rPr>
          <w:rFonts w:hint="default" w:ascii="Times New Roman" w:hAnsi="Times New Roman" w:eastAsia="宋体" w:cs="Times New Roman"/>
          <w:color w:val="000000"/>
          <w:spacing w:val="0"/>
          <w:sz w:val="24"/>
          <w:szCs w:val="24"/>
          <w:u w:val="single"/>
        </w:rPr>
        <w:t>本项目与《衡阳市小微企业危险废物收集试点建设方案》的相符性分析，见下表：</w:t>
      </w:r>
    </w:p>
    <w:p w14:paraId="0C1BC85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firstLine="0" w:firstLineChars="0"/>
        <w:jc w:val="center"/>
        <w:textAlignment w:val="auto"/>
        <w:rPr>
          <w:rFonts w:hint="default" w:ascii="Times New Roman" w:hAnsi="Times New Roman" w:eastAsia="宋体" w:cs="Times New Roman"/>
          <w:color w:val="000000"/>
          <w:spacing w:val="0"/>
          <w:sz w:val="21"/>
          <w:szCs w:val="21"/>
          <w:u w:val="single"/>
        </w:rPr>
      </w:pPr>
      <w:r>
        <w:rPr>
          <w:rFonts w:hint="default" w:ascii="Times New Roman" w:hAnsi="Times New Roman" w:eastAsia="宋体" w:cs="Times New Roman"/>
          <w:b/>
          <w:bCs/>
          <w:color w:val="000000"/>
          <w:spacing w:val="0"/>
          <w:sz w:val="21"/>
          <w:szCs w:val="21"/>
          <w:u w:val="single"/>
        </w:rPr>
        <w:t>表</w:t>
      </w:r>
      <w:r>
        <w:rPr>
          <w:rFonts w:hint="default" w:ascii="Times New Roman" w:hAnsi="Times New Roman" w:eastAsia="宋体" w:cs="Times New Roman"/>
          <w:b/>
          <w:bCs/>
          <w:color w:val="000000"/>
          <w:spacing w:val="0"/>
          <w:sz w:val="21"/>
          <w:szCs w:val="21"/>
          <w:u w:val="single"/>
          <w:lang w:val="en-US" w:eastAsia="zh-CN"/>
        </w:rPr>
        <w:t xml:space="preserve">1.5-4 </w:t>
      </w:r>
      <w:r>
        <w:rPr>
          <w:rFonts w:hint="default" w:ascii="Times New Roman" w:hAnsi="Times New Roman" w:eastAsia="宋体" w:cs="Times New Roman"/>
          <w:b/>
          <w:bCs/>
          <w:color w:val="000000"/>
          <w:spacing w:val="0"/>
          <w:sz w:val="21"/>
          <w:szCs w:val="21"/>
          <w:u w:val="single"/>
        </w:rPr>
        <w:t>与《衡阳市小微企业危险废物收集试点建设方案》符合性分析</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869"/>
        <w:gridCol w:w="3578"/>
        <w:gridCol w:w="1072"/>
      </w:tblGrid>
      <w:tr w14:paraId="36F274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302ABD4B">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0"/>
                <w:kern w:val="0"/>
                <w:sz w:val="21"/>
                <w:szCs w:val="21"/>
                <w:u w:val="single"/>
              </w:rPr>
            </w:pPr>
            <w:r>
              <w:rPr>
                <w:rFonts w:hint="default" w:ascii="Times New Roman" w:hAnsi="Times New Roman" w:eastAsia="宋体" w:cs="Times New Roman"/>
                <w:b/>
                <w:bCs/>
                <w:spacing w:val="0"/>
                <w:sz w:val="24"/>
                <w:u w:val="single"/>
                <w:lang w:val="en-US" w:eastAsia="zh-CN"/>
              </w:rPr>
              <w:t>衡环办[2023]27号</w:t>
            </w:r>
            <w:r>
              <w:rPr>
                <w:rFonts w:hint="default" w:ascii="Times New Roman" w:hAnsi="Times New Roman" w:eastAsia="宋体" w:cs="Times New Roman"/>
                <w:b/>
                <w:bCs/>
                <w:color w:val="000000"/>
                <w:spacing w:val="0"/>
                <w:kern w:val="0"/>
                <w:sz w:val="21"/>
                <w:szCs w:val="21"/>
                <w:u w:val="single"/>
              </w:rPr>
              <w:t>内容要求</w:t>
            </w:r>
          </w:p>
        </w:tc>
        <w:tc>
          <w:tcPr>
            <w:tcW w:w="2100" w:type="pct"/>
            <w:vAlign w:val="center"/>
          </w:tcPr>
          <w:p w14:paraId="4ACCD37C">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0"/>
                <w:kern w:val="0"/>
                <w:sz w:val="21"/>
                <w:szCs w:val="21"/>
                <w:u w:val="single"/>
              </w:rPr>
            </w:pPr>
            <w:r>
              <w:rPr>
                <w:rFonts w:hint="default" w:ascii="Times New Roman" w:hAnsi="Times New Roman" w:eastAsia="宋体" w:cs="Times New Roman"/>
                <w:b/>
                <w:bCs/>
                <w:spacing w:val="0"/>
                <w:kern w:val="0"/>
                <w:sz w:val="21"/>
                <w:szCs w:val="21"/>
                <w:u w:val="single"/>
              </w:rPr>
              <w:t>本项目具体情况</w:t>
            </w:r>
          </w:p>
        </w:tc>
        <w:tc>
          <w:tcPr>
            <w:tcW w:w="628" w:type="pct"/>
            <w:vAlign w:val="center"/>
          </w:tcPr>
          <w:p w14:paraId="5B8232A7">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bCs/>
                <w:spacing w:val="0"/>
                <w:kern w:val="0"/>
                <w:sz w:val="21"/>
                <w:szCs w:val="21"/>
                <w:u w:val="single"/>
              </w:rPr>
            </w:pPr>
            <w:r>
              <w:rPr>
                <w:rFonts w:hint="default" w:ascii="Times New Roman" w:hAnsi="Times New Roman" w:eastAsia="宋体" w:cs="Times New Roman"/>
                <w:b/>
                <w:bCs/>
                <w:spacing w:val="0"/>
                <w:kern w:val="0"/>
                <w:sz w:val="21"/>
                <w:szCs w:val="21"/>
                <w:u w:val="single"/>
              </w:rPr>
              <w:t>符合性</w:t>
            </w:r>
          </w:p>
        </w:tc>
      </w:tr>
      <w:tr w14:paraId="6025D6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4A0C42D6">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lang w:eastAsia="zh-CN"/>
              </w:rPr>
            </w:pPr>
            <w:r>
              <w:rPr>
                <w:rFonts w:hint="default" w:ascii="Times New Roman" w:hAnsi="Times New Roman" w:eastAsia="宋体" w:cs="Times New Roman"/>
                <w:spacing w:val="0"/>
                <w:kern w:val="0"/>
                <w:sz w:val="21"/>
                <w:szCs w:val="21"/>
                <w:u w:val="single"/>
                <w:lang w:eastAsia="zh-CN"/>
              </w:rPr>
              <w:t>收集点严禁收集：</w:t>
            </w:r>
          </w:p>
          <w:p w14:paraId="3861A475">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lang w:eastAsia="zh-CN"/>
              </w:rPr>
            </w:pPr>
            <w:r>
              <w:rPr>
                <w:rFonts w:hint="default" w:ascii="Times New Roman" w:hAnsi="Times New Roman" w:eastAsia="宋体" w:cs="Times New Roman"/>
                <w:spacing w:val="0"/>
                <w:kern w:val="0"/>
                <w:sz w:val="21"/>
                <w:szCs w:val="21"/>
                <w:u w:val="single"/>
                <w:lang w:eastAsia="zh-CN"/>
              </w:rPr>
              <w:t>医疗废物；具有爆炸性、剧毒性的危险废物；无明确利用处置途径以及成分不明的危险废物；法律法规规定需要单独收集的危险废物。</w:t>
            </w:r>
          </w:p>
        </w:tc>
        <w:tc>
          <w:tcPr>
            <w:tcW w:w="2100" w:type="pct"/>
            <w:vAlign w:val="center"/>
          </w:tcPr>
          <w:p w14:paraId="75794A86">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本项目不收集</w:t>
            </w:r>
            <w:r>
              <w:rPr>
                <w:rFonts w:hint="default" w:ascii="Times New Roman" w:hAnsi="Times New Roman" w:eastAsia="宋体" w:cs="Times New Roman"/>
                <w:spacing w:val="0"/>
                <w:kern w:val="0"/>
                <w:sz w:val="21"/>
                <w:szCs w:val="21"/>
                <w:u w:val="single"/>
                <w:lang w:eastAsia="zh-CN"/>
              </w:rPr>
              <w:t>医疗废物；具有爆炸性、剧毒性的危险废物；无明确利用处置途径以及成分不明的危险废物；</w:t>
            </w:r>
            <w:r>
              <w:rPr>
                <w:rFonts w:hint="default" w:ascii="Times New Roman" w:hAnsi="Times New Roman" w:eastAsia="宋体" w:cs="Times New Roman"/>
                <w:spacing w:val="0"/>
                <w:kern w:val="0"/>
                <w:sz w:val="21"/>
                <w:szCs w:val="21"/>
                <w:u w:val="single"/>
                <w:lang w:val="en-US" w:eastAsia="zh-CN"/>
              </w:rPr>
              <w:t>以及</w:t>
            </w:r>
            <w:r>
              <w:rPr>
                <w:rFonts w:hint="default" w:ascii="Times New Roman" w:hAnsi="Times New Roman" w:eastAsia="宋体" w:cs="Times New Roman"/>
                <w:spacing w:val="0"/>
                <w:kern w:val="0"/>
                <w:sz w:val="21"/>
                <w:szCs w:val="21"/>
                <w:u w:val="single"/>
                <w:lang w:eastAsia="zh-CN"/>
              </w:rPr>
              <w:t>法律法规规定需要单独收集的危险废物。</w:t>
            </w:r>
          </w:p>
        </w:tc>
        <w:tc>
          <w:tcPr>
            <w:tcW w:w="628" w:type="pct"/>
            <w:vAlign w:val="center"/>
          </w:tcPr>
          <w:p w14:paraId="03850C21">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49F85D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5000" w:type="pct"/>
            <w:gridSpan w:val="3"/>
            <w:vAlign w:val="center"/>
          </w:tcPr>
          <w:p w14:paraId="7882BC89">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lang w:eastAsia="zh-CN"/>
              </w:rPr>
              <w:t>集点准入要求</w:t>
            </w:r>
          </w:p>
        </w:tc>
      </w:tr>
      <w:tr w14:paraId="32DA6A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7079140A">
            <w:pPr>
              <w:keepNext w:val="0"/>
              <w:keepLines w:val="0"/>
              <w:pageBreakBefore w:val="0"/>
              <w:widowControl w:val="0"/>
              <w:numPr>
                <w:ilvl w:val="0"/>
                <w:numId w:val="0"/>
              </w:numPr>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eastAsia="zh-CN"/>
              </w:rPr>
            </w:pPr>
            <w:r>
              <w:rPr>
                <w:rFonts w:hint="default" w:ascii="Times New Roman" w:hAnsi="Times New Roman" w:eastAsia="宋体" w:cs="Times New Roman"/>
                <w:spacing w:val="0"/>
                <w:kern w:val="0"/>
                <w:sz w:val="21"/>
                <w:szCs w:val="21"/>
                <w:u w:val="single"/>
                <w:lang w:val="en-US" w:eastAsia="zh-CN"/>
              </w:rPr>
              <w:t>1.</w:t>
            </w:r>
            <w:r>
              <w:rPr>
                <w:rFonts w:hint="default" w:ascii="Times New Roman" w:hAnsi="Times New Roman" w:eastAsia="宋体" w:cs="Times New Roman"/>
                <w:spacing w:val="0"/>
                <w:kern w:val="0"/>
                <w:sz w:val="21"/>
                <w:szCs w:val="21"/>
                <w:u w:val="single"/>
                <w:lang w:eastAsia="zh-CN"/>
              </w:rPr>
              <w:t>独立法人单位，建设项目选址应位于工业园区内</w:t>
            </w:r>
          </w:p>
        </w:tc>
        <w:tc>
          <w:tcPr>
            <w:tcW w:w="2100" w:type="pct"/>
            <w:vAlign w:val="center"/>
          </w:tcPr>
          <w:p w14:paraId="09122A7F">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lang w:val="en-US"/>
              </w:rPr>
            </w:pPr>
            <w:r>
              <w:rPr>
                <w:rFonts w:hint="default" w:ascii="Times New Roman" w:hAnsi="Times New Roman" w:eastAsia="宋体" w:cs="Times New Roman"/>
                <w:spacing w:val="0"/>
                <w:kern w:val="0"/>
                <w:sz w:val="21"/>
                <w:szCs w:val="21"/>
                <w:u w:val="single"/>
                <w:lang w:val="en-US" w:eastAsia="zh-CN"/>
              </w:rPr>
              <w:t>本项目建设单位为</w:t>
            </w:r>
            <w:r>
              <w:rPr>
                <w:rFonts w:hint="default" w:ascii="Times New Roman" w:hAnsi="Times New Roman" w:eastAsia="宋体" w:cs="Times New Roman"/>
                <w:spacing w:val="0"/>
                <w:kern w:val="0"/>
                <w:sz w:val="21"/>
                <w:szCs w:val="21"/>
                <w:u w:val="single"/>
                <w:lang w:eastAsia="zh-CN"/>
              </w:rPr>
              <w:t>独立法人单位，项目选址位于</w:t>
            </w:r>
            <w:r>
              <w:rPr>
                <w:rFonts w:hint="default" w:ascii="Times New Roman" w:hAnsi="Times New Roman" w:eastAsia="宋体" w:cs="Times New Roman"/>
                <w:spacing w:val="0"/>
                <w:kern w:val="0"/>
                <w:sz w:val="21"/>
                <w:szCs w:val="21"/>
                <w:u w:val="single"/>
                <w:lang w:val="en-US" w:eastAsia="zh-CN"/>
              </w:rPr>
              <w:t>松木经济开发区</w:t>
            </w:r>
            <w:r>
              <w:rPr>
                <w:rFonts w:hint="default" w:ascii="Times New Roman" w:hAnsi="Times New Roman" w:eastAsia="宋体" w:cs="Times New Roman"/>
                <w:spacing w:val="0"/>
                <w:kern w:val="0"/>
                <w:sz w:val="21"/>
                <w:szCs w:val="21"/>
                <w:u w:val="single"/>
                <w:lang w:eastAsia="zh-CN"/>
              </w:rPr>
              <w:t>内</w:t>
            </w:r>
          </w:p>
        </w:tc>
        <w:tc>
          <w:tcPr>
            <w:tcW w:w="628" w:type="pct"/>
            <w:vAlign w:val="center"/>
          </w:tcPr>
          <w:p w14:paraId="0A2F4AF6">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55F60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1004E3E9">
            <w:pPr>
              <w:keepNext w:val="0"/>
              <w:keepLines w:val="0"/>
              <w:pageBreakBefore w:val="0"/>
              <w:widowControl w:val="0"/>
              <w:numPr>
                <w:ilvl w:val="0"/>
                <w:numId w:val="0"/>
              </w:numPr>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2.贮存场所符合《危险废物贮存污染控制标准》要求，且集中收集点贮存面积不小于1000平方米，园区收集点不小于700平方米</w:t>
            </w:r>
          </w:p>
        </w:tc>
        <w:tc>
          <w:tcPr>
            <w:tcW w:w="2100" w:type="pct"/>
            <w:vAlign w:val="center"/>
          </w:tcPr>
          <w:p w14:paraId="39C816AF">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本项目拟设置的贮存场所和</w:t>
            </w:r>
            <w:r>
              <w:rPr>
                <w:rFonts w:hint="default" w:ascii="Times New Roman" w:hAnsi="Times New Roman" w:eastAsia="宋体" w:cs="Times New Roman"/>
                <w:spacing w:val="0"/>
                <w:kern w:val="0"/>
                <w:sz w:val="21"/>
                <w:szCs w:val="21"/>
                <w:u w:val="single"/>
                <w:lang w:eastAsia="zh-CN"/>
              </w:rPr>
              <w:t>收集贮存设施</w:t>
            </w:r>
            <w:r>
              <w:rPr>
                <w:rFonts w:hint="default" w:ascii="Times New Roman" w:hAnsi="Times New Roman" w:eastAsia="宋体" w:cs="Times New Roman"/>
                <w:spacing w:val="0"/>
                <w:kern w:val="0"/>
                <w:sz w:val="21"/>
                <w:szCs w:val="21"/>
                <w:u w:val="single"/>
                <w:lang w:val="en-US" w:eastAsia="zh-CN"/>
              </w:rPr>
              <w:t>均按照《危险废物贮存污染控制标准》要求建设</w:t>
            </w:r>
            <w:r>
              <w:rPr>
                <w:rFonts w:hint="default" w:ascii="Times New Roman" w:hAnsi="Times New Roman" w:eastAsia="宋体" w:cs="Times New Roman"/>
                <w:spacing w:val="0"/>
                <w:kern w:val="0"/>
                <w:sz w:val="21"/>
                <w:szCs w:val="21"/>
                <w:u w:val="single"/>
                <w:lang w:eastAsia="zh-CN"/>
              </w:rPr>
              <w:t>，</w:t>
            </w:r>
            <w:r>
              <w:rPr>
                <w:rFonts w:hint="default" w:ascii="Times New Roman" w:hAnsi="Times New Roman" w:eastAsia="宋体" w:cs="Times New Roman"/>
                <w:spacing w:val="0"/>
                <w:kern w:val="0"/>
                <w:sz w:val="21"/>
                <w:szCs w:val="21"/>
                <w:u w:val="single"/>
                <w:lang w:val="en-US" w:eastAsia="zh-CN"/>
              </w:rPr>
              <w:t>项目位于园区，且</w:t>
            </w:r>
            <w:r>
              <w:rPr>
                <w:rFonts w:hint="default" w:ascii="Times New Roman" w:hAnsi="Times New Roman" w:eastAsia="宋体" w:cs="Times New Roman"/>
                <w:spacing w:val="0"/>
                <w:kern w:val="0"/>
                <w:sz w:val="21"/>
                <w:szCs w:val="21"/>
                <w:u w:val="single"/>
                <w:lang w:eastAsia="zh-CN"/>
              </w:rPr>
              <w:t>收集点</w:t>
            </w:r>
            <w:r>
              <w:rPr>
                <w:rFonts w:hint="default" w:ascii="Times New Roman" w:hAnsi="Times New Roman" w:eastAsia="宋体" w:cs="Times New Roman"/>
                <w:spacing w:val="0"/>
                <w:kern w:val="0"/>
                <w:sz w:val="21"/>
                <w:szCs w:val="21"/>
                <w:u w:val="single"/>
                <w:lang w:val="en-US" w:eastAsia="zh-CN"/>
              </w:rPr>
              <w:t>的面积有5051.44m</w:t>
            </w:r>
            <w:r>
              <w:rPr>
                <w:rFonts w:hint="default" w:ascii="Times New Roman" w:hAnsi="Times New Roman" w:eastAsia="宋体" w:cs="Times New Roman"/>
                <w:spacing w:val="0"/>
                <w:kern w:val="0"/>
                <w:sz w:val="21"/>
                <w:szCs w:val="21"/>
                <w:u w:val="single"/>
                <w:vertAlign w:val="superscript"/>
                <w:lang w:val="en-US" w:eastAsia="zh-CN"/>
              </w:rPr>
              <w:t>2</w:t>
            </w:r>
          </w:p>
        </w:tc>
        <w:tc>
          <w:tcPr>
            <w:tcW w:w="628" w:type="pct"/>
            <w:vAlign w:val="center"/>
          </w:tcPr>
          <w:p w14:paraId="18A06295">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7331CC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21F2ACEE">
            <w:pPr>
              <w:keepNext w:val="0"/>
              <w:keepLines w:val="0"/>
              <w:pageBreakBefore w:val="0"/>
              <w:widowControl w:val="0"/>
              <w:numPr>
                <w:ilvl w:val="0"/>
                <w:numId w:val="0"/>
              </w:numPr>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3.</w:t>
            </w:r>
            <w:r>
              <w:rPr>
                <w:rFonts w:hint="default" w:ascii="Times New Roman" w:hAnsi="Times New Roman" w:eastAsia="宋体" w:cs="Times New Roman"/>
                <w:spacing w:val="0"/>
                <w:kern w:val="0"/>
                <w:sz w:val="21"/>
                <w:szCs w:val="21"/>
                <w:u w:val="single"/>
                <w:lang w:eastAsia="zh-CN"/>
              </w:rPr>
              <w:t>有环评、排污许可、应急预案备案等完善的环保手续以及消防、安评等相关手续</w:t>
            </w:r>
          </w:p>
        </w:tc>
        <w:tc>
          <w:tcPr>
            <w:tcW w:w="2100" w:type="pct"/>
            <w:vAlign w:val="center"/>
          </w:tcPr>
          <w:p w14:paraId="78BD8C6A">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项目</w:t>
            </w:r>
            <w:r>
              <w:rPr>
                <w:rFonts w:hint="default" w:ascii="Times New Roman" w:hAnsi="Times New Roman" w:eastAsia="宋体" w:cs="Times New Roman"/>
                <w:spacing w:val="0"/>
                <w:kern w:val="0"/>
                <w:sz w:val="21"/>
                <w:szCs w:val="21"/>
                <w:u w:val="single"/>
                <w:lang w:eastAsia="zh-CN"/>
              </w:rPr>
              <w:t>环评、排污许可、应急预案备案等的环保手续以及消防、安评等相关手续</w:t>
            </w:r>
            <w:r>
              <w:rPr>
                <w:rFonts w:hint="default" w:ascii="Times New Roman" w:hAnsi="Times New Roman" w:eastAsia="宋体" w:cs="Times New Roman"/>
                <w:spacing w:val="0"/>
                <w:kern w:val="0"/>
                <w:sz w:val="21"/>
                <w:szCs w:val="21"/>
                <w:u w:val="single"/>
                <w:lang w:val="en-US" w:eastAsia="zh-CN"/>
              </w:rPr>
              <w:t>正在按照要求进行办理</w:t>
            </w:r>
          </w:p>
        </w:tc>
        <w:tc>
          <w:tcPr>
            <w:tcW w:w="628" w:type="pct"/>
            <w:vAlign w:val="center"/>
          </w:tcPr>
          <w:p w14:paraId="14EF7594">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2A229A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29845B2C">
            <w:pPr>
              <w:keepNext w:val="0"/>
              <w:keepLines w:val="0"/>
              <w:pageBreakBefore w:val="0"/>
              <w:widowControl w:val="0"/>
              <w:numPr>
                <w:ilvl w:val="0"/>
                <w:numId w:val="0"/>
              </w:numPr>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4.</w:t>
            </w:r>
            <w:r>
              <w:rPr>
                <w:rFonts w:hint="default" w:ascii="Times New Roman" w:hAnsi="Times New Roman" w:eastAsia="宋体" w:cs="Times New Roman"/>
                <w:spacing w:val="0"/>
                <w:kern w:val="0"/>
                <w:sz w:val="21"/>
                <w:szCs w:val="21"/>
                <w:u w:val="single"/>
                <w:lang w:eastAsia="zh-CN"/>
              </w:rPr>
              <w:t>有符合国家和地方环境保护标准要求的包装工具，</w:t>
            </w:r>
            <w:r>
              <w:rPr>
                <w:rFonts w:hint="default" w:ascii="Times New Roman" w:hAnsi="Times New Roman" w:eastAsia="宋体" w:cs="Times New Roman"/>
                <w:spacing w:val="0"/>
                <w:kern w:val="0"/>
                <w:sz w:val="21"/>
                <w:szCs w:val="21"/>
                <w:u w:val="single"/>
                <w:lang w:val="en-US" w:eastAsia="zh-CN"/>
              </w:rPr>
              <w:t>配备有仓储式货架、智能负压仓储系统</w:t>
            </w:r>
          </w:p>
        </w:tc>
        <w:tc>
          <w:tcPr>
            <w:tcW w:w="2100" w:type="pct"/>
            <w:vAlign w:val="center"/>
          </w:tcPr>
          <w:p w14:paraId="2FC6FF4B">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项目将全部选择使用</w:t>
            </w:r>
            <w:r>
              <w:rPr>
                <w:rFonts w:hint="default" w:ascii="Times New Roman" w:hAnsi="Times New Roman" w:eastAsia="宋体" w:cs="Times New Roman"/>
                <w:spacing w:val="0"/>
                <w:kern w:val="0"/>
                <w:sz w:val="21"/>
                <w:szCs w:val="21"/>
                <w:u w:val="single"/>
                <w:lang w:eastAsia="zh-CN"/>
              </w:rPr>
              <w:t>符合国家和地方环境保护标准要求的包装工具，</w:t>
            </w:r>
            <w:r>
              <w:rPr>
                <w:rFonts w:hint="default" w:ascii="Times New Roman" w:hAnsi="Times New Roman" w:eastAsia="宋体" w:cs="Times New Roman"/>
                <w:spacing w:val="0"/>
                <w:kern w:val="0"/>
                <w:sz w:val="21"/>
                <w:szCs w:val="21"/>
                <w:u w:val="single"/>
                <w:lang w:val="en-US" w:eastAsia="zh-CN"/>
              </w:rPr>
              <w:t>并配备有仓储式货架、智能负压仓储系统</w:t>
            </w:r>
          </w:p>
        </w:tc>
        <w:tc>
          <w:tcPr>
            <w:tcW w:w="628" w:type="pct"/>
            <w:vAlign w:val="center"/>
          </w:tcPr>
          <w:p w14:paraId="287E8348">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73DE28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0609CA91">
            <w:pPr>
              <w:keepNext w:val="0"/>
              <w:keepLines w:val="0"/>
              <w:pageBreakBefore w:val="0"/>
              <w:widowControl w:val="0"/>
              <w:numPr>
                <w:ilvl w:val="0"/>
                <w:numId w:val="0"/>
              </w:numPr>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5.有符合环评要求的污染防治设施，可确保废水、废气达标排放</w:t>
            </w:r>
          </w:p>
        </w:tc>
        <w:tc>
          <w:tcPr>
            <w:tcW w:w="2100" w:type="pct"/>
            <w:vAlign w:val="center"/>
          </w:tcPr>
          <w:p w14:paraId="0341B704">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项目将按照环评还要求配套设置污染防治设施，保证废水和废气的达标排放</w:t>
            </w:r>
          </w:p>
        </w:tc>
        <w:tc>
          <w:tcPr>
            <w:tcW w:w="628" w:type="pct"/>
            <w:vAlign w:val="center"/>
          </w:tcPr>
          <w:p w14:paraId="1E8A4361">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3DDE5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2A739D45">
            <w:pPr>
              <w:keepNext w:val="0"/>
              <w:keepLines w:val="0"/>
              <w:pageBreakBefore w:val="0"/>
              <w:widowControl w:val="0"/>
              <w:numPr>
                <w:ilvl w:val="0"/>
                <w:numId w:val="0"/>
              </w:numPr>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6.有符合消防和安评要求的消防、安全设施，配置有相应的毒气及易燃气体监控、防火防爆报警装置</w:t>
            </w:r>
          </w:p>
        </w:tc>
        <w:tc>
          <w:tcPr>
            <w:tcW w:w="2100" w:type="pct"/>
            <w:vAlign w:val="center"/>
          </w:tcPr>
          <w:p w14:paraId="3475619E">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本项目将按照消防和安评的要求设置消防、安全设施，</w:t>
            </w:r>
            <w:r>
              <w:rPr>
                <w:rFonts w:hint="default" w:ascii="Times New Roman" w:hAnsi="Times New Roman" w:eastAsia="宋体" w:cs="Times New Roman"/>
                <w:spacing w:val="0"/>
                <w:kern w:val="0"/>
                <w:sz w:val="21"/>
                <w:szCs w:val="21"/>
                <w:u w:val="single"/>
                <w:lang w:eastAsia="zh-CN"/>
              </w:rPr>
              <w:t>并配置相应的毒气及易燃气体监控、防火防爆报警装置</w:t>
            </w:r>
          </w:p>
        </w:tc>
        <w:tc>
          <w:tcPr>
            <w:tcW w:w="628" w:type="pct"/>
            <w:vAlign w:val="center"/>
          </w:tcPr>
          <w:p w14:paraId="4D992058">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p>
        </w:tc>
      </w:tr>
      <w:tr w14:paraId="28BDE0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06E3C051">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7.</w:t>
            </w:r>
            <w:r>
              <w:rPr>
                <w:rFonts w:hint="default" w:ascii="Times New Roman" w:hAnsi="Times New Roman" w:eastAsia="宋体" w:cs="Times New Roman"/>
                <w:spacing w:val="0"/>
                <w:kern w:val="0"/>
                <w:sz w:val="21"/>
                <w:szCs w:val="21"/>
                <w:u w:val="single"/>
                <w:lang w:eastAsia="zh-CN"/>
              </w:rPr>
              <w:t>有1名以上环境科学与工程、化学等相关专业背景中级及以上技术职称，并有3年以上固体废物污染治理经历的全职技术人员</w:t>
            </w:r>
          </w:p>
        </w:tc>
        <w:tc>
          <w:tcPr>
            <w:tcW w:w="2100" w:type="pct"/>
            <w:vAlign w:val="center"/>
          </w:tcPr>
          <w:p w14:paraId="1786D8AF">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本项目建设单位将按要求配备具有相关专业技术职称的全职人员</w:t>
            </w:r>
          </w:p>
        </w:tc>
        <w:tc>
          <w:tcPr>
            <w:tcW w:w="628" w:type="pct"/>
            <w:vAlign w:val="center"/>
          </w:tcPr>
          <w:p w14:paraId="36BF16D4">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5DED1C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51269AF7">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8.与利用处置单位签订协议书</w:t>
            </w:r>
          </w:p>
        </w:tc>
        <w:tc>
          <w:tcPr>
            <w:tcW w:w="2100" w:type="pct"/>
            <w:vAlign w:val="center"/>
          </w:tcPr>
          <w:p w14:paraId="00957FFC">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本项目建设单位已经与处置单位签订协议书</w:t>
            </w:r>
          </w:p>
        </w:tc>
        <w:tc>
          <w:tcPr>
            <w:tcW w:w="628" w:type="pct"/>
            <w:vAlign w:val="center"/>
          </w:tcPr>
          <w:p w14:paraId="7EFFFE11">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7F3688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208E466B">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9.投保环境污染责任险</w:t>
            </w:r>
          </w:p>
        </w:tc>
        <w:tc>
          <w:tcPr>
            <w:tcW w:w="2100" w:type="pct"/>
            <w:vAlign w:val="center"/>
          </w:tcPr>
          <w:p w14:paraId="30EAE03B">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项目投入运行前将投保环境污染责任险</w:t>
            </w:r>
          </w:p>
        </w:tc>
        <w:tc>
          <w:tcPr>
            <w:tcW w:w="628" w:type="pct"/>
            <w:vAlign w:val="center"/>
          </w:tcPr>
          <w:p w14:paraId="7790DD6A">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7332A4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0EB34138">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10.有完善的环境管理制度、消防安全管理制度、管理人员责任制度、设施运行操作制度、人员岗位培训制度、环境监测制度等内部管理制度</w:t>
            </w:r>
          </w:p>
        </w:tc>
        <w:tc>
          <w:tcPr>
            <w:tcW w:w="2100" w:type="pct"/>
            <w:vAlign w:val="center"/>
          </w:tcPr>
          <w:p w14:paraId="2BD2CFAC">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项目将制定完善的环境管理制度、消防安全管理制度、管理人员责任制度、设施运行操作制度、人员岗位培训制度、环境监测制度等内部管理制度</w:t>
            </w:r>
          </w:p>
        </w:tc>
        <w:tc>
          <w:tcPr>
            <w:tcW w:w="628" w:type="pct"/>
            <w:vAlign w:val="center"/>
          </w:tcPr>
          <w:p w14:paraId="1E601810">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646DF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6FB694D4">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11.具备相关分析检测能力，或签订有协议书委托具备相关分析检测资质能力单位开展分析检测</w:t>
            </w:r>
          </w:p>
        </w:tc>
        <w:tc>
          <w:tcPr>
            <w:tcW w:w="2100" w:type="pct"/>
            <w:vAlign w:val="center"/>
          </w:tcPr>
          <w:p w14:paraId="0F4FDEA4">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项目将与具有相应分析检测能力的单位签订协议，委托具备相关能力的单位开展分析检测工作</w:t>
            </w:r>
          </w:p>
        </w:tc>
        <w:tc>
          <w:tcPr>
            <w:tcW w:w="628" w:type="pct"/>
            <w:vAlign w:val="center"/>
          </w:tcPr>
          <w:p w14:paraId="69989A15">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r w14:paraId="726049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jc w:val="center"/>
        </w:trPr>
        <w:tc>
          <w:tcPr>
            <w:tcW w:w="2271" w:type="pct"/>
            <w:vAlign w:val="center"/>
          </w:tcPr>
          <w:p w14:paraId="2727E074">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12.有危险废物管理信息系统，能做到危险废物从产生单位到收集、贮存、运输再到利用、处置单位全过程信息化管理，实现危险废物来源可追溯、贮存可查看，去向可追踪</w:t>
            </w:r>
          </w:p>
        </w:tc>
        <w:tc>
          <w:tcPr>
            <w:tcW w:w="2100" w:type="pct"/>
            <w:vAlign w:val="center"/>
          </w:tcPr>
          <w:p w14:paraId="52449125">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spacing w:val="0"/>
                <w:kern w:val="0"/>
                <w:sz w:val="21"/>
                <w:szCs w:val="21"/>
                <w:u w:val="single"/>
                <w:lang w:val="en-US" w:eastAsia="zh-CN"/>
              </w:rPr>
            </w:pPr>
            <w:r>
              <w:rPr>
                <w:rFonts w:hint="default" w:ascii="Times New Roman" w:hAnsi="Times New Roman" w:eastAsia="宋体" w:cs="Times New Roman"/>
                <w:spacing w:val="0"/>
                <w:kern w:val="0"/>
                <w:sz w:val="21"/>
                <w:szCs w:val="21"/>
                <w:u w:val="single"/>
                <w:lang w:val="en-US" w:eastAsia="zh-CN"/>
              </w:rPr>
              <w:t>项目建成后将建立危险废物管理信息系统，能做到危险废物从产生单位到收集、贮存、运输再到利用、处置单位全过程信息化管理</w:t>
            </w:r>
          </w:p>
        </w:tc>
        <w:tc>
          <w:tcPr>
            <w:tcW w:w="628" w:type="pct"/>
            <w:vAlign w:val="center"/>
          </w:tcPr>
          <w:p w14:paraId="3361205A">
            <w:pPr>
              <w:keepNext w:val="0"/>
              <w:keepLines w:val="0"/>
              <w:pageBreakBefore w:val="0"/>
              <w:widowControl w:val="0"/>
              <w:suppressLineNumbers w:val="0"/>
              <w:kinsoku/>
              <w:wordWrap/>
              <w:overflowPunct/>
              <w:topLinePunct w:val="0"/>
              <w:autoSpaceDE/>
              <w:autoSpaceDN/>
              <w:bidi/>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pacing w:val="0"/>
                <w:kern w:val="0"/>
                <w:sz w:val="21"/>
                <w:szCs w:val="21"/>
                <w:u w:val="single"/>
              </w:rPr>
            </w:pPr>
            <w:r>
              <w:rPr>
                <w:rFonts w:hint="default" w:ascii="Times New Roman" w:hAnsi="Times New Roman" w:eastAsia="宋体" w:cs="Times New Roman"/>
                <w:spacing w:val="0"/>
                <w:kern w:val="0"/>
                <w:sz w:val="21"/>
                <w:szCs w:val="21"/>
                <w:u w:val="single"/>
              </w:rPr>
              <w:t>符合</w:t>
            </w:r>
          </w:p>
        </w:tc>
      </w:tr>
    </w:tbl>
    <w:p w14:paraId="40DBB7BE">
      <w:pPr>
        <w:pStyle w:val="4"/>
        <w:spacing w:before="0" w:after="0" w:line="360" w:lineRule="auto"/>
        <w:rPr>
          <w:rFonts w:hint="default" w:ascii="Times New Roman" w:hAnsi="Times New Roman" w:eastAsia="宋体" w:cs="Times New Roman"/>
          <w:b/>
          <w:bCs/>
          <w:spacing w:val="0"/>
          <w:sz w:val="24"/>
          <w:u w:val="none"/>
          <w:lang w:val="en-US" w:eastAsia="zh-CN"/>
        </w:rPr>
      </w:pPr>
      <w:r>
        <w:rPr>
          <w:rFonts w:hint="default" w:ascii="Times New Roman" w:hAnsi="Times New Roman" w:eastAsia="宋体" w:cs="Times New Roman"/>
          <w:sz w:val="24"/>
          <w:szCs w:val="24"/>
        </w:rPr>
        <w:t>1.5.</w:t>
      </w:r>
      <w:r>
        <w:rPr>
          <w:rFonts w:hint="default"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rPr>
        <w:t xml:space="preserve"> </w:t>
      </w:r>
      <w:r>
        <w:rPr>
          <w:rFonts w:hint="default" w:ascii="Times New Roman" w:hAnsi="Times New Roman" w:eastAsia="宋体" w:cs="Times New Roman"/>
          <w:b/>
          <w:bCs/>
          <w:spacing w:val="0"/>
          <w:sz w:val="24"/>
          <w:u w:val="none"/>
          <w:lang w:val="en-US" w:eastAsia="zh-CN"/>
        </w:rPr>
        <w:t>与《关于进一步加强危险废物规范化环境管理有关工作的通知》（环办固体〔2023〕17号）的符合性分析</w:t>
      </w:r>
    </w:p>
    <w:p w14:paraId="1B2255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0"/>
          <w:position w:val="0"/>
          <w:sz w:val="24"/>
          <w:szCs w:val="24"/>
          <w:u w:val="single"/>
          <w:lang w:eastAsia="zh-CN"/>
        </w:rPr>
      </w:pPr>
      <w:r>
        <w:rPr>
          <w:rFonts w:hint="default" w:ascii="Times New Roman" w:hAnsi="Times New Roman" w:eastAsia="宋体" w:cs="Times New Roman"/>
          <w:spacing w:val="0"/>
          <w:position w:val="0"/>
          <w:sz w:val="24"/>
          <w:szCs w:val="24"/>
          <w:u w:val="single"/>
        </w:rPr>
        <w:t>生态环境部办公厅于202</w:t>
      </w:r>
      <w:r>
        <w:rPr>
          <w:rFonts w:hint="default" w:ascii="Times New Roman" w:hAnsi="Times New Roman" w:eastAsia="宋体" w:cs="Times New Roman"/>
          <w:spacing w:val="0"/>
          <w:position w:val="0"/>
          <w:sz w:val="24"/>
          <w:szCs w:val="24"/>
          <w:u w:val="single"/>
          <w:lang w:val="en-US" w:eastAsia="zh-CN"/>
        </w:rPr>
        <w:t>3</w:t>
      </w:r>
      <w:r>
        <w:rPr>
          <w:rFonts w:hint="default" w:ascii="Times New Roman" w:hAnsi="Times New Roman" w:eastAsia="宋体" w:cs="Times New Roman"/>
          <w:spacing w:val="0"/>
          <w:position w:val="0"/>
          <w:sz w:val="24"/>
          <w:szCs w:val="24"/>
          <w:u w:val="single"/>
        </w:rPr>
        <w:t>年</w:t>
      </w:r>
      <w:r>
        <w:rPr>
          <w:rFonts w:hint="default" w:ascii="Times New Roman" w:hAnsi="Times New Roman" w:eastAsia="宋体" w:cs="Times New Roman"/>
          <w:spacing w:val="0"/>
          <w:position w:val="0"/>
          <w:sz w:val="24"/>
          <w:szCs w:val="24"/>
          <w:u w:val="single"/>
          <w:lang w:val="en-US" w:eastAsia="zh-CN"/>
        </w:rPr>
        <w:t>11</w:t>
      </w:r>
      <w:r>
        <w:rPr>
          <w:rFonts w:hint="default" w:ascii="Times New Roman" w:hAnsi="Times New Roman" w:eastAsia="宋体" w:cs="Times New Roman"/>
          <w:spacing w:val="0"/>
          <w:position w:val="0"/>
          <w:sz w:val="24"/>
          <w:szCs w:val="24"/>
          <w:u w:val="single"/>
        </w:rPr>
        <w:t>月发布《关于进一步加强危险废物规范化环境管理有关工作的通知》（环办固体〔2023〕17号），本项目与</w:t>
      </w:r>
      <w:r>
        <w:rPr>
          <w:rFonts w:hint="default" w:ascii="Times New Roman" w:hAnsi="Times New Roman" w:eastAsia="宋体" w:cs="Times New Roman"/>
          <w:spacing w:val="0"/>
          <w:position w:val="0"/>
          <w:sz w:val="24"/>
          <w:szCs w:val="24"/>
          <w:u w:val="single"/>
          <w:lang w:val="en-US" w:eastAsia="zh-CN"/>
        </w:rPr>
        <w:t>其</w:t>
      </w:r>
      <w:r>
        <w:rPr>
          <w:rFonts w:hint="default" w:ascii="Times New Roman" w:hAnsi="Times New Roman" w:eastAsia="宋体" w:cs="Times New Roman"/>
          <w:spacing w:val="0"/>
          <w:position w:val="0"/>
          <w:sz w:val="24"/>
          <w:szCs w:val="24"/>
          <w:u w:val="single"/>
        </w:rPr>
        <w:t>符合性如下</w:t>
      </w:r>
      <w:r>
        <w:rPr>
          <w:rFonts w:hint="default" w:ascii="Times New Roman" w:hAnsi="Times New Roman" w:eastAsia="宋体" w:cs="Times New Roman"/>
          <w:spacing w:val="0"/>
          <w:position w:val="0"/>
          <w:sz w:val="24"/>
          <w:szCs w:val="24"/>
          <w:u w:val="single"/>
          <w:lang w:eastAsia="zh-CN"/>
        </w:rPr>
        <w:t>：</w:t>
      </w:r>
    </w:p>
    <w:p w14:paraId="3196DE8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pacing w:val="0"/>
          <w:position w:val="0"/>
          <w:sz w:val="21"/>
          <w:szCs w:val="21"/>
          <w:u w:val="single"/>
          <w:lang w:eastAsia="zh-CN"/>
        </w:rPr>
      </w:pPr>
      <w:r>
        <w:rPr>
          <w:rFonts w:hint="default" w:ascii="Times New Roman" w:hAnsi="Times New Roman" w:eastAsia="宋体" w:cs="Times New Roman"/>
          <w:b/>
          <w:bCs/>
          <w:spacing w:val="0"/>
          <w:position w:val="0"/>
          <w:sz w:val="21"/>
          <w:szCs w:val="21"/>
          <w:u w:val="single"/>
          <w:lang w:eastAsia="zh-CN"/>
        </w:rPr>
        <w:t>表1.</w:t>
      </w:r>
      <w:r>
        <w:rPr>
          <w:rFonts w:hint="default" w:ascii="Times New Roman" w:hAnsi="Times New Roman" w:eastAsia="宋体" w:cs="Times New Roman"/>
          <w:b/>
          <w:bCs/>
          <w:spacing w:val="0"/>
          <w:position w:val="0"/>
          <w:sz w:val="21"/>
          <w:szCs w:val="21"/>
          <w:u w:val="single"/>
          <w:lang w:val="en-US" w:eastAsia="zh-CN"/>
        </w:rPr>
        <w:t>5</w:t>
      </w:r>
      <w:r>
        <w:rPr>
          <w:rFonts w:hint="default" w:ascii="Times New Roman" w:hAnsi="Times New Roman" w:eastAsia="宋体" w:cs="Times New Roman"/>
          <w:b/>
          <w:bCs/>
          <w:spacing w:val="0"/>
          <w:position w:val="0"/>
          <w:sz w:val="21"/>
          <w:szCs w:val="21"/>
          <w:u w:val="single"/>
          <w:lang w:eastAsia="zh-CN"/>
        </w:rPr>
        <w:t>-</w:t>
      </w:r>
      <w:r>
        <w:rPr>
          <w:rFonts w:hint="default" w:ascii="Times New Roman" w:hAnsi="Times New Roman" w:eastAsia="宋体" w:cs="Times New Roman"/>
          <w:b/>
          <w:bCs/>
          <w:spacing w:val="0"/>
          <w:position w:val="0"/>
          <w:sz w:val="21"/>
          <w:szCs w:val="21"/>
          <w:u w:val="single"/>
          <w:lang w:val="en-US" w:eastAsia="zh-CN"/>
        </w:rPr>
        <w:t>5</w:t>
      </w:r>
      <w:r>
        <w:rPr>
          <w:rFonts w:hint="default" w:ascii="Times New Roman" w:hAnsi="Times New Roman" w:eastAsia="宋体" w:cs="Times New Roman"/>
          <w:b/>
          <w:bCs/>
          <w:spacing w:val="0"/>
          <w:position w:val="0"/>
          <w:sz w:val="21"/>
          <w:szCs w:val="21"/>
          <w:u w:val="single"/>
          <w:lang w:eastAsia="zh-CN"/>
        </w:rPr>
        <w:t xml:space="preserve">    与关于进一步加强危险废物规范化环境管理有关工作的通知》符合性分析</w:t>
      </w:r>
    </w:p>
    <w:tbl>
      <w:tblPr>
        <w:tblStyle w:val="59"/>
        <w:tblW w:w="501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216"/>
        <w:gridCol w:w="3274"/>
        <w:gridCol w:w="873"/>
      </w:tblGrid>
      <w:tr w14:paraId="1972C0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520" w:type="pct"/>
            <w:tcBorders>
              <w:tl2br w:val="nil"/>
              <w:tr2bl w:val="nil"/>
            </w:tcBorders>
            <w:vAlign w:val="center"/>
          </w:tcPr>
          <w:p w14:paraId="1D827F4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w w:val="100"/>
                <w:sz w:val="21"/>
                <w:szCs w:val="21"/>
                <w:u w:val="single"/>
              </w:rPr>
            </w:pPr>
            <w:r>
              <w:rPr>
                <w:rFonts w:hint="default" w:ascii="Times New Roman" w:hAnsi="Times New Roman" w:eastAsia="宋体" w:cs="Times New Roman"/>
                <w:b/>
                <w:bCs/>
                <w:spacing w:val="0"/>
                <w:w w:val="100"/>
                <w:sz w:val="21"/>
                <w:szCs w:val="21"/>
                <w:u w:val="single"/>
                <w:lang w:val="en-US" w:eastAsia="zh-CN"/>
              </w:rPr>
              <w:t>通知</w:t>
            </w:r>
            <w:r>
              <w:rPr>
                <w:rFonts w:hint="default" w:ascii="Times New Roman" w:hAnsi="Times New Roman" w:eastAsia="宋体" w:cs="Times New Roman"/>
                <w:b/>
                <w:bCs/>
                <w:spacing w:val="0"/>
                <w:w w:val="100"/>
                <w:sz w:val="21"/>
                <w:szCs w:val="21"/>
                <w:u w:val="single"/>
              </w:rPr>
              <w:t>内容</w:t>
            </w:r>
          </w:p>
        </w:tc>
        <w:tc>
          <w:tcPr>
            <w:tcW w:w="1957" w:type="pct"/>
            <w:tcBorders>
              <w:tl2br w:val="nil"/>
              <w:tr2bl w:val="nil"/>
            </w:tcBorders>
            <w:vAlign w:val="center"/>
          </w:tcPr>
          <w:p w14:paraId="5D22FC9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w w:val="100"/>
                <w:sz w:val="21"/>
                <w:szCs w:val="21"/>
                <w:u w:val="single"/>
              </w:rPr>
            </w:pPr>
            <w:r>
              <w:rPr>
                <w:rFonts w:hint="default" w:ascii="Times New Roman" w:hAnsi="Times New Roman" w:eastAsia="宋体" w:cs="Times New Roman"/>
                <w:b/>
                <w:bCs/>
                <w:spacing w:val="0"/>
                <w:w w:val="100"/>
                <w:sz w:val="21"/>
                <w:szCs w:val="21"/>
                <w:u w:val="single"/>
              </w:rPr>
              <w:t>本项目情况</w:t>
            </w:r>
          </w:p>
        </w:tc>
        <w:tc>
          <w:tcPr>
            <w:tcW w:w="522" w:type="pct"/>
            <w:tcBorders>
              <w:tl2br w:val="nil"/>
              <w:tr2bl w:val="nil"/>
            </w:tcBorders>
            <w:vAlign w:val="center"/>
          </w:tcPr>
          <w:p w14:paraId="43178EC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w w:val="100"/>
                <w:sz w:val="21"/>
                <w:szCs w:val="21"/>
                <w:u w:val="single"/>
              </w:rPr>
            </w:pPr>
            <w:r>
              <w:rPr>
                <w:rFonts w:hint="default" w:ascii="Times New Roman" w:hAnsi="Times New Roman" w:eastAsia="宋体" w:cs="Times New Roman"/>
                <w:b/>
                <w:bCs/>
                <w:spacing w:val="0"/>
                <w:w w:val="100"/>
                <w:sz w:val="21"/>
                <w:szCs w:val="21"/>
                <w:u w:val="single"/>
              </w:rPr>
              <w:t>相符性</w:t>
            </w:r>
          </w:p>
        </w:tc>
      </w:tr>
      <w:tr w14:paraId="3FD7AB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520" w:type="pct"/>
            <w:tcBorders>
              <w:bottom w:val="single" w:color="auto" w:sz="4" w:space="0"/>
              <w:tl2br w:val="nil"/>
              <w:tr2bl w:val="nil"/>
            </w:tcBorders>
            <w:vAlign w:val="center"/>
          </w:tcPr>
          <w:p w14:paraId="6757369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全面统一危险废物电子标签标志二维码。2024年1月1日起，危险废物环境重点监管单位应通过国家固废系统生成并领取危险废物电子标签标志二维码；按国家关于制定危险废物电子管理台账的要求，建立与国家固废系统实时对接的电子管理台账。</w:t>
            </w:r>
          </w:p>
        </w:tc>
        <w:tc>
          <w:tcPr>
            <w:tcW w:w="1957" w:type="pct"/>
            <w:tcBorders>
              <w:bottom w:val="single" w:color="auto" w:sz="4" w:space="0"/>
              <w:tl2br w:val="nil"/>
              <w:tr2bl w:val="nil"/>
            </w:tcBorders>
            <w:vAlign w:val="center"/>
          </w:tcPr>
          <w:p w14:paraId="2B94723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lang w:val="en-US" w:eastAsia="zh-CN"/>
              </w:rPr>
              <w:t>项目运营后将</w:t>
            </w:r>
            <w:r>
              <w:rPr>
                <w:rFonts w:hint="default" w:ascii="Times New Roman" w:hAnsi="Times New Roman" w:eastAsia="宋体" w:cs="Times New Roman"/>
                <w:spacing w:val="0"/>
                <w:w w:val="100"/>
                <w:sz w:val="21"/>
                <w:szCs w:val="21"/>
                <w:u w:val="single"/>
              </w:rPr>
              <w:t>统一危险废物电子标签标志二维码</w:t>
            </w:r>
            <w:r>
              <w:rPr>
                <w:rFonts w:hint="default" w:ascii="Times New Roman" w:hAnsi="Times New Roman" w:eastAsia="宋体" w:cs="Times New Roman"/>
                <w:spacing w:val="0"/>
                <w:w w:val="100"/>
                <w:sz w:val="21"/>
                <w:szCs w:val="21"/>
                <w:u w:val="single"/>
                <w:lang w:eastAsia="zh-CN"/>
              </w:rPr>
              <w:t>，</w:t>
            </w:r>
            <w:r>
              <w:rPr>
                <w:rFonts w:hint="default" w:ascii="Times New Roman" w:hAnsi="Times New Roman" w:eastAsia="宋体" w:cs="Times New Roman"/>
                <w:spacing w:val="0"/>
                <w:w w:val="100"/>
                <w:sz w:val="21"/>
                <w:szCs w:val="21"/>
                <w:u w:val="single"/>
                <w:lang w:val="en-US" w:eastAsia="zh-CN"/>
              </w:rPr>
              <w:t>并</w:t>
            </w:r>
            <w:r>
              <w:rPr>
                <w:rFonts w:hint="default" w:ascii="Times New Roman" w:hAnsi="Times New Roman" w:eastAsia="宋体" w:cs="Times New Roman"/>
                <w:spacing w:val="0"/>
                <w:w w:val="100"/>
                <w:sz w:val="21"/>
                <w:szCs w:val="21"/>
                <w:u w:val="single"/>
              </w:rPr>
              <w:t>通过国家固废系统生成并领取危险废物电子标签标志二维码</w:t>
            </w:r>
            <w:r>
              <w:rPr>
                <w:rFonts w:hint="default" w:ascii="Times New Roman" w:hAnsi="Times New Roman" w:eastAsia="宋体" w:cs="Times New Roman"/>
                <w:spacing w:val="0"/>
                <w:w w:val="100"/>
                <w:sz w:val="21"/>
                <w:szCs w:val="21"/>
                <w:u w:val="single"/>
                <w:lang w:eastAsia="zh-CN"/>
              </w:rPr>
              <w:t>，</w:t>
            </w:r>
            <w:r>
              <w:rPr>
                <w:rFonts w:hint="default" w:ascii="Times New Roman" w:hAnsi="Times New Roman" w:eastAsia="宋体" w:cs="Times New Roman"/>
                <w:spacing w:val="0"/>
                <w:w w:val="100"/>
                <w:sz w:val="21"/>
                <w:szCs w:val="21"/>
                <w:u w:val="single"/>
                <w:lang w:val="en-US" w:eastAsia="zh-CN"/>
              </w:rPr>
              <w:t>同时</w:t>
            </w:r>
            <w:r>
              <w:rPr>
                <w:rFonts w:hint="default" w:ascii="Times New Roman" w:hAnsi="Times New Roman" w:eastAsia="宋体" w:cs="Times New Roman"/>
                <w:spacing w:val="0"/>
                <w:w w:val="100"/>
                <w:sz w:val="21"/>
                <w:szCs w:val="21"/>
                <w:u w:val="single"/>
              </w:rPr>
              <w:t>按国家关于制定危险废物电子管理台账的要求，建立与国家固废系统实时对接的电子管理台账。</w:t>
            </w:r>
          </w:p>
        </w:tc>
        <w:tc>
          <w:tcPr>
            <w:tcW w:w="522" w:type="pct"/>
            <w:tcBorders>
              <w:bottom w:val="single" w:color="auto" w:sz="4" w:space="0"/>
              <w:tl2br w:val="nil"/>
              <w:tr2bl w:val="nil"/>
            </w:tcBorders>
            <w:vAlign w:val="center"/>
          </w:tcPr>
          <w:p w14:paraId="46BF36D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符合</w:t>
            </w:r>
          </w:p>
        </w:tc>
      </w:tr>
      <w:tr w14:paraId="7AA38A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520" w:type="pct"/>
            <w:tcBorders>
              <w:top w:val="single" w:color="auto" w:sz="4" w:space="0"/>
              <w:bottom w:val="single" w:color="auto" w:sz="4" w:space="0"/>
              <w:tl2br w:val="nil"/>
              <w:tr2bl w:val="nil"/>
            </w:tcBorders>
            <w:vAlign w:val="center"/>
          </w:tcPr>
          <w:p w14:paraId="3EF6795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全面实行全国统一编号的危险废物电子转移联单。2024年1月1日起，转移危险废物的单位，应使用国家固废系统及其APP等实时记录转移轨迹；采用其他方式的，应确保实时转移轨迹与国家固废系统实时对接。转移的危险废物包装容器具有电子标签的，应与电子转移联单关联</w:t>
            </w:r>
          </w:p>
        </w:tc>
        <w:tc>
          <w:tcPr>
            <w:tcW w:w="1957" w:type="pct"/>
            <w:tcBorders>
              <w:top w:val="single" w:color="auto" w:sz="4" w:space="0"/>
              <w:bottom w:val="single" w:color="auto" w:sz="4" w:space="0"/>
              <w:tl2br w:val="nil"/>
              <w:tr2bl w:val="nil"/>
            </w:tcBorders>
            <w:vAlign w:val="center"/>
          </w:tcPr>
          <w:p w14:paraId="306E0CE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lang w:val="en-US" w:eastAsia="zh-CN"/>
              </w:rPr>
              <w:t>项目运营后将</w:t>
            </w:r>
            <w:r>
              <w:rPr>
                <w:rFonts w:hint="default" w:ascii="Times New Roman" w:hAnsi="Times New Roman" w:eastAsia="宋体" w:cs="Times New Roman"/>
                <w:spacing w:val="0"/>
                <w:w w:val="100"/>
                <w:sz w:val="21"/>
                <w:szCs w:val="21"/>
                <w:u w:val="single"/>
              </w:rPr>
              <w:t>统一编号的危险废物电子转移联单，</w:t>
            </w:r>
            <w:r>
              <w:rPr>
                <w:rFonts w:hint="default" w:ascii="Times New Roman" w:hAnsi="Times New Roman" w:eastAsia="宋体" w:cs="Times New Roman"/>
                <w:spacing w:val="0"/>
                <w:w w:val="100"/>
                <w:sz w:val="21"/>
                <w:szCs w:val="21"/>
                <w:u w:val="single"/>
                <w:lang w:val="en-US" w:eastAsia="zh-CN"/>
              </w:rPr>
              <w:t>并拟</w:t>
            </w:r>
            <w:r>
              <w:rPr>
                <w:rFonts w:hint="default" w:ascii="Times New Roman" w:hAnsi="Times New Roman" w:eastAsia="宋体" w:cs="Times New Roman"/>
                <w:spacing w:val="0"/>
                <w:w w:val="100"/>
                <w:sz w:val="21"/>
                <w:szCs w:val="21"/>
                <w:u w:val="single"/>
              </w:rPr>
              <w:t>使用国家固废系统及其APP等实时记录转移轨迹；转移的危险废物包装容器具有电子标签的，应与电子转移联单关联</w:t>
            </w:r>
          </w:p>
        </w:tc>
        <w:tc>
          <w:tcPr>
            <w:tcW w:w="522" w:type="pct"/>
            <w:tcBorders>
              <w:top w:val="single" w:color="auto" w:sz="4" w:space="0"/>
              <w:tl2br w:val="nil"/>
              <w:tr2bl w:val="nil"/>
            </w:tcBorders>
            <w:vAlign w:val="center"/>
          </w:tcPr>
          <w:p w14:paraId="4DAB520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符合</w:t>
            </w:r>
          </w:p>
        </w:tc>
      </w:tr>
      <w:tr w14:paraId="49F51B9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0" w:hRule="atLeast"/>
        </w:trPr>
        <w:tc>
          <w:tcPr>
            <w:tcW w:w="2520" w:type="pct"/>
            <w:tcBorders>
              <w:top w:val="single" w:color="auto" w:sz="4" w:space="0"/>
              <w:tl2br w:val="nil"/>
              <w:tr2bl w:val="nil"/>
            </w:tcBorders>
            <w:vAlign w:val="center"/>
          </w:tcPr>
          <w:p w14:paraId="65EE949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持证单位应按国家关于制定危险废物电子经营情况记录簿的要求，建立与国家固废系统实时对接的电子经营情况记录簿，应用电子地磅、电子标签等加强信息化管理，并分别于每月15日和每年1月底前通过国家固废系统汇总报告上月度和上年度经营情况。鼓励持证单位在危险废物相关重点环节和关键节点应用视频监控。</w:t>
            </w:r>
          </w:p>
        </w:tc>
        <w:tc>
          <w:tcPr>
            <w:tcW w:w="1957" w:type="pct"/>
            <w:tcBorders>
              <w:top w:val="single" w:color="auto" w:sz="4" w:space="0"/>
              <w:tl2br w:val="nil"/>
              <w:tr2bl w:val="nil"/>
            </w:tcBorders>
            <w:vAlign w:val="center"/>
          </w:tcPr>
          <w:p w14:paraId="75732CE6">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lang w:val="en-US" w:eastAsia="zh-CN"/>
              </w:rPr>
              <w:t>项目建设单位将</w:t>
            </w:r>
            <w:r>
              <w:rPr>
                <w:rFonts w:hint="default" w:ascii="Times New Roman" w:hAnsi="Times New Roman" w:eastAsia="宋体" w:cs="Times New Roman"/>
                <w:spacing w:val="0"/>
                <w:w w:val="100"/>
                <w:sz w:val="21"/>
                <w:szCs w:val="21"/>
                <w:u w:val="single"/>
              </w:rPr>
              <w:t>按国家关于制定危险废物电子经营情况记录簿的要求，建立与国家固废系统实时对接的电子经营情况记录簿，应用电子地磅、电子标签等加强信息化管理，并</w:t>
            </w:r>
            <w:r>
              <w:rPr>
                <w:rFonts w:hint="default" w:ascii="Times New Roman" w:hAnsi="Times New Roman" w:eastAsia="宋体" w:cs="Times New Roman"/>
                <w:spacing w:val="0"/>
                <w:w w:val="100"/>
                <w:sz w:val="21"/>
                <w:szCs w:val="21"/>
                <w:u w:val="single"/>
                <w:lang w:val="en-US" w:eastAsia="zh-CN"/>
              </w:rPr>
              <w:t>按相关要求</w:t>
            </w:r>
            <w:r>
              <w:rPr>
                <w:rFonts w:hint="default" w:ascii="Times New Roman" w:hAnsi="Times New Roman" w:eastAsia="宋体" w:cs="Times New Roman"/>
                <w:spacing w:val="0"/>
                <w:w w:val="100"/>
                <w:sz w:val="21"/>
                <w:szCs w:val="21"/>
                <w:u w:val="single"/>
              </w:rPr>
              <w:t>通过国家固废系统汇总报告上月度和上年度经营情况。</w:t>
            </w:r>
            <w:r>
              <w:rPr>
                <w:rFonts w:hint="default" w:ascii="Times New Roman" w:hAnsi="Times New Roman" w:eastAsia="宋体" w:cs="Times New Roman"/>
                <w:spacing w:val="0"/>
                <w:w w:val="100"/>
                <w:sz w:val="21"/>
                <w:szCs w:val="21"/>
                <w:u w:val="single"/>
                <w:lang w:val="en-US" w:eastAsia="zh-CN"/>
              </w:rPr>
              <w:t>项目建设</w:t>
            </w:r>
            <w:r>
              <w:rPr>
                <w:rFonts w:hint="default" w:ascii="Times New Roman" w:hAnsi="Times New Roman" w:eastAsia="宋体" w:cs="Times New Roman"/>
                <w:spacing w:val="0"/>
                <w:w w:val="100"/>
                <w:sz w:val="21"/>
                <w:szCs w:val="21"/>
                <w:u w:val="single"/>
              </w:rPr>
              <w:t>单位</w:t>
            </w:r>
            <w:r>
              <w:rPr>
                <w:rFonts w:hint="default" w:ascii="Times New Roman" w:hAnsi="Times New Roman" w:eastAsia="宋体" w:cs="Times New Roman"/>
                <w:spacing w:val="0"/>
                <w:w w:val="100"/>
                <w:sz w:val="21"/>
                <w:szCs w:val="21"/>
                <w:u w:val="single"/>
                <w:lang w:val="en-US" w:eastAsia="zh-CN"/>
              </w:rPr>
              <w:t>拟</w:t>
            </w:r>
            <w:r>
              <w:rPr>
                <w:rFonts w:hint="default" w:ascii="Times New Roman" w:hAnsi="Times New Roman" w:eastAsia="宋体" w:cs="Times New Roman"/>
                <w:spacing w:val="0"/>
                <w:w w:val="100"/>
                <w:sz w:val="21"/>
                <w:szCs w:val="21"/>
                <w:u w:val="single"/>
              </w:rPr>
              <w:t>在危险废物相关重点环节和关键节点应用视频监控。</w:t>
            </w:r>
          </w:p>
        </w:tc>
        <w:tc>
          <w:tcPr>
            <w:tcW w:w="522" w:type="pct"/>
            <w:tcBorders>
              <w:tl2br w:val="nil"/>
              <w:tr2bl w:val="nil"/>
            </w:tcBorders>
            <w:vAlign w:val="center"/>
          </w:tcPr>
          <w:p w14:paraId="4C0D9DB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符合</w:t>
            </w:r>
          </w:p>
        </w:tc>
      </w:tr>
    </w:tbl>
    <w:p w14:paraId="0986165F">
      <w:pPr>
        <w:pStyle w:val="4"/>
        <w:spacing w:before="0" w:after="0" w:line="360" w:lineRule="auto"/>
        <w:rPr>
          <w:rFonts w:hint="default" w:ascii="Times New Roman" w:hAnsi="Times New Roman" w:eastAsia="宋体" w:cs="Times New Roman"/>
          <w:b/>
          <w:bCs/>
          <w:spacing w:val="0"/>
          <w:sz w:val="24"/>
          <w:u w:val="single"/>
          <w:lang w:val="en-US" w:eastAsia="zh-CN"/>
        </w:rPr>
      </w:pPr>
      <w:r>
        <w:rPr>
          <w:rFonts w:hint="default" w:ascii="Times New Roman" w:hAnsi="Times New Roman" w:eastAsia="宋体" w:cs="Times New Roman"/>
          <w:sz w:val="24"/>
          <w:szCs w:val="24"/>
          <w:u w:val="single"/>
        </w:rPr>
        <w:t>1.5.</w:t>
      </w:r>
      <w:r>
        <w:rPr>
          <w:rFonts w:hint="default" w:ascii="Times New Roman" w:hAnsi="Times New Roman" w:eastAsia="宋体" w:cs="Times New Roman"/>
          <w:sz w:val="24"/>
          <w:szCs w:val="24"/>
          <w:u w:val="single"/>
          <w:lang w:val="en-US" w:eastAsia="zh-CN"/>
        </w:rPr>
        <w:t>9</w:t>
      </w:r>
      <w:r>
        <w:rPr>
          <w:rFonts w:hint="default" w:ascii="Times New Roman" w:hAnsi="Times New Roman" w:eastAsia="宋体" w:cs="Times New Roman"/>
          <w:sz w:val="24"/>
          <w:szCs w:val="24"/>
          <w:u w:val="single"/>
        </w:rPr>
        <w:t xml:space="preserve"> </w:t>
      </w:r>
      <w:r>
        <w:rPr>
          <w:rFonts w:hint="default" w:ascii="Times New Roman" w:hAnsi="Times New Roman" w:eastAsia="宋体" w:cs="Times New Roman"/>
          <w:b/>
          <w:bCs/>
          <w:spacing w:val="0"/>
          <w:sz w:val="24"/>
          <w:u w:val="single"/>
          <w:lang w:val="en-US" w:eastAsia="zh-CN"/>
        </w:rPr>
        <w:t>与《湖南省“十四五”固体废物环境管理规划》的符合性分析</w:t>
      </w:r>
    </w:p>
    <w:p w14:paraId="585790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pacing w:val="0"/>
          <w:position w:val="0"/>
          <w:sz w:val="24"/>
          <w:szCs w:val="24"/>
          <w:u w:val="single"/>
          <w:lang w:eastAsia="zh-CN"/>
        </w:rPr>
      </w:pPr>
      <w:r>
        <w:rPr>
          <w:rFonts w:hint="default" w:ascii="Times New Roman" w:hAnsi="Times New Roman" w:eastAsia="宋体" w:cs="Times New Roman"/>
          <w:spacing w:val="0"/>
          <w:position w:val="0"/>
          <w:sz w:val="24"/>
          <w:szCs w:val="24"/>
          <w:u w:val="single"/>
        </w:rPr>
        <w:t>湖南省生态环境厅于2022年2月发布《湖南省“十四五” 固体废物环境管理规划》，本项目与该规划符合性如下</w:t>
      </w:r>
      <w:r>
        <w:rPr>
          <w:rFonts w:hint="default" w:ascii="Times New Roman" w:hAnsi="Times New Roman" w:eastAsia="宋体" w:cs="Times New Roman"/>
          <w:spacing w:val="0"/>
          <w:position w:val="0"/>
          <w:sz w:val="24"/>
          <w:szCs w:val="24"/>
          <w:u w:val="single"/>
          <w:lang w:eastAsia="zh-CN"/>
        </w:rPr>
        <w:t>：</w:t>
      </w:r>
    </w:p>
    <w:p w14:paraId="4FCEFF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pacing w:val="0"/>
          <w:position w:val="0"/>
          <w:sz w:val="21"/>
          <w:szCs w:val="21"/>
          <w:u w:val="single"/>
          <w:lang w:eastAsia="zh-CN"/>
        </w:rPr>
      </w:pPr>
      <w:r>
        <w:rPr>
          <w:rFonts w:hint="default" w:ascii="Times New Roman" w:hAnsi="Times New Roman" w:eastAsia="宋体" w:cs="Times New Roman"/>
          <w:b/>
          <w:bCs/>
          <w:spacing w:val="0"/>
          <w:position w:val="0"/>
          <w:sz w:val="21"/>
          <w:szCs w:val="21"/>
          <w:u w:val="single"/>
          <w:lang w:eastAsia="zh-CN"/>
        </w:rPr>
        <w:t>表1.</w:t>
      </w:r>
      <w:r>
        <w:rPr>
          <w:rFonts w:hint="default" w:ascii="Times New Roman" w:hAnsi="Times New Roman" w:eastAsia="宋体" w:cs="Times New Roman"/>
          <w:b/>
          <w:bCs/>
          <w:spacing w:val="0"/>
          <w:position w:val="0"/>
          <w:sz w:val="21"/>
          <w:szCs w:val="21"/>
          <w:u w:val="single"/>
          <w:lang w:val="en-US" w:eastAsia="zh-CN"/>
        </w:rPr>
        <w:t>5</w:t>
      </w:r>
      <w:r>
        <w:rPr>
          <w:rFonts w:hint="default" w:ascii="Times New Roman" w:hAnsi="Times New Roman" w:eastAsia="宋体" w:cs="Times New Roman"/>
          <w:b/>
          <w:bCs/>
          <w:spacing w:val="0"/>
          <w:position w:val="0"/>
          <w:sz w:val="21"/>
          <w:szCs w:val="21"/>
          <w:u w:val="single"/>
          <w:lang w:eastAsia="zh-CN"/>
        </w:rPr>
        <w:t>-</w:t>
      </w:r>
      <w:r>
        <w:rPr>
          <w:rFonts w:hint="default" w:ascii="Times New Roman" w:hAnsi="Times New Roman" w:eastAsia="宋体" w:cs="Times New Roman"/>
          <w:b/>
          <w:bCs/>
          <w:spacing w:val="0"/>
          <w:position w:val="0"/>
          <w:sz w:val="21"/>
          <w:szCs w:val="21"/>
          <w:u w:val="single"/>
          <w:lang w:val="en-US" w:eastAsia="zh-CN"/>
        </w:rPr>
        <w:t>6</w:t>
      </w:r>
      <w:r>
        <w:rPr>
          <w:rFonts w:hint="default" w:ascii="Times New Roman" w:hAnsi="Times New Roman" w:eastAsia="宋体" w:cs="Times New Roman"/>
          <w:b/>
          <w:bCs/>
          <w:spacing w:val="0"/>
          <w:position w:val="0"/>
          <w:sz w:val="21"/>
          <w:szCs w:val="21"/>
          <w:u w:val="single"/>
          <w:lang w:eastAsia="zh-CN"/>
        </w:rPr>
        <w:t xml:space="preserve">   与《湖南省“十四五” 固体废物环境管理规划》符合性分析</w:t>
      </w:r>
    </w:p>
    <w:tbl>
      <w:tblPr>
        <w:tblStyle w:val="59"/>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574"/>
        <w:gridCol w:w="5047"/>
        <w:gridCol w:w="1901"/>
        <w:gridCol w:w="812"/>
      </w:tblGrid>
      <w:tr w14:paraId="07481A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7" w:hRule="atLeast"/>
        </w:trPr>
        <w:tc>
          <w:tcPr>
            <w:tcW w:w="344" w:type="pct"/>
            <w:tcBorders>
              <w:tl2br w:val="nil"/>
              <w:tr2bl w:val="nil"/>
            </w:tcBorders>
            <w:vAlign w:val="center"/>
          </w:tcPr>
          <w:p w14:paraId="73EE2C72">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w w:val="100"/>
                <w:sz w:val="21"/>
                <w:szCs w:val="21"/>
                <w:u w:val="single"/>
              </w:rPr>
            </w:pPr>
            <w:r>
              <w:rPr>
                <w:rFonts w:hint="default" w:ascii="Times New Roman" w:hAnsi="Times New Roman" w:eastAsia="宋体" w:cs="Times New Roman"/>
                <w:b/>
                <w:bCs/>
                <w:spacing w:val="0"/>
                <w:w w:val="100"/>
                <w:sz w:val="21"/>
                <w:szCs w:val="21"/>
                <w:u w:val="single"/>
              </w:rPr>
              <w:t>序号</w:t>
            </w:r>
          </w:p>
        </w:tc>
        <w:tc>
          <w:tcPr>
            <w:tcW w:w="3027" w:type="pct"/>
            <w:tcBorders>
              <w:tl2br w:val="nil"/>
              <w:tr2bl w:val="nil"/>
            </w:tcBorders>
            <w:vAlign w:val="center"/>
          </w:tcPr>
          <w:p w14:paraId="2EEC340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w w:val="100"/>
                <w:sz w:val="21"/>
                <w:szCs w:val="21"/>
                <w:u w:val="single"/>
              </w:rPr>
            </w:pPr>
            <w:r>
              <w:rPr>
                <w:rFonts w:hint="default" w:ascii="Times New Roman" w:hAnsi="Times New Roman" w:eastAsia="宋体" w:cs="Times New Roman"/>
                <w:b/>
                <w:bCs/>
                <w:spacing w:val="0"/>
                <w:w w:val="100"/>
                <w:sz w:val="21"/>
                <w:szCs w:val="21"/>
                <w:u w:val="single"/>
              </w:rPr>
              <w:t>规划内容</w:t>
            </w:r>
          </w:p>
        </w:tc>
        <w:tc>
          <w:tcPr>
            <w:tcW w:w="1140" w:type="pct"/>
            <w:tcBorders>
              <w:tl2br w:val="nil"/>
              <w:tr2bl w:val="nil"/>
            </w:tcBorders>
            <w:vAlign w:val="center"/>
          </w:tcPr>
          <w:p w14:paraId="66008FB7">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w w:val="100"/>
                <w:sz w:val="21"/>
                <w:szCs w:val="21"/>
                <w:u w:val="single"/>
              </w:rPr>
            </w:pPr>
            <w:r>
              <w:rPr>
                <w:rFonts w:hint="default" w:ascii="Times New Roman" w:hAnsi="Times New Roman" w:eastAsia="宋体" w:cs="Times New Roman"/>
                <w:b/>
                <w:bCs/>
                <w:spacing w:val="0"/>
                <w:w w:val="100"/>
                <w:sz w:val="21"/>
                <w:szCs w:val="21"/>
                <w:u w:val="single"/>
              </w:rPr>
              <w:t>本项目情况</w:t>
            </w:r>
          </w:p>
        </w:tc>
        <w:tc>
          <w:tcPr>
            <w:tcW w:w="487" w:type="pct"/>
            <w:tcBorders>
              <w:tl2br w:val="nil"/>
              <w:tr2bl w:val="nil"/>
            </w:tcBorders>
            <w:vAlign w:val="center"/>
          </w:tcPr>
          <w:p w14:paraId="1485ADE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w w:val="100"/>
                <w:sz w:val="21"/>
                <w:szCs w:val="21"/>
                <w:u w:val="single"/>
              </w:rPr>
            </w:pPr>
            <w:r>
              <w:rPr>
                <w:rFonts w:hint="default" w:ascii="Times New Roman" w:hAnsi="Times New Roman" w:eastAsia="宋体" w:cs="Times New Roman"/>
                <w:b/>
                <w:bCs/>
                <w:spacing w:val="0"/>
                <w:w w:val="100"/>
                <w:sz w:val="21"/>
                <w:szCs w:val="21"/>
                <w:u w:val="single"/>
              </w:rPr>
              <w:t>相符性</w:t>
            </w:r>
          </w:p>
        </w:tc>
      </w:tr>
      <w:tr w14:paraId="59042B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933" w:hRule="atLeast"/>
        </w:trPr>
        <w:tc>
          <w:tcPr>
            <w:tcW w:w="344" w:type="pct"/>
            <w:tcBorders>
              <w:tl2br w:val="nil"/>
              <w:tr2bl w:val="nil"/>
            </w:tcBorders>
            <w:vAlign w:val="center"/>
          </w:tcPr>
          <w:p w14:paraId="15C36AE6">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规划 目标</w:t>
            </w:r>
          </w:p>
        </w:tc>
        <w:tc>
          <w:tcPr>
            <w:tcW w:w="3027" w:type="pct"/>
            <w:tcBorders>
              <w:tl2br w:val="nil"/>
              <w:tr2bl w:val="nil"/>
            </w:tcBorders>
            <w:vAlign w:val="center"/>
          </w:tcPr>
          <w:p w14:paraId="05F113F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总体目标：到2025年，固体废物环境管理制度进一步完善，机构队伍建设得到加强，管理基础能力大幅提升。全面掌握一般工业固体废物和危险废物的产生、贮存、利用和处置情况；全省危险废物利用处置能力与实际需求总体匹配，构建较为完善的“源头严防、过程严管、后果严惩” 的危险废物环境监管体系，全省危险废物处置利用安全可控。</w:t>
            </w:r>
          </w:p>
          <w:p w14:paraId="7C0B3FE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具体指标：大宗工业固体废物综合利用率≧60%；危险废物产生单位规范化环境管理评估合格率≧95%，危险废物经营单位的规范化环境管理评估合格率100%。</w:t>
            </w:r>
          </w:p>
        </w:tc>
        <w:tc>
          <w:tcPr>
            <w:tcW w:w="1140" w:type="pct"/>
            <w:vMerge w:val="restart"/>
            <w:tcBorders>
              <w:tl2br w:val="nil"/>
              <w:tr2bl w:val="nil"/>
            </w:tcBorders>
            <w:vAlign w:val="center"/>
          </w:tcPr>
          <w:p w14:paraId="6E72942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该项目属于扩建性质（异地搬迁扩建），拟将现有的“年收集贮存9800吨危险废物项目”由松木经济开发区金源路整体搬迁至松木经济开发区化工路新场地，并将危险废物收集贮存能力提高至14400t/a，同时在新场地拟新建废包装桶整形清洗翻新生产线1条、废金属包装容器破碎清洗生产线1条、废塑料包装物破碎清洗生产线1条。项目位于松木经济开发区，符合园区产业规划和“三线一单”要求。项目建有完善的危废贮存、处理设施，将采取先进的工艺和污染物防治措施，可确保污染物达标排放和满足总量控制要求。 项目建设有利于松木经济开发区</w:t>
            </w:r>
            <w:r>
              <w:rPr>
                <w:rFonts w:hint="default" w:ascii="Times New Roman" w:hAnsi="Times New Roman" w:eastAsia="宋体" w:cs="Times New Roman"/>
                <w:spacing w:val="0"/>
                <w:w w:val="100"/>
                <w:sz w:val="21"/>
                <w:szCs w:val="21"/>
                <w:u w:val="single"/>
                <w:lang w:val="en-US" w:eastAsia="zh-CN"/>
              </w:rPr>
              <w:t>以周边区域内</w:t>
            </w:r>
            <w:r>
              <w:rPr>
                <w:rFonts w:hint="default" w:ascii="Times New Roman" w:hAnsi="Times New Roman" w:eastAsia="宋体" w:cs="Times New Roman"/>
                <w:spacing w:val="0"/>
                <w:w w:val="100"/>
                <w:sz w:val="21"/>
                <w:szCs w:val="21"/>
                <w:u w:val="single"/>
              </w:rPr>
              <w:t>企业危险废物利用水平的提升。</w:t>
            </w:r>
          </w:p>
        </w:tc>
        <w:tc>
          <w:tcPr>
            <w:tcW w:w="487" w:type="pct"/>
            <w:tcBorders>
              <w:tl2br w:val="nil"/>
              <w:tr2bl w:val="nil"/>
            </w:tcBorders>
            <w:vAlign w:val="center"/>
          </w:tcPr>
          <w:p w14:paraId="1B43EEE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符合</w:t>
            </w:r>
          </w:p>
        </w:tc>
      </w:tr>
      <w:tr w14:paraId="3B822C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233" w:hRule="atLeast"/>
        </w:trPr>
        <w:tc>
          <w:tcPr>
            <w:tcW w:w="344" w:type="pct"/>
            <w:vMerge w:val="restart"/>
            <w:tcBorders>
              <w:tl2br w:val="nil"/>
              <w:tr2bl w:val="nil"/>
            </w:tcBorders>
            <w:vAlign w:val="center"/>
          </w:tcPr>
          <w:p w14:paraId="67B968D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主要 任务</w:t>
            </w:r>
          </w:p>
        </w:tc>
        <w:tc>
          <w:tcPr>
            <w:tcW w:w="3027" w:type="pct"/>
            <w:tcBorders>
              <w:tl2br w:val="nil"/>
              <w:tr2bl w:val="nil"/>
            </w:tcBorders>
            <w:vAlign w:val="center"/>
          </w:tcPr>
          <w:p w14:paraId="6124933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both"/>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（二） 建立健全危险废物环境监管体系</w:t>
            </w:r>
          </w:p>
          <w:p w14:paraId="55C03D5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5、严格危险废物建设项目环境准入。新、改、扩建危险废物经营许可项目立项与审批时应符合现行法律法规和“三线一单”要求，进入相应规划工业园区，同时充分考虑省内危险废物产生情况、与已建项目形成资源耦合、与末端利用处置形成能力匹配，原则上不再新建有机类危险废物热（裂）解处理项目。对危险废物数量、种类、属性、贮存设施不清、无合理利用处置方案、次生固体废物无处置开路、无环境风险防范措施的建设 项目不得审批。新、改、扩建危险废物经营许可项目，环评文件评审时应执行环评、固体废物管理会商机制，严格危险废物污染环境防治设施“三同时”管理，推动固废环境管理与环评审批、排污许可、环境执法有机衔接。推进危险废物纳入排污许可证管理工作， 实现“一证式”环境监管。</w:t>
            </w:r>
          </w:p>
        </w:tc>
        <w:tc>
          <w:tcPr>
            <w:tcW w:w="1140" w:type="pct"/>
            <w:vMerge w:val="continue"/>
            <w:tcBorders>
              <w:tl2br w:val="nil"/>
              <w:tr2bl w:val="nil"/>
            </w:tcBorders>
            <w:vAlign w:val="center"/>
          </w:tcPr>
          <w:p w14:paraId="408C118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p>
        </w:tc>
        <w:tc>
          <w:tcPr>
            <w:tcW w:w="487" w:type="pct"/>
            <w:tcBorders>
              <w:tl2br w:val="nil"/>
              <w:tr2bl w:val="nil"/>
            </w:tcBorders>
            <w:vAlign w:val="center"/>
          </w:tcPr>
          <w:p w14:paraId="2C9F25B1">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符合</w:t>
            </w:r>
          </w:p>
        </w:tc>
      </w:tr>
      <w:tr w14:paraId="4C9F1A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278" w:hRule="atLeast"/>
        </w:trPr>
        <w:tc>
          <w:tcPr>
            <w:tcW w:w="344" w:type="pct"/>
            <w:vMerge w:val="continue"/>
            <w:tcBorders>
              <w:tl2br w:val="nil"/>
              <w:tr2bl w:val="nil"/>
            </w:tcBorders>
            <w:vAlign w:val="center"/>
          </w:tcPr>
          <w:p w14:paraId="100DB3CD">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p>
        </w:tc>
        <w:tc>
          <w:tcPr>
            <w:tcW w:w="3027" w:type="pct"/>
            <w:tcBorders>
              <w:tl2br w:val="nil"/>
              <w:tr2bl w:val="nil"/>
            </w:tcBorders>
            <w:vAlign w:val="center"/>
          </w:tcPr>
          <w:p w14:paraId="6D88347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10、优化危险废物处理设施建设。开展全省危险废物产生情况与处理能力匹配情况、设施（含自行处置设施）运行情况评估，按照“省域内能力总体匹配” 的总体思路，充分发挥政府统筹调控作用，鼓励以省内产生危险废物为原料的综合利用项目建设，进一步强化产业结构调整和布局优化。鼓励省内经济贡献大、工艺先进、资源利用率高的环保企业采取多元投资和市场化方 式建设规模化危险废物利用设施。鼓励化工、冶炼等工业园区配套建设危险废物集中贮存、预处理和处置设施，推动重点区域合理布局涉铊废物利用处置设施，推动企业、园区危险废物自行利用处置能力和水平提升。</w:t>
            </w:r>
          </w:p>
        </w:tc>
        <w:tc>
          <w:tcPr>
            <w:tcW w:w="1140" w:type="pct"/>
            <w:vMerge w:val="continue"/>
            <w:tcBorders>
              <w:tl2br w:val="nil"/>
              <w:tr2bl w:val="nil"/>
            </w:tcBorders>
            <w:vAlign w:val="center"/>
          </w:tcPr>
          <w:p w14:paraId="3F18B48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p>
        </w:tc>
        <w:tc>
          <w:tcPr>
            <w:tcW w:w="487" w:type="pct"/>
            <w:tcBorders>
              <w:tl2br w:val="nil"/>
              <w:tr2bl w:val="nil"/>
            </w:tcBorders>
            <w:vAlign w:val="center"/>
          </w:tcPr>
          <w:p w14:paraId="3BDB50A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w w:val="100"/>
                <w:sz w:val="21"/>
                <w:szCs w:val="21"/>
                <w:u w:val="single"/>
              </w:rPr>
            </w:pPr>
            <w:r>
              <w:rPr>
                <w:rFonts w:hint="default" w:ascii="Times New Roman" w:hAnsi="Times New Roman" w:eastAsia="宋体" w:cs="Times New Roman"/>
                <w:spacing w:val="0"/>
                <w:w w:val="100"/>
                <w:sz w:val="21"/>
                <w:szCs w:val="21"/>
                <w:u w:val="single"/>
              </w:rPr>
              <w:t>符合</w:t>
            </w:r>
          </w:p>
        </w:tc>
      </w:tr>
    </w:tbl>
    <w:p w14:paraId="78B6934B">
      <w:pPr>
        <w:pStyle w:val="4"/>
        <w:spacing w:before="0" w:after="0" w:line="360" w:lineRule="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1.5.</w:t>
      </w:r>
      <w:r>
        <w:rPr>
          <w:rFonts w:hint="default" w:ascii="Times New Roman" w:hAnsi="Times New Roman" w:eastAsia="宋体" w:cs="Times New Roman"/>
          <w:sz w:val="24"/>
          <w:szCs w:val="24"/>
          <w:u w:val="none"/>
          <w:lang w:val="en-US" w:eastAsia="zh-CN"/>
        </w:rPr>
        <w:t>10</w:t>
      </w:r>
      <w:r>
        <w:rPr>
          <w:rFonts w:hint="default" w:ascii="Times New Roman" w:hAnsi="Times New Roman" w:eastAsia="宋体" w:cs="Times New Roman"/>
          <w:sz w:val="24"/>
          <w:szCs w:val="24"/>
          <w:u w:val="none"/>
        </w:rPr>
        <w:t xml:space="preserve"> </w:t>
      </w:r>
      <w:r>
        <w:rPr>
          <w:rFonts w:hint="default" w:ascii="Times New Roman" w:hAnsi="Times New Roman" w:eastAsia="宋体" w:cs="Times New Roman"/>
          <w:b/>
          <w:bCs/>
          <w:spacing w:val="0"/>
          <w:sz w:val="24"/>
          <w:u w:val="none"/>
          <w:lang w:val="en-US" w:eastAsia="zh-CN"/>
        </w:rPr>
        <w:t>与《“十四五”全国危险废物规范化环境管理评估工作方案》的符合性分析</w:t>
      </w:r>
    </w:p>
    <w:p w14:paraId="00E27EB5">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default" w:ascii="Times New Roman" w:hAnsi="Times New Roman" w:eastAsia="宋体" w:cs="Times New Roman"/>
          <w:color w:val="000000"/>
          <w:spacing w:val="0"/>
          <w:sz w:val="24"/>
          <w:szCs w:val="24"/>
          <w:u w:val="none"/>
          <w:lang w:eastAsia="zh-CN"/>
        </w:rPr>
      </w:pPr>
      <w:r>
        <w:rPr>
          <w:rFonts w:hint="default" w:ascii="Times New Roman" w:hAnsi="Times New Roman" w:eastAsia="宋体" w:cs="Times New Roman"/>
          <w:color w:val="000000"/>
          <w:spacing w:val="0"/>
          <w:sz w:val="24"/>
          <w:szCs w:val="24"/>
          <w:u w:val="none"/>
        </w:rPr>
        <w:t>为贯彻落实《中华人民共和国固体废物污染环境防治法》等法律法规，按照《强化危险废物监管和利用处置能力改革实施方案》有关要求，加强危险废物污染防治，巩固和深化危险废物规范化环境管理工作成效，进一步推动各级地方政府和相关部门落实危险废物监管职责，强化危险废物监管和利用处置能力，促进危险废物产生单位（以下简称产废单位）和危险废物经营单位（以下简称经营单位）落实各项法律制度和相关标准规范，全面提升危险废物规范化环境管理水平，有效防控危险废物环境风险，制定本方案</w:t>
      </w:r>
      <w:r>
        <w:rPr>
          <w:rFonts w:hint="default" w:ascii="Times New Roman" w:hAnsi="Times New Roman" w:eastAsia="宋体" w:cs="Times New Roman"/>
          <w:color w:val="000000"/>
          <w:spacing w:val="0"/>
          <w:sz w:val="24"/>
          <w:szCs w:val="24"/>
          <w:u w:val="none"/>
          <w:lang w:eastAsia="zh-CN"/>
        </w:rPr>
        <w:t>。</w:t>
      </w:r>
    </w:p>
    <w:p w14:paraId="4FBCDD16">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default" w:ascii="Times New Roman" w:hAnsi="Times New Roman" w:eastAsia="宋体" w:cs="Times New Roman"/>
          <w:color w:val="000000"/>
          <w:spacing w:val="0"/>
          <w:sz w:val="24"/>
          <w:szCs w:val="24"/>
          <w:u w:val="none"/>
          <w:lang w:val="en-US" w:eastAsia="zh-CN"/>
        </w:rPr>
      </w:pPr>
      <w:r>
        <w:rPr>
          <w:rFonts w:hint="default" w:ascii="Times New Roman" w:hAnsi="Times New Roman" w:eastAsia="宋体" w:cs="Times New Roman"/>
          <w:color w:val="000000"/>
          <w:spacing w:val="0"/>
          <w:sz w:val="24"/>
          <w:szCs w:val="24"/>
          <w:u w:val="none"/>
          <w:lang w:val="en-US" w:eastAsia="zh-CN"/>
        </w:rPr>
        <w:t>相关要求：强化危险废物规范化环境管理，综合运用法律、行政、经济等多种手段，持续推动企业落实危险废物污染环境防治的主体责任，防范环境风险，保障环境安全。</w:t>
      </w:r>
    </w:p>
    <w:p w14:paraId="5060670D">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default" w:ascii="Times New Roman" w:hAnsi="Times New Roman" w:eastAsia="宋体" w:cs="Times New Roman"/>
          <w:color w:val="000000"/>
          <w:spacing w:val="0"/>
          <w:sz w:val="24"/>
          <w:szCs w:val="24"/>
          <w:u w:val="none"/>
          <w:lang w:val="en-US" w:eastAsia="zh-CN"/>
        </w:rPr>
      </w:pPr>
      <w:r>
        <w:rPr>
          <w:rFonts w:hint="default" w:ascii="Times New Roman" w:hAnsi="Times New Roman" w:eastAsia="宋体" w:cs="Times New Roman"/>
          <w:color w:val="000000"/>
          <w:spacing w:val="0"/>
          <w:sz w:val="24"/>
          <w:szCs w:val="24"/>
          <w:u w:val="none"/>
          <w:lang w:val="en-US" w:eastAsia="zh-CN"/>
        </w:rPr>
        <w:t>本项目将严格危险废物规范化环境管理，严格按照《危险废物贮存污染控制标准》（GB 18597-2023）的相关于要求进行建设运行和管理，项目将严格企业落实危险废物污染环境防治的主体责任，按相关要求配套风险防范措施，防范环境风险，保障环境安全。</w:t>
      </w:r>
    </w:p>
    <w:p w14:paraId="55BBC5F9">
      <w:pPr>
        <w:pStyle w:val="1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firstLine="480" w:firstLineChars="200"/>
        <w:jc w:val="left"/>
        <w:textAlignment w:val="auto"/>
        <w:rPr>
          <w:rFonts w:hint="default" w:ascii="Times New Roman" w:hAnsi="Times New Roman" w:eastAsia="宋体" w:cs="Times New Roman"/>
          <w:color w:val="000000"/>
          <w:spacing w:val="0"/>
          <w:sz w:val="24"/>
          <w:szCs w:val="24"/>
          <w:u w:val="none"/>
          <w:lang w:val="en-US" w:eastAsia="zh-CN"/>
        </w:rPr>
      </w:pPr>
      <w:r>
        <w:rPr>
          <w:rFonts w:hint="default" w:ascii="Times New Roman" w:hAnsi="Times New Roman" w:eastAsia="宋体" w:cs="Times New Roman"/>
          <w:color w:val="000000"/>
          <w:spacing w:val="0"/>
          <w:sz w:val="24"/>
          <w:szCs w:val="24"/>
          <w:u w:val="none"/>
          <w:lang w:val="en-US" w:eastAsia="zh-CN"/>
        </w:rPr>
        <w:t>综上，项目与《“十四五”全国危险废物规范化环境管理评估工作方案》是相符合的。</w:t>
      </w:r>
    </w:p>
    <w:p w14:paraId="7AD42CAF">
      <w:pPr>
        <w:pStyle w:val="4"/>
        <w:spacing w:before="0" w:after="0" w:line="360" w:lineRule="auto"/>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1.5.</w:t>
      </w:r>
      <w:r>
        <w:rPr>
          <w:rFonts w:hint="default" w:ascii="Times New Roman" w:hAnsi="Times New Roman" w:eastAsia="宋体" w:cs="Times New Roman"/>
          <w:sz w:val="24"/>
          <w:szCs w:val="24"/>
          <w:u w:val="none"/>
          <w:lang w:val="en-US" w:eastAsia="zh-CN"/>
        </w:rPr>
        <w:t>11</w:t>
      </w:r>
      <w:r>
        <w:rPr>
          <w:rFonts w:hint="default" w:ascii="Times New Roman" w:hAnsi="Times New Roman" w:eastAsia="宋体" w:cs="Times New Roman"/>
          <w:sz w:val="24"/>
          <w:szCs w:val="24"/>
          <w:u w:val="none"/>
        </w:rPr>
        <w:t xml:space="preserve"> </w:t>
      </w:r>
      <w:r>
        <w:rPr>
          <w:rFonts w:hint="default" w:ascii="Times New Roman" w:hAnsi="Times New Roman" w:eastAsia="宋体" w:cs="Times New Roman"/>
          <w:b/>
          <w:bCs/>
          <w:spacing w:val="0"/>
          <w:sz w:val="24"/>
          <w:u w:val="none"/>
          <w:lang w:val="en-US" w:eastAsia="zh-CN"/>
        </w:rPr>
        <w:t>与湖南省固体废物管理的符合性分析</w:t>
      </w:r>
    </w:p>
    <w:p w14:paraId="779E34C0">
      <w:pPr>
        <w:pStyle w:val="60"/>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pacing w:val="0"/>
          <w:sz w:val="24"/>
          <w:u w:val="none"/>
        </w:rPr>
      </w:pPr>
      <w:r>
        <w:rPr>
          <w:rFonts w:hint="default" w:ascii="Times New Roman" w:hAnsi="Times New Roman" w:eastAsia="宋体" w:cs="Times New Roman"/>
          <w:spacing w:val="0"/>
          <w:sz w:val="24"/>
          <w:u w:val="none"/>
        </w:rPr>
        <w:t>根据《湖南省环境保护厅关于加强危险废物收集、利用、处置建设项目环保审批管理的通知》（湘环发〔2016〕12 号）要求，加强化学品、危险废物、医疗废物、持久性有机污染物、放射性物品等规范化管理，建立收集、贮存、运输等全过程环境管理体系，实行流量流向登记制度。加强对危险废物产生单位和经营单位的监督管理，严格落实各项管理制度，强化企业内部台账，实施危险废物规范化管理。</w:t>
      </w:r>
    </w:p>
    <w:p w14:paraId="5EC89567">
      <w:pPr>
        <w:pStyle w:val="60"/>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pacing w:val="0"/>
          <w:sz w:val="24"/>
          <w:u w:val="none"/>
        </w:rPr>
      </w:pPr>
      <w:r>
        <w:rPr>
          <w:rFonts w:hint="default" w:ascii="Times New Roman" w:hAnsi="Times New Roman" w:eastAsia="宋体" w:cs="Times New Roman"/>
          <w:spacing w:val="0"/>
          <w:sz w:val="24"/>
          <w:u w:val="none"/>
        </w:rPr>
        <w:t>根据《湖南省“十四五”生态环境保护规划》中要求，加强危险废物全过程监管，坚持“省外从严、省内盘活”原则，建立危险废物环境管理长效机制，完善危险废物环境管理体系，推进分级分类管理制度，推进危险废物规范化管理，严厉打击危险废物非法转移、倾倒、利用处置和无证经营危险废物等违法活动，严控新（扩）建省内综合利用能力过剩和以外省原料为主要来源的危险废物综合利用项目，规范铅蓄电池和废矿物油回收网络体系；严格危险废物跨省转移。</w:t>
      </w:r>
    </w:p>
    <w:p w14:paraId="5BFF1A70">
      <w:pPr>
        <w:pStyle w:val="60"/>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spacing w:val="0"/>
          <w:sz w:val="24"/>
          <w:u w:val="none"/>
        </w:rPr>
      </w:pPr>
      <w:r>
        <w:rPr>
          <w:rFonts w:hint="default" w:ascii="Times New Roman" w:hAnsi="Times New Roman" w:eastAsia="宋体" w:cs="Times New Roman"/>
          <w:spacing w:val="0"/>
          <w:sz w:val="24"/>
          <w:u w:val="none"/>
        </w:rPr>
        <w:t>根据《湖南省“十四五”固体废物环境管理规划》中要求，严格危险废物建设项目环境准入。新、改、扩建危险废物经营许可项目立项与审批时应符合现行法律法规和“三线一单”要求，进入相应规划工业园区，同时充分考虑省内危险废物产生情况、与已建项目形成资源耦合、与末端利用处置形成能力匹配；新、改、扩建危险废物经营许可项目，环评文件评审时应执行环评、固体废物管理会商机制，严格危险废物污染环境防治设施“三同时”管理。</w:t>
      </w:r>
    </w:p>
    <w:p w14:paraId="5BCCE5A8">
      <w:pPr>
        <w:pStyle w:val="60"/>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000000"/>
          <w:spacing w:val="0"/>
          <w:sz w:val="24"/>
          <w:szCs w:val="24"/>
          <w:u w:val="none"/>
          <w:lang w:val="en-US" w:eastAsia="zh-CN"/>
        </w:rPr>
      </w:pPr>
      <w:r>
        <w:rPr>
          <w:rFonts w:hint="default" w:ascii="Times New Roman" w:hAnsi="Times New Roman" w:eastAsia="宋体" w:cs="Times New Roman"/>
          <w:spacing w:val="0"/>
          <w:sz w:val="24"/>
          <w:u w:val="none"/>
        </w:rPr>
        <w:t>本项目属于危险废物暂存转运</w:t>
      </w:r>
      <w:r>
        <w:rPr>
          <w:rFonts w:hint="default" w:ascii="Times New Roman" w:hAnsi="Times New Roman" w:eastAsia="宋体" w:cs="Times New Roman"/>
          <w:spacing w:val="0"/>
          <w:sz w:val="24"/>
          <w:u w:val="none"/>
          <w:lang w:val="en-US" w:eastAsia="zh-CN"/>
        </w:rPr>
        <w:t>及综合利用</w:t>
      </w:r>
      <w:r>
        <w:rPr>
          <w:rFonts w:hint="default" w:ascii="Times New Roman" w:hAnsi="Times New Roman" w:eastAsia="宋体" w:cs="Times New Roman"/>
          <w:spacing w:val="0"/>
          <w:sz w:val="24"/>
          <w:u w:val="none"/>
        </w:rPr>
        <w:t>项目，危险废物运输委托有资质公司</w:t>
      </w:r>
      <w:r>
        <w:rPr>
          <w:rFonts w:hint="default" w:ascii="Times New Roman" w:hAnsi="Times New Roman" w:eastAsia="宋体" w:cs="Times New Roman"/>
          <w:color w:val="000000"/>
          <w:sz w:val="24"/>
          <w:u w:val="none"/>
          <w:lang w:val="en-US" w:eastAsia="zh-CN"/>
        </w:rPr>
        <w:t>等具有资质的单位</w:t>
      </w:r>
      <w:r>
        <w:rPr>
          <w:rFonts w:hint="default" w:ascii="Times New Roman" w:hAnsi="Times New Roman" w:eastAsia="宋体" w:cs="Times New Roman"/>
          <w:spacing w:val="0"/>
          <w:sz w:val="24"/>
          <w:u w:val="none"/>
        </w:rPr>
        <w:t>运输至本项目场地内进行储存，不涉及到跨省转移，严格按照危险废物管理要求管理运营，严格按照危险废物管控要求申请报批，符合相关政策中对危险废物的管控要求。</w:t>
      </w:r>
    </w:p>
    <w:p w14:paraId="7D050EA1">
      <w:pPr>
        <w:pStyle w:val="3"/>
        <w:spacing w:before="0" w:after="0" w:line="360" w:lineRule="auto"/>
        <w:rPr>
          <w:rFonts w:hint="default" w:ascii="Times New Roman" w:hAnsi="Times New Roman" w:eastAsia="宋体" w:cs="Times New Roman"/>
          <w:sz w:val="28"/>
          <w:szCs w:val="28"/>
        </w:rPr>
      </w:pPr>
      <w:bookmarkStart w:id="67" w:name="_Toc13690"/>
      <w:bookmarkStart w:id="68" w:name="_Toc27948"/>
      <w:r>
        <w:rPr>
          <w:rFonts w:hint="default" w:ascii="Times New Roman" w:hAnsi="Times New Roman" w:eastAsia="宋体" w:cs="Times New Roman"/>
          <w:sz w:val="28"/>
          <w:szCs w:val="28"/>
        </w:rPr>
        <w:t>1.5 选址与总平面布局合理性分析</w:t>
      </w:r>
      <w:bookmarkEnd w:id="67"/>
      <w:bookmarkEnd w:id="68"/>
    </w:p>
    <w:p w14:paraId="4BC441B4">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1.5.1选址合理性分析</w:t>
      </w:r>
    </w:p>
    <w:p w14:paraId="2C85148C">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①项目选址及四至情况</w:t>
      </w:r>
    </w:p>
    <w:p w14:paraId="299DDD46">
      <w:pPr>
        <w:pStyle w:val="48"/>
        <w:spacing w:before="0" w:line="360" w:lineRule="auto"/>
        <w:ind w:firstLine="482"/>
        <w:rPr>
          <w:rFonts w:hint="default" w:ascii="Times New Roman" w:hAnsi="Times New Roman" w:eastAsia="宋体" w:cs="Times New Roman"/>
          <w:b/>
          <w:bCs/>
          <w:sz w:val="24"/>
          <w:szCs w:val="21"/>
        </w:rPr>
      </w:pPr>
      <w:r>
        <w:rPr>
          <w:rFonts w:hint="default" w:ascii="Times New Roman" w:hAnsi="Times New Roman" w:eastAsia="宋体" w:cs="Times New Roman"/>
          <w:spacing w:val="0"/>
          <w:w w:val="100"/>
          <w:position w:val="0"/>
          <w:sz w:val="24"/>
        </w:rPr>
        <w:t>根据</w:t>
      </w:r>
      <w:r>
        <w:rPr>
          <w:rFonts w:hint="eastAsia" w:ascii="Times New Roman" w:hAnsi="Times New Roman" w:eastAsia="宋体" w:cs="Times New Roman"/>
          <w:spacing w:val="0"/>
          <w:w w:val="100"/>
          <w:position w:val="0"/>
          <w:sz w:val="24"/>
          <w:lang w:val="en-US" w:eastAsia="zh-CN"/>
        </w:rPr>
        <w:t>2022年</w:t>
      </w:r>
      <w:r>
        <w:rPr>
          <w:rFonts w:hint="default" w:ascii="Times New Roman" w:hAnsi="Times New Roman" w:eastAsia="宋体" w:cs="Times New Roman"/>
          <w:spacing w:val="0"/>
          <w:w w:val="100"/>
          <w:position w:val="0"/>
          <w:sz w:val="24"/>
        </w:rPr>
        <w:t>湖南省发展和改革委员会、湖南省自然资源厅《关于发布湖南省省级及以上产业园区边界面积及四至范围目录的通知》（湘发改园区〔2022〕601号），</w:t>
      </w:r>
      <w:r>
        <w:rPr>
          <w:rFonts w:ascii="Times New Roman" w:hAnsi="Times New Roman" w:eastAsia="宋体" w:cs="Times New Roman"/>
          <w:sz w:val="24"/>
          <w:szCs w:val="24"/>
          <w:highlight w:val="none"/>
        </w:rPr>
        <w:t>湖南衡阳松木经济开发区面积为</w:t>
      </w:r>
      <w:r>
        <w:rPr>
          <w:rFonts w:hint="eastAsia" w:ascii="Times New Roman" w:hAnsi="Times New Roman" w:eastAsia="宋体" w:cs="Times New Roman"/>
          <w:sz w:val="24"/>
          <w:szCs w:val="24"/>
          <w:highlight w:val="none"/>
          <w:lang w:val="en-US" w:eastAsia="zh-CN"/>
        </w:rPr>
        <w:t>1143.92</w:t>
      </w:r>
      <w:r>
        <w:rPr>
          <w:rFonts w:ascii="Times New Roman" w:hAnsi="Times New Roman" w:eastAsia="宋体" w:cs="Times New Roman"/>
          <w:sz w:val="24"/>
          <w:szCs w:val="24"/>
          <w:highlight w:val="none"/>
        </w:rPr>
        <w:t>公顷</w:t>
      </w:r>
      <w:r>
        <w:rPr>
          <w:rFonts w:hint="eastAsia" w:ascii="Times New Roman" w:hAnsi="Times New Roman" w:eastAsia="宋体" w:cs="Times New Roman"/>
          <w:sz w:val="24"/>
          <w:szCs w:val="24"/>
          <w:highlight w:val="none"/>
          <w:lang w:eastAsia="zh-CN"/>
        </w:rPr>
        <w:t>，</w:t>
      </w:r>
      <w:r>
        <w:rPr>
          <w:rFonts w:hint="eastAsia" w:ascii="Times New Roman" w:hAnsi="Times New Roman" w:eastAsia="宋体" w:cs="Times New Roman"/>
          <w:sz w:val="24"/>
          <w:szCs w:val="24"/>
          <w:highlight w:val="none"/>
          <w:lang w:val="en-US" w:eastAsia="zh-CN"/>
        </w:rPr>
        <w:t>分为四个区块，其中区块一面积858.21公顷，东至滨江路、南至衡大高速公路、西至G107国道、北至怀邵衡铁路以南150m处；区块二面积236.03公顷，东至湘江北、南至松梅路、西至蒸阳北路、北至向衡路；区块三面积37.6公顷，东至东三环、南至京广铁路、西至双江路、北至北三环；区块四12.08公顷，东至广铁工务大修段、南至衡州大道以北510m处、西至狮山路、北至狮山路</w:t>
      </w:r>
      <w:r>
        <w:rPr>
          <w:rFonts w:hint="default" w:ascii="Times New Roman" w:hAnsi="Times New Roman" w:eastAsia="宋体" w:cs="Times New Roman"/>
          <w:spacing w:val="0"/>
          <w:w w:val="100"/>
          <w:position w:val="0"/>
          <w:sz w:val="24"/>
        </w:rPr>
        <w:t>。</w:t>
      </w:r>
      <w:r>
        <w:rPr>
          <w:rFonts w:hint="default" w:ascii="Times New Roman" w:hAnsi="Times New Roman" w:eastAsia="宋体" w:cs="Times New Roman"/>
          <w:sz w:val="24"/>
          <w:szCs w:val="24"/>
        </w:rPr>
        <w:t>本项目位于</w:t>
      </w:r>
      <w:r>
        <w:rPr>
          <w:rFonts w:hint="default" w:ascii="Times New Roman" w:hAnsi="Times New Roman" w:eastAsia="宋体" w:cs="Times New Roman"/>
          <w:sz w:val="24"/>
          <w:szCs w:val="21"/>
        </w:rPr>
        <w:t>松木经济开发区化工路，</w:t>
      </w:r>
      <w:r>
        <w:rPr>
          <w:rFonts w:hint="default" w:ascii="Times New Roman" w:hAnsi="Times New Roman" w:eastAsia="宋体" w:cs="Times New Roman"/>
          <w:sz w:val="24"/>
          <w:szCs w:val="24"/>
        </w:rPr>
        <w:t>位于</w:t>
      </w:r>
      <w:r>
        <w:rPr>
          <w:rFonts w:hint="default" w:ascii="Times New Roman" w:hAnsi="Times New Roman" w:eastAsia="宋体" w:cs="Times New Roman"/>
          <w:spacing w:val="0"/>
          <w:w w:val="100"/>
          <w:position w:val="0"/>
          <w:sz w:val="24"/>
        </w:rPr>
        <w:t>湘发改园区〔2022〕601号</w:t>
      </w:r>
      <w:r>
        <w:rPr>
          <w:rFonts w:hint="default" w:ascii="Times New Roman" w:hAnsi="Times New Roman" w:eastAsia="宋体" w:cs="Times New Roman"/>
          <w:sz w:val="24"/>
          <w:szCs w:val="24"/>
        </w:rPr>
        <w:t>划定的</w:t>
      </w:r>
      <w:r>
        <w:rPr>
          <w:rFonts w:ascii="Times New Roman" w:hAnsi="Times New Roman" w:eastAsia="宋体" w:cs="Times New Roman"/>
          <w:sz w:val="24"/>
          <w:szCs w:val="24"/>
          <w:highlight w:val="none"/>
        </w:rPr>
        <w:t>湖南衡阳松木经济开发区</w:t>
      </w:r>
      <w:r>
        <w:rPr>
          <w:rFonts w:hint="default" w:ascii="Times New Roman" w:hAnsi="Times New Roman" w:eastAsia="宋体" w:cs="Times New Roman"/>
          <w:sz w:val="24"/>
          <w:szCs w:val="24"/>
        </w:rPr>
        <w:t>“</w:t>
      </w:r>
      <w:r>
        <w:rPr>
          <w:rFonts w:hint="eastAsia" w:ascii="Times New Roman" w:hAnsi="Times New Roman" w:eastAsia="宋体" w:cs="Times New Roman"/>
          <w:sz w:val="24"/>
          <w:szCs w:val="24"/>
          <w:highlight w:val="none"/>
          <w:lang w:val="en-US" w:eastAsia="zh-CN"/>
        </w:rPr>
        <w:t>区块一</w:t>
      </w:r>
      <w:r>
        <w:rPr>
          <w:rFonts w:hint="default" w:ascii="Times New Roman" w:hAnsi="Times New Roman" w:eastAsia="宋体" w:cs="Times New Roman"/>
          <w:sz w:val="24"/>
          <w:szCs w:val="24"/>
        </w:rPr>
        <w:t>”范围内</w:t>
      </w:r>
      <w:r>
        <w:rPr>
          <w:rFonts w:hint="default" w:ascii="Times New Roman" w:hAnsi="Times New Roman" w:eastAsia="宋体" w:cs="Times New Roman"/>
          <w:spacing w:val="0"/>
          <w:w w:val="100"/>
          <w:position w:val="0"/>
          <w:sz w:val="24"/>
        </w:rPr>
        <w:t>，四至范围：</w:t>
      </w:r>
      <w:r>
        <w:rPr>
          <w:rFonts w:hint="eastAsia" w:ascii="Times New Roman" w:hAnsi="Times New Roman" w:eastAsia="宋体" w:cs="Times New Roman"/>
          <w:sz w:val="24"/>
          <w:szCs w:val="24"/>
          <w:highlight w:val="none"/>
          <w:lang w:val="en-US" w:eastAsia="zh-CN"/>
        </w:rPr>
        <w:t>东至滨江路、南至衡大高速公路、西至G107国道、北至怀邵衡铁路以南150m处。</w:t>
      </w:r>
    </w:p>
    <w:p w14:paraId="6E750B03">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本项目选址于衡阳市松木经开区化工路，</w:t>
      </w:r>
      <w:r>
        <w:rPr>
          <w:rFonts w:hint="eastAsia" w:ascii="Times New Roman" w:hAnsi="Times New Roman" w:eastAsia="宋体" w:cs="Times New Roman"/>
          <w:sz w:val="24"/>
          <w:szCs w:val="21"/>
          <w:lang w:val="en-US" w:eastAsia="zh-CN"/>
        </w:rPr>
        <w:t>同时</w:t>
      </w:r>
      <w:r>
        <w:rPr>
          <w:rFonts w:hint="default" w:ascii="Times New Roman" w:hAnsi="Times New Roman" w:eastAsia="宋体" w:cs="Times New Roman"/>
          <w:sz w:val="24"/>
          <w:szCs w:val="21"/>
        </w:rPr>
        <w:t>属于《湖南衡阳松木经济开发区扩区规划</w:t>
      </w:r>
      <w:r>
        <w:rPr>
          <w:rFonts w:hint="eastAsia" w:ascii="Times New Roman" w:hAnsi="Times New Roman" w:eastAsia="宋体" w:cs="Times New Roman"/>
          <w:sz w:val="24"/>
          <w:szCs w:val="21"/>
          <w:lang w:eastAsia="zh-CN"/>
        </w:rPr>
        <w:t>》</w:t>
      </w:r>
      <w:r>
        <w:rPr>
          <w:rFonts w:hint="default" w:ascii="Times New Roman" w:hAnsi="Times New Roman" w:eastAsia="宋体" w:cs="Times New Roman"/>
          <w:sz w:val="24"/>
          <w:szCs w:val="21"/>
        </w:rPr>
        <w:t>划定的</w:t>
      </w:r>
      <w:r>
        <w:rPr>
          <w:rFonts w:hint="default" w:ascii="Times New Roman" w:hAnsi="Times New Roman" w:eastAsia="宋体" w:cs="Times New Roman"/>
          <w:sz w:val="24"/>
          <w:szCs w:val="24"/>
        </w:rPr>
        <w:t>松木片区（在化工片区外）</w:t>
      </w:r>
      <w:r>
        <w:rPr>
          <w:rFonts w:hint="default" w:ascii="Times New Roman" w:hAnsi="Times New Roman" w:eastAsia="宋体" w:cs="Times New Roman"/>
          <w:sz w:val="24"/>
          <w:szCs w:val="21"/>
        </w:rPr>
        <w:t>范围，项目用地属于自有工业用地。通过对项目现场的调查，项目北侧隔化工路为衡阳瑞达电源有限公司的年产300万千伏安时铅酸蓄电池项目（在建），西侧相邻为园区待开发用地，项目东侧隔园区支路为湖南金化科技集团的生产用地，南侧隔园区支路以及排水沟渠为园区其他其中的集中生产区。</w:t>
      </w:r>
    </w:p>
    <w:p w14:paraId="56813629">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目前项目所处的松木经开区内道路、水、电、通讯、有线电视、网络、天然气、码头等基础设施日臻完善，具备了承接大型企业和大项目入园投资建设的条件。</w:t>
      </w:r>
    </w:p>
    <w:p w14:paraId="74621521">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②选址可行性分析</w:t>
      </w:r>
    </w:p>
    <w:p w14:paraId="196D85EB">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项目地不属于自然保护区（核心区、缓冲区）、风景名胜区、森林公园、饮用水水源保护区、重要湖泊周边、文物古迹所在地、地质遗迹保护区、基本农田保护区。</w:t>
      </w:r>
    </w:p>
    <w:p w14:paraId="7CEF445B">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所在地地质条件良好，抗震设防烈度为6度，不在受洪水、潮水或内涝威胁的地带，且周边安全防护距离（20m）内无重要公共建筑物和民用建筑物、无工矿企业、国家铁路线、工业企业铁路线、高速公路，项目周边500m内无文教区、水源保护地、名胜古迹区和自然保护区。</w:t>
      </w:r>
    </w:p>
    <w:p w14:paraId="772FB741">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项目营运期产生的主要污染物为废气、生活污水、噪声等，项目产生的环境影响在采取报告书中提出的相应防治措施后，对周边环境的影响较小。</w:t>
      </w:r>
    </w:p>
    <w:p w14:paraId="0F1C840A">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可充分利用工业园的道路、供水、供电、污水处理厂等基础设施。项目生产废水和生活污水经处理达标后通过园区污水管网进入松木污水处理厂处理，废水入湘江排污口位于衡阳市城区自来水厂取水口下游4000米，有利于保护衡阳市城区自来水厂取水口水质。</w:t>
      </w:r>
    </w:p>
    <w:p w14:paraId="700DAEEC">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综上所述，本项目选址合理可行。</w:t>
      </w:r>
    </w:p>
    <w:p w14:paraId="3B6A88FB">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1.5.2平面布局合理性分析</w:t>
      </w:r>
    </w:p>
    <w:p w14:paraId="4BAAC0B8">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项目厂区共布置2栋车间，其中北侧为A栋、南侧为B栋，危险废物综合处置车间（A#栋）用于布置本次扩建新增的危险废物再生利用生产线（A#栋北区）以及本次整体搬迁并扩建的“年收集贮存9800吨危险废物项目”（A#栋北区），整体搬迁后的贮存库布置拟参照搬迁前的布置方案进行（具体见“3.3.2现有工程总平面布置”）；预留二期车间（B#栋）仅作为后续项目预留，不设置相关生产内容。</w:t>
      </w:r>
    </w:p>
    <w:p w14:paraId="26B4D906">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A栋中部由北往南依次设置废包装桶自动化包装容器循环再生生产线1条、废塑料包装物破碎清洗线1条、废金属包装容器破碎清洗生产线1条；西侧设置为危废原料的装卸、分拣、暂存区；东侧设置为产品存放区。</w:t>
      </w:r>
    </w:p>
    <w:p w14:paraId="32FD30B6">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项目污水处理站布置在厂区的东南角，项目东北角布置为办公区，厂区共设置有2个出入口，北侧为主出入口，东侧为次出入口。项目总平面布局既考虑了生产工艺的连贯性，又满足环保、消防和安全的要求，并充分考虑了生产和运输需要。物流、人流、车流通畅，装置之间布局合理。项目总平面布置功能分区明确，流程通畅，管线短捷，管理方便。</w:t>
      </w:r>
    </w:p>
    <w:p w14:paraId="6116516C">
      <w:pPr>
        <w:pStyle w:val="3"/>
        <w:spacing w:before="0" w:after="0" w:line="360" w:lineRule="auto"/>
        <w:rPr>
          <w:rFonts w:hint="default" w:ascii="Times New Roman" w:hAnsi="Times New Roman" w:eastAsia="宋体" w:cs="Times New Roman"/>
          <w:kern w:val="0"/>
        </w:rPr>
      </w:pPr>
      <w:bookmarkStart w:id="69" w:name="_Toc3908021"/>
      <w:bookmarkStart w:id="70" w:name="_Toc61361932"/>
      <w:bookmarkStart w:id="71" w:name="_Toc8400287"/>
      <w:bookmarkStart w:id="72" w:name="_Toc57726489"/>
      <w:bookmarkStart w:id="73" w:name="_Toc17024331"/>
      <w:bookmarkStart w:id="74" w:name="_Toc50968507"/>
      <w:bookmarkStart w:id="75" w:name="_Toc39909199"/>
      <w:bookmarkStart w:id="76" w:name="_Toc67561702"/>
      <w:bookmarkStart w:id="77" w:name="_Toc23842879"/>
      <w:bookmarkStart w:id="78" w:name="_Toc47447235"/>
      <w:bookmarkStart w:id="79" w:name="_Toc21417"/>
      <w:bookmarkStart w:id="80" w:name="_Toc87016964"/>
      <w:bookmarkStart w:id="81" w:name="_Toc106961861"/>
      <w:bookmarkStart w:id="82" w:name="_Toc123733066"/>
      <w:r>
        <w:rPr>
          <w:rFonts w:hint="default" w:ascii="Times New Roman" w:hAnsi="Times New Roman" w:eastAsia="宋体" w:cs="Times New Roman"/>
          <w:kern w:val="0"/>
        </w:rPr>
        <w:t>1.6本项目重点关注的主要环境问题</w:t>
      </w:r>
      <w:bookmarkEnd w:id="69"/>
      <w:bookmarkEnd w:id="70"/>
      <w:bookmarkEnd w:id="71"/>
      <w:bookmarkEnd w:id="72"/>
      <w:bookmarkEnd w:id="73"/>
      <w:bookmarkEnd w:id="74"/>
      <w:bookmarkEnd w:id="75"/>
      <w:bookmarkEnd w:id="76"/>
      <w:bookmarkEnd w:id="77"/>
      <w:bookmarkEnd w:id="78"/>
      <w:r>
        <w:rPr>
          <w:rFonts w:hint="default" w:ascii="Times New Roman" w:hAnsi="Times New Roman" w:eastAsia="宋体" w:cs="Times New Roman"/>
          <w:kern w:val="0"/>
        </w:rPr>
        <w:t>及环境影响</w:t>
      </w:r>
      <w:bookmarkEnd w:id="79"/>
      <w:bookmarkEnd w:id="80"/>
      <w:bookmarkEnd w:id="81"/>
      <w:bookmarkEnd w:id="82"/>
    </w:p>
    <w:p w14:paraId="14AA4956">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选址、规模、性质和工艺路线符合国家和地方环境保护法律法规、标准、政策、规范，项目不在衡阳市生态红线区域之内，选址可行，需进一步进行环境影响分析及评价，论证项目对所在区域环境影响的程度，是否具有环境影响可行性。针对本次本项目的工程特点和项目周围的环境特点，项目关注的主要环境问题及环境影响为：</w:t>
      </w:r>
    </w:p>
    <w:p w14:paraId="4186E60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根据项目的建设内容和周边环境概况，本项目的主要关注的重点有：</w:t>
      </w:r>
    </w:p>
    <w:p w14:paraId="395EA5D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rPr>
        <w:t>本项目运营期间废气主要为VOCs、恶臭等，各类废气排放对周边环境的影响</w:t>
      </w:r>
      <w:r>
        <w:rPr>
          <w:rFonts w:hint="default" w:ascii="Times New Roman" w:hAnsi="Times New Roman" w:eastAsia="宋体" w:cs="Times New Roman"/>
          <w:sz w:val="24"/>
          <w:szCs w:val="24"/>
        </w:rPr>
        <w:t>；</w:t>
      </w:r>
    </w:p>
    <w:p w14:paraId="58D17BC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w:t>
      </w:r>
      <w:r>
        <w:rPr>
          <w:rFonts w:hint="default" w:ascii="Times New Roman" w:hAnsi="Times New Roman" w:eastAsia="宋体" w:cs="Times New Roman"/>
          <w:sz w:val="24"/>
        </w:rPr>
        <w:t>本项目生产废水，员工的生活污水，废水排放对周边环境的影响</w:t>
      </w:r>
      <w:r>
        <w:rPr>
          <w:rFonts w:hint="default" w:ascii="Times New Roman" w:hAnsi="Times New Roman" w:eastAsia="宋体" w:cs="Times New Roman"/>
          <w:sz w:val="24"/>
          <w:szCs w:val="24"/>
        </w:rPr>
        <w:t>；</w:t>
      </w:r>
    </w:p>
    <w:p w14:paraId="770D2B4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w:t>
      </w:r>
      <w:r>
        <w:rPr>
          <w:rFonts w:hint="default" w:ascii="Times New Roman" w:hAnsi="Times New Roman" w:eastAsia="宋体" w:cs="Times New Roman"/>
          <w:sz w:val="24"/>
        </w:rPr>
        <w:t>本项目噪声主要来源于各类生产设备产生的噪声，噪声排放对周边环境的影响</w:t>
      </w:r>
      <w:r>
        <w:rPr>
          <w:rFonts w:hint="default" w:ascii="Times New Roman" w:hAnsi="Times New Roman" w:eastAsia="宋体" w:cs="Times New Roman"/>
          <w:sz w:val="24"/>
          <w:szCs w:val="24"/>
        </w:rPr>
        <w:t>；</w:t>
      </w:r>
    </w:p>
    <w:p w14:paraId="4F48050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w:t>
      </w:r>
      <w:r>
        <w:rPr>
          <w:rFonts w:hint="default" w:ascii="Times New Roman" w:hAnsi="Times New Roman" w:eastAsia="宋体" w:cs="Times New Roman"/>
          <w:sz w:val="24"/>
        </w:rPr>
        <w:t>本项目</w:t>
      </w:r>
      <w:r>
        <w:rPr>
          <w:rFonts w:hint="default" w:ascii="Times New Roman" w:hAnsi="Times New Roman" w:eastAsia="宋体" w:cs="Times New Roman"/>
          <w:kern w:val="0"/>
          <w:sz w:val="24"/>
        </w:rPr>
        <w:t>产生的固体废弃物主要为危废残液</w:t>
      </w:r>
      <w:r>
        <w:rPr>
          <w:rFonts w:hint="default" w:ascii="Times New Roman" w:hAnsi="Times New Roman" w:eastAsia="宋体" w:cs="Times New Roman"/>
          <w:sz w:val="24"/>
        </w:rPr>
        <w:t>等，各类固废的收集、暂存、处置的合理性及对周边环境的影响；</w:t>
      </w:r>
    </w:p>
    <w:p w14:paraId="4189082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（5）项目所在地不在生活饮用水水源保护区范围，不涉及风景名胜区、自然保护区，不属于城市和城镇居民区等人口集中地区，不属于国家或地方法律、法规规定需特殊保护的其它区域。</w:t>
      </w:r>
    </w:p>
    <w:p w14:paraId="29A30B8C">
      <w:pPr>
        <w:pStyle w:val="3"/>
        <w:spacing w:before="0" w:after="0" w:line="360" w:lineRule="auto"/>
        <w:rPr>
          <w:rFonts w:hint="default" w:ascii="Times New Roman" w:hAnsi="Times New Roman" w:eastAsia="宋体" w:cs="Times New Roman"/>
          <w:kern w:val="0"/>
        </w:rPr>
      </w:pPr>
      <w:bookmarkStart w:id="83" w:name="_Toc67561703"/>
      <w:bookmarkStart w:id="84" w:name="_Toc23842880"/>
      <w:bookmarkStart w:id="85" w:name="_Toc50968508"/>
      <w:bookmarkStart w:id="86" w:name="_Toc21300"/>
      <w:bookmarkStart w:id="87" w:name="_Toc61361933"/>
      <w:bookmarkStart w:id="88" w:name="_Toc8400288"/>
      <w:bookmarkStart w:id="89" w:name="_Toc87016965"/>
      <w:bookmarkStart w:id="90" w:name="_Toc57726490"/>
      <w:bookmarkStart w:id="91" w:name="_Toc17024332"/>
      <w:bookmarkStart w:id="92" w:name="_Toc39909200"/>
      <w:bookmarkStart w:id="93" w:name="_Toc47447236"/>
      <w:bookmarkStart w:id="94" w:name="_Toc3908022"/>
      <w:bookmarkStart w:id="95" w:name="_Toc106961862"/>
      <w:bookmarkStart w:id="96" w:name="_Toc123733067"/>
      <w:r>
        <w:rPr>
          <w:rFonts w:hint="default" w:ascii="Times New Roman" w:hAnsi="Times New Roman" w:eastAsia="宋体" w:cs="Times New Roman"/>
          <w:kern w:val="0"/>
        </w:rPr>
        <w:t>1.7建设项目特点</w:t>
      </w:r>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FE522F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rPr>
        <w:t>湖南湘蓝再生资源利用有限公司拟投资约9800万元，在</w:t>
      </w:r>
      <w:r>
        <w:rPr>
          <w:rFonts w:hint="default" w:ascii="Times New Roman" w:hAnsi="Times New Roman" w:eastAsia="宋体" w:cs="Times New Roman"/>
          <w:sz w:val="24"/>
          <w:szCs w:val="24"/>
        </w:rPr>
        <w:t>湖南松木经济开发区</w:t>
      </w:r>
      <w:r>
        <w:rPr>
          <w:rFonts w:hint="default" w:ascii="Times New Roman" w:hAnsi="Times New Roman" w:eastAsia="宋体" w:cs="Times New Roman"/>
          <w:sz w:val="24"/>
          <w:szCs w:val="21"/>
        </w:rPr>
        <w:t>化工路</w:t>
      </w:r>
      <w:r>
        <w:rPr>
          <w:rFonts w:hint="default" w:ascii="Times New Roman" w:hAnsi="Times New Roman" w:eastAsia="宋体" w:cs="Times New Roman"/>
          <w:sz w:val="24"/>
          <w:szCs w:val="24"/>
        </w:rPr>
        <w:t>建设“松木经开区循环经济产业基地项目废旧金属塑料危险废物综合利用子项目”，项目属于扩建性质（搬迁+扩建），拟将现有的</w:t>
      </w:r>
      <w:r>
        <w:rPr>
          <w:rFonts w:hint="default" w:ascii="Times New Roman" w:hAnsi="Times New Roman" w:eastAsia="宋体" w:cs="Times New Roman"/>
          <w:color w:val="000000"/>
          <w:sz w:val="24"/>
          <w:szCs w:val="24"/>
        </w:rPr>
        <w:t>“年收集贮存9800吨危险废物项目”由金源路整体搬迁至</w:t>
      </w:r>
      <w:r>
        <w:rPr>
          <w:rFonts w:hint="default" w:ascii="Times New Roman" w:hAnsi="Times New Roman" w:eastAsia="宋体" w:cs="Times New Roman"/>
          <w:sz w:val="24"/>
          <w:szCs w:val="21"/>
        </w:rPr>
        <w:t>化工路新的建设用地上</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szCs w:val="21"/>
        </w:rPr>
        <w:t>并将危险废物收集贮存能力提高至</w:t>
      </w:r>
      <w:r>
        <w:rPr>
          <w:rFonts w:hint="default" w:ascii="Times New Roman" w:hAnsi="Times New Roman" w:eastAsia="宋体" w:cs="Times New Roman"/>
          <w:sz w:val="24"/>
          <w:szCs w:val="21"/>
          <w:lang w:eastAsia="zh-CN"/>
        </w:rPr>
        <w:t>14400</w:t>
      </w:r>
      <w:r>
        <w:rPr>
          <w:rFonts w:hint="default" w:ascii="Times New Roman" w:hAnsi="Times New Roman" w:eastAsia="宋体" w:cs="Times New Roman"/>
          <w:sz w:val="24"/>
          <w:szCs w:val="21"/>
        </w:rPr>
        <w:t>t/a</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szCs w:val="24"/>
        </w:rPr>
        <w:t>同时新建废包装桶整形清洗翻新生产线1条、废金属包装容器破碎清洗生产线1条、废塑料包装物破碎清洗生产线1条，年回收、贮存、利用废旧金属塑料危险废物2万吨（利用其他企业废弃金属包装桶、塑料包装桶等作为原材料，加工成金属颗粒和塑料碎片，实现废旧物资循环利用）。</w:t>
      </w:r>
    </w:p>
    <w:p w14:paraId="520C21D3">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本项目规划总占地面积</w:t>
      </w:r>
      <w:r>
        <w:rPr>
          <w:rFonts w:hint="default" w:ascii="Times New Roman" w:hAnsi="Times New Roman" w:eastAsia="宋体" w:cs="Times New Roman"/>
          <w:sz w:val="24"/>
          <w:szCs w:val="24"/>
          <w:lang w:eastAsia="zh-CN"/>
        </w:rPr>
        <w:t>20000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（约</w:t>
      </w:r>
      <w:r>
        <w:rPr>
          <w:rFonts w:hint="default" w:ascii="Times New Roman" w:hAnsi="Times New Roman" w:eastAsia="宋体" w:cs="Times New Roman"/>
          <w:sz w:val="24"/>
          <w:szCs w:val="24"/>
          <w:lang w:eastAsia="zh-CN"/>
        </w:rPr>
        <w:t>30亩</w:t>
      </w:r>
      <w:r>
        <w:rPr>
          <w:rFonts w:hint="default" w:ascii="Times New Roman" w:hAnsi="Times New Roman" w:eastAsia="宋体" w:cs="Times New Roman"/>
          <w:sz w:val="24"/>
          <w:szCs w:val="24"/>
        </w:rPr>
        <w:t>），厂房及构建筑物规划总建筑面积</w:t>
      </w:r>
      <w:r>
        <w:rPr>
          <w:rFonts w:hint="eastAsia" w:ascii="Times New Roman" w:hAnsi="Times New Roman" w:cs="Times New Roman"/>
          <w:sz w:val="24"/>
          <w:szCs w:val="24"/>
          <w:lang w:eastAsia="zh-CN"/>
        </w:rPr>
        <w:t>13741.81</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，其中</w:t>
      </w:r>
      <w:r>
        <w:rPr>
          <w:rFonts w:hint="default" w:ascii="Times New Roman" w:hAnsi="Times New Roman" w:eastAsia="宋体" w:cs="Times New Roman"/>
          <w:sz w:val="24"/>
          <w:szCs w:val="24"/>
          <w:lang w:val="en-US" w:eastAsia="zh-CN"/>
        </w:rPr>
        <w:t>危险</w:t>
      </w:r>
      <w:r>
        <w:rPr>
          <w:rFonts w:hint="default" w:ascii="Times New Roman" w:hAnsi="Times New Roman" w:eastAsia="宋体" w:cs="Times New Roman"/>
          <w:sz w:val="24"/>
          <w:szCs w:val="24"/>
        </w:rPr>
        <w:t>废物综合</w:t>
      </w:r>
      <w:r>
        <w:rPr>
          <w:rFonts w:hint="default" w:ascii="Times New Roman" w:hAnsi="Times New Roman" w:eastAsia="宋体" w:cs="Times New Roman"/>
          <w:sz w:val="24"/>
          <w:szCs w:val="24"/>
          <w:lang w:val="en-US" w:eastAsia="zh-CN"/>
        </w:rPr>
        <w:t>处置</w:t>
      </w:r>
      <w:r>
        <w:rPr>
          <w:rFonts w:hint="default" w:ascii="Times New Roman" w:hAnsi="Times New Roman" w:eastAsia="宋体" w:cs="Times New Roman"/>
          <w:sz w:val="24"/>
          <w:szCs w:val="24"/>
        </w:rPr>
        <w:t>车间（A#栋）</w:t>
      </w:r>
      <w:r>
        <w:rPr>
          <w:rFonts w:hint="default" w:ascii="Times New Roman" w:hAnsi="Times New Roman" w:eastAsia="宋体" w:cs="Times New Roman"/>
          <w:sz w:val="24"/>
          <w:szCs w:val="24"/>
          <w:lang w:eastAsia="zh-CN"/>
        </w:rPr>
        <w:t>6169.84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预留二期车间</w:t>
      </w:r>
      <w:r>
        <w:rPr>
          <w:rFonts w:hint="default" w:ascii="Times New Roman" w:hAnsi="Times New Roman" w:eastAsia="宋体" w:cs="Times New Roman"/>
          <w:sz w:val="24"/>
          <w:szCs w:val="24"/>
        </w:rPr>
        <w:t>（B#栋）</w:t>
      </w:r>
      <w:r>
        <w:rPr>
          <w:rFonts w:hint="default" w:ascii="Times New Roman" w:hAnsi="Times New Roman" w:eastAsia="宋体" w:cs="Times New Roman"/>
          <w:sz w:val="24"/>
          <w:szCs w:val="24"/>
          <w:lang w:eastAsia="zh-CN"/>
        </w:rPr>
        <w:t>5051.44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，污水处理站750m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，综合办公楼</w:t>
      </w:r>
      <w:r>
        <w:rPr>
          <w:rFonts w:hint="eastAsia" w:ascii="Times New Roman" w:hAnsi="Times New Roman" w:cs="Times New Roman"/>
          <w:sz w:val="24"/>
          <w:szCs w:val="24"/>
          <w:lang w:eastAsia="zh-CN"/>
        </w:rPr>
        <w:t>2492.53</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，传达室</w:t>
      </w:r>
      <w:r>
        <w:rPr>
          <w:rFonts w:hint="default" w:ascii="Times New Roman" w:hAnsi="Times New Roman" w:eastAsia="宋体" w:cs="Times New Roman"/>
          <w:sz w:val="24"/>
          <w:szCs w:val="24"/>
          <w:lang w:val="en-US" w:eastAsia="zh-CN"/>
        </w:rPr>
        <w:t>及配电房</w:t>
      </w:r>
      <w:r>
        <w:rPr>
          <w:rFonts w:hint="eastAsia" w:ascii="Times New Roman" w:hAnsi="Times New Roman" w:cs="Times New Roman"/>
          <w:sz w:val="24"/>
          <w:szCs w:val="24"/>
          <w:lang w:val="en-US" w:eastAsia="zh-CN"/>
        </w:rPr>
        <w:t>28</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07CD7BF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危险废物综合处置车间</w:t>
      </w:r>
      <w:r>
        <w:rPr>
          <w:rFonts w:hint="default" w:ascii="Times New Roman" w:hAnsi="Times New Roman" w:eastAsia="宋体" w:cs="Times New Roman"/>
          <w:sz w:val="24"/>
          <w:szCs w:val="24"/>
        </w:rPr>
        <w:t>（A#栋）用于布置本次扩建新增的危险废物再生利用生产线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A#栋北区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以及</w:t>
      </w:r>
      <w:r>
        <w:rPr>
          <w:rFonts w:hint="default" w:ascii="Times New Roman" w:hAnsi="Times New Roman" w:eastAsia="宋体" w:cs="Times New Roman"/>
          <w:sz w:val="24"/>
          <w:szCs w:val="24"/>
        </w:rPr>
        <w:t>本次整体搬迁并扩建的</w:t>
      </w:r>
      <w:r>
        <w:rPr>
          <w:rFonts w:hint="default" w:ascii="Times New Roman" w:hAnsi="Times New Roman" w:eastAsia="宋体" w:cs="Times New Roman"/>
          <w:color w:val="000000"/>
          <w:sz w:val="24"/>
          <w:szCs w:val="24"/>
        </w:rPr>
        <w:t>“年收集贮存9800吨危险废物项目”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A#栋北区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rPr>
        <w:t>，整体搬迁后的贮存库布置拟参照搬迁前的布置方案进行（具体见“3.3.2现有工程总平面布置”）</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lang w:val="en-US" w:eastAsia="zh-CN"/>
        </w:rPr>
        <w:t>预留二期车间</w:t>
      </w:r>
      <w:r>
        <w:rPr>
          <w:rFonts w:hint="default" w:ascii="Times New Roman" w:hAnsi="Times New Roman" w:eastAsia="宋体" w:cs="Times New Roman"/>
          <w:sz w:val="24"/>
          <w:szCs w:val="24"/>
        </w:rPr>
        <w:t>（B#栋）</w:t>
      </w:r>
      <w:r>
        <w:rPr>
          <w:rFonts w:hint="default" w:ascii="Times New Roman" w:hAnsi="Times New Roman" w:eastAsia="宋体" w:cs="Times New Roman"/>
          <w:sz w:val="24"/>
          <w:szCs w:val="24"/>
          <w:lang w:val="en-US" w:eastAsia="zh-CN"/>
        </w:rPr>
        <w:t>仅作为后续项目预留，不设置相关生产内容</w:t>
      </w:r>
      <w:r>
        <w:rPr>
          <w:rFonts w:hint="default" w:ascii="Times New Roman" w:hAnsi="Times New Roman" w:eastAsia="宋体" w:cs="Times New Roman"/>
          <w:sz w:val="24"/>
          <w:szCs w:val="24"/>
        </w:rPr>
        <w:t>。</w:t>
      </w:r>
    </w:p>
    <w:p w14:paraId="517191AB">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扩建部分新增的经营范围划定为：HW08（900-249-08限沾染矿物油的废弃塑料和金属包装容器）、HW49（900-041-49限废弃包装物、容器和废金属机油滤芯）20000t/a（限省内，其中5000t/a废塑料包装容器、5000t/a废金属机油滤芯、10000t/a废金属包装容器；不得接收含氰化物等剧毒类物质废包装容器、含爆炸性物质包装容器、感染性废弃包装物、含重金属包装容器，不得接收废矿物油）。</w:t>
      </w:r>
    </w:p>
    <w:p w14:paraId="57F849EF">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项目建成投产后，通过对危险废物的收集、综合利用，实现</w:t>
      </w:r>
      <w:r>
        <w:rPr>
          <w:rFonts w:hint="default" w:ascii="Times New Roman" w:hAnsi="Times New Roman" w:eastAsia="宋体" w:cs="Times New Roman"/>
          <w:color w:val="000000"/>
          <w:sz w:val="24"/>
          <w:szCs w:val="24"/>
        </w:rPr>
        <w:t>年收集贮存</w:t>
      </w:r>
      <w:r>
        <w:rPr>
          <w:rFonts w:hint="default" w:ascii="Times New Roman" w:hAnsi="Times New Roman" w:eastAsia="宋体" w:cs="Times New Roman"/>
          <w:color w:val="000000"/>
          <w:sz w:val="24"/>
          <w:szCs w:val="24"/>
          <w:lang w:eastAsia="zh-CN"/>
        </w:rPr>
        <w:t>14400</w:t>
      </w:r>
      <w:r>
        <w:rPr>
          <w:rFonts w:hint="default" w:ascii="Times New Roman" w:hAnsi="Times New Roman" w:eastAsia="宋体" w:cs="Times New Roman"/>
          <w:color w:val="000000"/>
          <w:sz w:val="24"/>
          <w:szCs w:val="24"/>
        </w:rPr>
        <w:t>吨危险废物，通过危废的综合利用</w:t>
      </w:r>
      <w:r>
        <w:rPr>
          <w:rFonts w:hint="default" w:ascii="Times New Roman" w:hAnsi="Times New Roman" w:eastAsia="宋体" w:cs="Times New Roman"/>
          <w:sz w:val="24"/>
          <w:szCs w:val="24"/>
        </w:rPr>
        <w:t>实现年产金属颗粒约11875t、塑料碎片约4725t、翻新金属桶</w:t>
      </w: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00t、翻新塑料桶500t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铁皮500t</w:t>
      </w:r>
      <w:r>
        <w:rPr>
          <w:rFonts w:hint="default" w:ascii="Times New Roman" w:hAnsi="Times New Roman" w:eastAsia="宋体" w:cs="Times New Roman"/>
          <w:sz w:val="24"/>
          <w:szCs w:val="24"/>
        </w:rPr>
        <w:t>。</w:t>
      </w:r>
    </w:p>
    <w:p w14:paraId="04DFE7E2">
      <w:pPr>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项目营运期产生的废水、废气、噪声、固废等污染物，在采取相应的污染防治措施均能实现达标排放或妥善处置，对周边环境产生影响较小。</w:t>
      </w:r>
    </w:p>
    <w:p w14:paraId="5081200A">
      <w:pPr>
        <w:pStyle w:val="3"/>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kern w:val="0"/>
        </w:rPr>
      </w:pPr>
      <w:bookmarkStart w:id="97" w:name="_Toc8400289"/>
      <w:bookmarkStart w:id="98" w:name="_Toc123733068"/>
      <w:bookmarkStart w:id="99" w:name="_Toc106961863"/>
      <w:bookmarkStart w:id="100" w:name="_Toc47447237"/>
      <w:bookmarkStart w:id="101" w:name="_Toc3908023"/>
      <w:bookmarkStart w:id="102" w:name="_Toc61361934"/>
      <w:bookmarkStart w:id="103" w:name="_Toc39909201"/>
      <w:bookmarkStart w:id="104" w:name="_Toc67561704"/>
      <w:bookmarkStart w:id="105" w:name="_Toc50968509"/>
      <w:bookmarkStart w:id="106" w:name="_Toc25338"/>
      <w:bookmarkStart w:id="107" w:name="_Toc57726491"/>
      <w:bookmarkStart w:id="108" w:name="_Toc23842881"/>
      <w:bookmarkStart w:id="109" w:name="_Toc87016966"/>
      <w:bookmarkStart w:id="110" w:name="_Toc17024333"/>
      <w:r>
        <w:rPr>
          <w:rFonts w:hint="default" w:ascii="Times New Roman" w:hAnsi="Times New Roman" w:eastAsia="宋体" w:cs="Times New Roman"/>
          <w:kern w:val="0"/>
        </w:rPr>
        <w:t>1.8环境影响报告书主要结论</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6C37475A">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本项目为扩建项目，</w:t>
      </w:r>
      <w:r>
        <w:rPr>
          <w:rFonts w:hint="default" w:ascii="Times New Roman" w:hAnsi="Times New Roman" w:eastAsia="宋体" w:cs="Times New Roman"/>
          <w:sz w:val="24"/>
          <w:szCs w:val="24"/>
        </w:rPr>
        <w:t>符合国家及地方产业政策；符合衡阳松木经济开发区产业定位、总体规划、及准入条件；项目符合《湖南省“三线一单”生态环境总体管控要求暨省级以上产业园区生态环境准入清单》、《湖南省湘江保护条例》；项目用地性质为二类工业用地，用地符合规划要求，项目选址可行。</w:t>
      </w:r>
    </w:p>
    <w:p w14:paraId="5472484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在认真落实各项环境保护措施后，污染物可以达标排放；项目建成后对周围环境的影响是可以接受的，不会改变项目周边当前环境空气、地下水环境、地表水环境、声环境等环境要素的功能区域要求；排放总量满足总量控制指标要求。本项目的建设有利于促进区域经济可持续发展。在实施污染物排放总量控制、落实报告书提出的各项环保措施、做好风险防范措施和应急预案的基础上，本项目建设不会对周围环境产生明显影响。</w:t>
      </w:r>
    </w:p>
    <w:p w14:paraId="7D8044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kern w:val="0"/>
          <w:sz w:val="24"/>
          <w:szCs w:val="24"/>
        </w:rPr>
        <w:t>因此，从环境保护角度而言，本项目的建设是可行的</w:t>
      </w:r>
      <w:r>
        <w:rPr>
          <w:rFonts w:hint="default" w:ascii="Times New Roman" w:hAnsi="Times New Roman" w:eastAsia="宋体" w:cs="Times New Roman"/>
          <w:sz w:val="24"/>
          <w:szCs w:val="24"/>
        </w:rPr>
        <w:t>。</w:t>
      </w:r>
    </w:p>
    <w:p w14:paraId="78C52925">
      <w:pPr>
        <w:pStyle w:val="2"/>
        <w:spacing w:before="0" w:after="0" w:line="360" w:lineRule="auto"/>
        <w:jc w:val="left"/>
        <w:rPr>
          <w:rFonts w:hint="default" w:ascii="Times New Roman" w:hAnsi="Times New Roman" w:eastAsia="宋体" w:cs="Times New Roman"/>
          <w:sz w:val="32"/>
          <w:szCs w:val="32"/>
        </w:rPr>
      </w:pPr>
      <w:bookmarkStart w:id="111" w:name="_Toc57726492"/>
      <w:bookmarkStart w:id="112" w:name="_Toc39909202"/>
      <w:bookmarkStart w:id="113" w:name="_Toc17024334"/>
      <w:bookmarkStart w:id="114" w:name="_Toc1328322"/>
      <w:bookmarkStart w:id="115" w:name="_Toc8400290"/>
      <w:bookmarkStart w:id="116" w:name="_Toc106961864"/>
      <w:bookmarkStart w:id="117" w:name="_Toc21030"/>
      <w:bookmarkStart w:id="118" w:name="_Toc47447238"/>
      <w:bookmarkStart w:id="119" w:name="_Toc87016967"/>
      <w:bookmarkStart w:id="120" w:name="_Toc3908024"/>
      <w:bookmarkStart w:id="121" w:name="_Toc123733069"/>
      <w:bookmarkStart w:id="122" w:name="_Toc67561705"/>
      <w:bookmarkStart w:id="123" w:name="_Toc50968510"/>
      <w:bookmarkStart w:id="124" w:name="_Toc23842882"/>
      <w:bookmarkStart w:id="125" w:name="_Toc61361935"/>
      <w:r>
        <w:rPr>
          <w:rFonts w:hint="default" w:ascii="Times New Roman" w:hAnsi="Times New Roman" w:eastAsia="宋体" w:cs="Times New Roman"/>
          <w:sz w:val="32"/>
          <w:szCs w:val="32"/>
        </w:rPr>
        <w:t>2总则</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26A665B">
      <w:pPr>
        <w:pStyle w:val="3"/>
        <w:spacing w:before="0" w:after="0" w:line="360" w:lineRule="auto"/>
        <w:jc w:val="left"/>
        <w:rPr>
          <w:rFonts w:hint="default" w:ascii="Times New Roman" w:hAnsi="Times New Roman" w:eastAsia="宋体" w:cs="Times New Roman"/>
          <w:kern w:val="0"/>
          <w:sz w:val="30"/>
          <w:szCs w:val="28"/>
        </w:rPr>
      </w:pPr>
      <w:bookmarkStart w:id="126" w:name="_Toc8400291"/>
      <w:bookmarkStart w:id="127" w:name="_Toc61361936"/>
      <w:bookmarkStart w:id="128" w:name="_Toc67561706"/>
      <w:bookmarkStart w:id="129" w:name="_Toc39909203"/>
      <w:bookmarkStart w:id="130" w:name="_Toc1328323"/>
      <w:bookmarkStart w:id="131" w:name="_Toc3908025"/>
      <w:bookmarkStart w:id="132" w:name="_Toc47447239"/>
      <w:bookmarkStart w:id="133" w:name="_Toc23842883"/>
      <w:bookmarkStart w:id="134" w:name="_Toc106961865"/>
      <w:bookmarkStart w:id="135" w:name="_Toc57726493"/>
      <w:bookmarkStart w:id="136" w:name="_Toc50968511"/>
      <w:bookmarkStart w:id="137" w:name="_Toc144539616"/>
      <w:bookmarkStart w:id="138" w:name="_Toc123733070"/>
      <w:bookmarkStart w:id="139" w:name="_Toc3100"/>
      <w:bookmarkStart w:id="140" w:name="_Toc17024335"/>
      <w:bookmarkStart w:id="141" w:name="_Toc87016968"/>
      <w:r>
        <w:rPr>
          <w:rFonts w:hint="default" w:ascii="Times New Roman" w:hAnsi="Times New Roman" w:eastAsia="宋体" w:cs="Times New Roman"/>
          <w:kern w:val="0"/>
          <w:sz w:val="30"/>
          <w:szCs w:val="28"/>
        </w:rPr>
        <w:t>2.1编制依据</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13C793C5">
      <w:pPr>
        <w:pStyle w:val="4"/>
        <w:tabs>
          <w:tab w:val="left" w:pos="900"/>
        </w:tabs>
        <w:spacing w:before="0" w:after="0" w:line="360" w:lineRule="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2.1.1国家法律、法规</w:t>
      </w:r>
    </w:p>
    <w:p w14:paraId="593F681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（1）《中华人民共和国环境保护法（2014 年修订）》，2015.1起施行；</w:t>
      </w:r>
    </w:p>
    <w:p w14:paraId="7681D62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（2）《中华人民共和国环境影响评价法（2018.12.29修订）》 ；</w:t>
      </w:r>
    </w:p>
    <w:p w14:paraId="5751DCB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（3）《中华人民共和国噪声污染防治法》，2022年6月5日起施行；</w:t>
      </w:r>
    </w:p>
    <w:p w14:paraId="7941A73D">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（4）《中华人民共和国大气污染防治法（2015年修订）》，2016.1；</w:t>
      </w:r>
    </w:p>
    <w:p w14:paraId="24E8850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（5）《中华人民共和国水污染防治法（2017年修订）》，2018年1月1日起施行；</w:t>
      </w:r>
    </w:p>
    <w:p w14:paraId="5536D40D">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（6）《中华人民共和国固体废物污染环境防治法》2020年9月1日起施行；</w:t>
      </w:r>
    </w:p>
    <w:p w14:paraId="1D4E0C6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（7）《中华人民共和国土壤污染防治法》（2019年1月1日起施行）；</w:t>
      </w:r>
    </w:p>
    <w:p w14:paraId="1847A15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（8）《中华人民共和国水土保持法（2010年修正）》，2011年3月1日起施行；</w:t>
      </w:r>
    </w:p>
    <w:p w14:paraId="435CB47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（9）《中华人民共和国清洁生产促进法》（2012年修订）2012.7.1；</w:t>
      </w:r>
    </w:p>
    <w:p w14:paraId="3C1CF37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（10）《中华人民共和国突发事件应对法》，2007.8；</w:t>
      </w:r>
    </w:p>
    <w:p w14:paraId="4BF6C892">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（11）《建设项目环境保护管理条例》国务院令第682号，2017.6.21。</w:t>
      </w:r>
    </w:p>
    <w:p w14:paraId="44E967F6">
      <w:pPr>
        <w:pStyle w:val="4"/>
        <w:tabs>
          <w:tab w:val="left" w:pos="900"/>
        </w:tabs>
        <w:spacing w:before="0" w:after="0" w:line="360" w:lineRule="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2.1.2部门规章、法规</w:t>
      </w:r>
    </w:p>
    <w:p w14:paraId="22C62979">
      <w:pPr>
        <w:pStyle w:val="53"/>
        <w:rPr>
          <w:rFonts w:hint="default" w:ascii="Times New Roman" w:hAnsi="Times New Roman" w:eastAsia="宋体" w:cs="Times New Roman"/>
          <w:color w:val="auto"/>
          <w:highlight w:val="yellow"/>
        </w:rPr>
      </w:pPr>
      <w:r>
        <w:rPr>
          <w:rFonts w:hint="default" w:ascii="Times New Roman" w:hAnsi="Times New Roman" w:eastAsia="宋体" w:cs="Times New Roman"/>
          <w:color w:val="auto"/>
        </w:rPr>
        <w:t>（1）《中华人民共和国国民经济和社会发展第十四个五年规划和2035年远景目标纲要》；</w:t>
      </w:r>
    </w:p>
    <w:p w14:paraId="5885FDAA">
      <w:pPr>
        <w:pStyle w:val="53"/>
        <w:rPr>
          <w:rFonts w:hint="default" w:ascii="Times New Roman" w:hAnsi="Times New Roman" w:eastAsia="宋体" w:cs="Times New Roman"/>
          <w:color w:val="auto"/>
        </w:rPr>
      </w:pPr>
      <w:r>
        <w:rPr>
          <w:rFonts w:hint="default" w:ascii="Times New Roman" w:hAnsi="Times New Roman" w:eastAsia="宋体" w:cs="Times New Roman"/>
          <w:color w:val="auto"/>
        </w:rPr>
        <w:t>（2）《国务院关于加强环境保护重点工作的意见》（国发〔2011〕35号）；</w:t>
      </w:r>
    </w:p>
    <w:p w14:paraId="2D5BB72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（3）《建设项目环境影响评价分类管理名录》（2021版）；</w:t>
      </w:r>
    </w:p>
    <w:p w14:paraId="2AB029D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（4）《国务院关于落实科学发展观加强环境保护的决定》，国发〔2005〕39 号，2006.2；</w:t>
      </w:r>
    </w:p>
    <w:p w14:paraId="6782828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（5）《关于进一步加强环境影响评价管理防范环境风险的通知》（环境保护部环发〔2012〕77号），2012.7；</w:t>
      </w:r>
    </w:p>
    <w:p w14:paraId="3BF562C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（6）《关于切实加强风险防范严格</w:t>
      </w:r>
      <w:r>
        <w:rPr>
          <w:rFonts w:hint="eastAsia" w:ascii="Times New Roman" w:hAnsi="Times New Roman" w:cs="Times New Roman"/>
          <w:sz w:val="24"/>
          <w:szCs w:val="24"/>
          <w:lang w:eastAsia="zh-CN"/>
        </w:rPr>
        <w:t>环境</w:t>
      </w:r>
      <w:r>
        <w:rPr>
          <w:rFonts w:hint="default" w:ascii="Times New Roman" w:hAnsi="Times New Roman" w:eastAsia="宋体" w:cs="Times New Roman"/>
          <w:sz w:val="24"/>
          <w:szCs w:val="24"/>
        </w:rPr>
        <w:t>影响评价管理的通知》（环发〔2012〕98号），2012.8；</w:t>
      </w:r>
    </w:p>
    <w:p w14:paraId="1B5ADD0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（7）《关于印发大气污染防治行动计划的通知》（国发〔2013〕37号），2013.9；</w:t>
      </w:r>
    </w:p>
    <w:p w14:paraId="594EE2A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（8）《关于印发水污染防治行动计划的通知》（国发〔2015〕17号），2015.4；</w:t>
      </w:r>
    </w:p>
    <w:p w14:paraId="07F7475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（9）《关于印发土壤污染防治行动计划的通知》（国发〔2016〕31号），2016.5；</w:t>
      </w:r>
    </w:p>
    <w:p w14:paraId="151C27E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（10）《关于加强高耗能、高排放建设项目生态环境源头防控的指导意见》（环环评〔2021〕45号）；</w:t>
      </w:r>
    </w:p>
    <w:p w14:paraId="6E37DDB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（11）国务院《关于加快建立健全绿色低碳循环发展经济体系的指导意见》（国发〔2021〕4号）；</w:t>
      </w:r>
    </w:p>
    <w:p w14:paraId="3E6EFE1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（12）生态环境部《关于统筹和加强应对气候变化与生态环境保护相关工作的指导意见》（环综合〔2021〕4号）；</w:t>
      </w:r>
    </w:p>
    <w:p w14:paraId="1889A23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（13）生态环境部办公厅《关于加强企业温室气体排放报告管理相关工作的通知》（环办气候〔2021〕9号）；</w:t>
      </w:r>
    </w:p>
    <w:p w14:paraId="54FC166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（14）生态环境部办公厅《关于印发[省级二氧化碳排放峰行动方案编制指南]的通知》（环办气候函〔2021〕85号）；</w:t>
      </w:r>
    </w:p>
    <w:p w14:paraId="7C3837F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（15）《关于加强重点行业建设项目区域削减措施监督管理的通知》（环办环评[2020]36号）；</w:t>
      </w:r>
    </w:p>
    <w:p w14:paraId="3BC2DBF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（16）《关于印发&lt;减污降碳协同增效实施方案&gt;的通知》（环综合〔2022〕42号）；</w:t>
      </w:r>
    </w:p>
    <w:p w14:paraId="6C9A79C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（17）《中共中央 国务院关于完整准确全面贯彻新发展理念做好碳达峰碳中和工作的意见》（（2021年9月22日））；</w:t>
      </w:r>
    </w:p>
    <w:p w14:paraId="0D52F2C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（18）《工业和信息化部 国家发展改革委 生态环境部关于印发工业领域碳达峰实施方案的通知》（工信部联节〔2022〕88号）；</w:t>
      </w:r>
    </w:p>
    <w:p w14:paraId="7D3FBC2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（19）《国家危险废物名录（2021年版）》（2021年1月1日施行）；</w:t>
      </w:r>
    </w:p>
    <w:p w14:paraId="4284650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（20）《危险废物转移管理办法》；</w:t>
      </w:r>
    </w:p>
    <w:p w14:paraId="5A27719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（21）《强化危险废物监管和利用处置能力改革实施方案》（国办函〔2021〕47号）；</w:t>
      </w:r>
    </w:p>
    <w:p w14:paraId="350729E0">
      <w:pPr>
        <w:spacing w:line="360" w:lineRule="auto"/>
        <w:ind w:firstLine="480" w:firstLineChars="20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（22）《关于印发〈全国危险废物专项整治三年行动实施方案〉的通知》（环办固体函〔2020〕270号）；</w:t>
      </w:r>
    </w:p>
    <w:p w14:paraId="36C6693B">
      <w:pPr>
        <w:spacing w:line="360" w:lineRule="auto"/>
        <w:ind w:firstLine="480" w:firstLineChars="200"/>
        <w:rPr>
          <w:rFonts w:hint="default" w:ascii="Times New Roman" w:hAnsi="Times New Roman" w:eastAsia="宋体" w:cs="Times New Roman"/>
          <w:sz w:val="24"/>
          <w:szCs w:val="24"/>
          <w:u w:val="none"/>
          <w:lang w:eastAsia="zh-CN"/>
        </w:rPr>
      </w:pPr>
      <w:r>
        <w:rPr>
          <w:rFonts w:hint="default" w:ascii="Times New Roman" w:hAnsi="Times New Roman" w:eastAsia="宋体" w:cs="Times New Roman"/>
          <w:color w:val="FF0000"/>
          <w:sz w:val="24"/>
          <w:szCs w:val="24"/>
          <w:u w:val="none"/>
        </w:rPr>
        <w:t>（23）</w:t>
      </w:r>
      <w:r>
        <w:rPr>
          <w:rFonts w:hint="default" w:ascii="Times New Roman" w:hAnsi="Times New Roman" w:eastAsia="宋体" w:cs="Times New Roman"/>
          <w:sz w:val="24"/>
          <w:szCs w:val="24"/>
          <w:u w:val="none"/>
        </w:rPr>
        <w:t>《关于加快废旧物资循环利用体系建设的指导意见》（发改环资〔2022〕109号）</w:t>
      </w:r>
      <w:r>
        <w:rPr>
          <w:rFonts w:hint="default" w:ascii="Times New Roman" w:hAnsi="Times New Roman" w:eastAsia="宋体" w:cs="Times New Roman"/>
          <w:sz w:val="24"/>
          <w:szCs w:val="24"/>
          <w:u w:val="none"/>
          <w:lang w:eastAsia="zh-CN"/>
        </w:rPr>
        <w:t>；</w:t>
      </w:r>
    </w:p>
    <w:p w14:paraId="39F9EF0A">
      <w:pPr>
        <w:spacing w:line="360" w:lineRule="auto"/>
        <w:ind w:firstLine="480" w:firstLineChars="200"/>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24</w:t>
      </w:r>
      <w:r>
        <w:rPr>
          <w:rFonts w:hint="default" w:ascii="Times New Roman" w:hAnsi="Times New Roman" w:eastAsia="宋体" w:cs="Times New Roman"/>
          <w:sz w:val="24"/>
          <w:szCs w:val="24"/>
          <w:u w:val="single"/>
          <w:lang w:eastAsia="zh-CN"/>
        </w:rPr>
        <w:t>）《关于进一步加强危险废物规范化环境管理有关工作的通知》（环办固体〔2023〕17号）。</w:t>
      </w:r>
    </w:p>
    <w:p w14:paraId="2127954D">
      <w:pPr>
        <w:pStyle w:val="4"/>
        <w:tabs>
          <w:tab w:val="left" w:pos="900"/>
        </w:tabs>
        <w:spacing w:before="0" w:after="0" w:line="360" w:lineRule="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2.1.3地方法律、法规</w:t>
      </w:r>
    </w:p>
    <w:p w14:paraId="7BDEC04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（1）《湖南省建设项目环境保护管理办法》（根据2017年7月16日《国务院关于修改〈建设项目环境保护管理条例〉的决定》修订）；</w:t>
      </w:r>
    </w:p>
    <w:p w14:paraId="6468F69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（2）《湖南省国民经济和社会发展第十四个五年规划和二O三五年远景目标的建议》；</w:t>
      </w:r>
    </w:p>
    <w:p w14:paraId="48CFFB5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（3）《湖南省主体功能区规划》（湘政发〔2012〕39号，2012年）；</w:t>
      </w:r>
    </w:p>
    <w:p w14:paraId="253EA567">
      <w:pPr>
        <w:spacing w:line="360" w:lineRule="auto"/>
        <w:ind w:firstLine="480" w:firstLineChars="200"/>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（4）《湖南省“十四五”生态环境保护规划》；</w:t>
      </w:r>
    </w:p>
    <w:p w14:paraId="50A1EF4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（5）《关于印发&lt;湖南省环境保护厅建设项目“三同时”监督管理试行办法&gt;的通知》，湖南省环境保护厅办公室，湘环发〔2011〕29号，2011.6；</w:t>
      </w:r>
    </w:p>
    <w:p w14:paraId="505DF34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（6）《湖南省大气污染防治条例》，湖南省第十二届人民代表大会常务委员会公告，2017.6.1；</w:t>
      </w:r>
    </w:p>
    <w:p w14:paraId="6B2B685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（7）《湖南省“三线一单”生态环境总体管控要求暨省级以上产业园区生态环境准入清单》，2020.9；</w:t>
      </w:r>
    </w:p>
    <w:p w14:paraId="530EDEB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（8）《湖南省主要水系地表水环境功能区划》（DB43/023-2005）；</w:t>
      </w:r>
    </w:p>
    <w:p w14:paraId="51E679F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湖南省湘江保护条例》，湖南省第十一届人大常委会公告第75号，2013年4月1日实施。以及湖南省人民代表大会常务委员会关于修改《湖南省湘江保护条例》的决定，2018年11月30日湖南省第十三届人民代表大会常务委员会第八次会议通过；</w:t>
      </w:r>
    </w:p>
    <w:p w14:paraId="589D302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lang w:val="zh-CN"/>
        </w:rPr>
        <w:t>（</w:t>
      </w:r>
      <w:r>
        <w:rPr>
          <w:rFonts w:hint="default" w:ascii="Times New Roman" w:hAnsi="Times New Roman" w:eastAsia="宋体" w:cs="Times New Roman"/>
          <w:bCs/>
          <w:sz w:val="24"/>
          <w:szCs w:val="24"/>
        </w:rPr>
        <w:t>10</w:t>
      </w:r>
      <w:r>
        <w:rPr>
          <w:rFonts w:hint="default" w:ascii="Times New Roman" w:hAnsi="Times New Roman" w:eastAsia="宋体" w:cs="Times New Roman"/>
          <w:bCs/>
          <w:sz w:val="24"/>
          <w:szCs w:val="24"/>
          <w:lang w:val="zh-CN"/>
        </w:rPr>
        <w:t>）</w:t>
      </w:r>
      <w:r>
        <w:rPr>
          <w:rFonts w:hint="default" w:ascii="Times New Roman" w:hAnsi="Times New Roman" w:eastAsia="宋体" w:cs="Times New Roman"/>
          <w:sz w:val="24"/>
          <w:szCs w:val="24"/>
        </w:rPr>
        <w:t>《中共湖南省委湖南省人民政府关于大力发展循环经济建设资源节约型和环境友好型社会的意见》（湘发[2006]14号）；</w:t>
      </w:r>
    </w:p>
    <w:p w14:paraId="2F1E851B">
      <w:pPr>
        <w:pStyle w:val="54"/>
        <w:ind w:firstLine="480"/>
        <w:rPr>
          <w:rFonts w:hint="default" w:ascii="Times New Roman" w:hAnsi="Times New Roman" w:eastAsia="宋体" w:cs="Times New Roman"/>
          <w:szCs w:val="24"/>
        </w:rPr>
      </w:pPr>
      <w:r>
        <w:rPr>
          <w:rFonts w:hint="default" w:ascii="Times New Roman" w:hAnsi="Times New Roman" w:eastAsia="宋体" w:cs="Times New Roman"/>
          <w:bCs/>
          <w:kern w:val="2"/>
          <w:szCs w:val="24"/>
        </w:rPr>
        <w:t>（1</w:t>
      </w:r>
      <w:r>
        <w:rPr>
          <w:rFonts w:hint="default" w:ascii="Times New Roman" w:hAnsi="Times New Roman" w:eastAsia="宋体" w:cs="Times New Roman"/>
          <w:bCs/>
          <w:kern w:val="2"/>
          <w:szCs w:val="24"/>
          <w:lang w:val="en-US"/>
        </w:rPr>
        <w:t>1</w:t>
      </w:r>
      <w:r>
        <w:rPr>
          <w:rFonts w:hint="default" w:ascii="Times New Roman" w:hAnsi="Times New Roman" w:eastAsia="宋体" w:cs="Times New Roman"/>
          <w:bCs/>
          <w:kern w:val="2"/>
          <w:szCs w:val="24"/>
        </w:rPr>
        <w:t>）</w:t>
      </w:r>
      <w:r>
        <w:rPr>
          <w:rFonts w:hint="default" w:ascii="Times New Roman" w:hAnsi="Times New Roman" w:eastAsia="宋体" w:cs="Times New Roman"/>
          <w:szCs w:val="24"/>
        </w:rPr>
        <w:t>《湖南省主要污染物排污权有偿使用和交易管理办法》（湘政发[2014]4号）；</w:t>
      </w:r>
    </w:p>
    <w:p w14:paraId="688A799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lang w:val="zh-CN"/>
        </w:rPr>
        <w:t>（</w:t>
      </w:r>
      <w:r>
        <w:rPr>
          <w:rFonts w:hint="default" w:ascii="Times New Roman" w:hAnsi="Times New Roman" w:eastAsia="宋体" w:cs="Times New Roman"/>
          <w:bCs/>
          <w:sz w:val="24"/>
          <w:szCs w:val="24"/>
        </w:rPr>
        <w:t>12</w:t>
      </w:r>
      <w:r>
        <w:rPr>
          <w:rFonts w:hint="default" w:ascii="Times New Roman" w:hAnsi="Times New Roman" w:eastAsia="宋体" w:cs="Times New Roman"/>
          <w:bCs/>
          <w:sz w:val="24"/>
          <w:szCs w:val="24"/>
          <w:lang w:val="zh-CN"/>
        </w:rPr>
        <w:t>）</w:t>
      </w:r>
      <w:r>
        <w:rPr>
          <w:rFonts w:hint="default" w:ascii="Times New Roman" w:hAnsi="Times New Roman" w:eastAsia="宋体" w:cs="Times New Roman"/>
          <w:sz w:val="24"/>
          <w:szCs w:val="24"/>
        </w:rPr>
        <w:t>《湖南省污染源自动监控管理办法》（2006年省人民政府令第203号）；</w:t>
      </w:r>
    </w:p>
    <w:p w14:paraId="06FB10A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（13）《湖南省人民政府关于印发&lt;湖南省土壤污染防治工作方案&gt;的通知》（湘政发[2017]4号，2017年1月23日）；</w:t>
      </w:r>
    </w:p>
    <w:p w14:paraId="0A1E651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（14）《</w:t>
      </w:r>
      <w:r>
        <w:rPr>
          <w:rFonts w:hint="default" w:ascii="Times New Roman" w:hAnsi="Times New Roman" w:eastAsia="宋体" w:cs="Times New Roman"/>
          <w:bCs/>
          <w:sz w:val="24"/>
          <w:szCs w:val="24"/>
        </w:rPr>
        <w:t>关于进一步规范和加强产业园区生态环境管理的通知</w:t>
      </w:r>
      <w:r>
        <w:rPr>
          <w:rFonts w:hint="default" w:ascii="Times New Roman" w:hAnsi="Times New Roman" w:eastAsia="宋体" w:cs="Times New Roman"/>
          <w:sz w:val="24"/>
          <w:szCs w:val="24"/>
        </w:rPr>
        <w:t>》（湘环发[2020]27号，2020年8月3日）；</w:t>
      </w:r>
    </w:p>
    <w:p w14:paraId="7EE197A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bCs/>
          <w:sz w:val="24"/>
          <w:szCs w:val="24"/>
        </w:rPr>
        <w:t>（15）《湖南省长江经济带发展负面清单实施细则（试行，2022年版）》；</w:t>
      </w:r>
    </w:p>
    <w:p w14:paraId="0F0178C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（16）《湖南省人民政府关于印发&lt;湖南省碳达峰实施方案&gt;的通知》（湘政发〔2022〕19号）；</w:t>
      </w:r>
    </w:p>
    <w:p w14:paraId="7800295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（17）《湖南省生态环境厅关于印发&lt;湖南省危险废物事中事后监管工作</w:t>
      </w:r>
    </w:p>
    <w:p w14:paraId="1C658CCF">
      <w:pPr>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实施方案（试行）&gt;的通知》（湘环发〔2022〕85 号）；</w:t>
      </w:r>
    </w:p>
    <w:p w14:paraId="30BB2EFE">
      <w:pPr>
        <w:spacing w:line="360" w:lineRule="auto"/>
        <w:ind w:firstLine="480" w:firstLineChars="200"/>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18</w:t>
      </w:r>
      <w:r>
        <w:rPr>
          <w:rFonts w:hint="default" w:ascii="Times New Roman" w:hAnsi="Times New Roman" w:eastAsia="宋体" w:cs="Times New Roman"/>
          <w:sz w:val="24"/>
          <w:szCs w:val="24"/>
          <w:u w:val="single"/>
          <w:lang w:eastAsia="zh-CN"/>
        </w:rPr>
        <w:t>）《关于印发</w:t>
      </w:r>
      <w:r>
        <w:rPr>
          <w:rFonts w:hint="default" w:ascii="Times New Roman" w:hAnsi="Times New Roman" w:eastAsia="宋体" w:cs="Times New Roman"/>
          <w:sz w:val="24"/>
          <w:szCs w:val="24"/>
          <w:u w:val="single"/>
          <w:lang w:val="en-US" w:eastAsia="zh-CN"/>
        </w:rPr>
        <w:t>&lt;</w:t>
      </w:r>
      <w:r>
        <w:rPr>
          <w:rFonts w:hint="default" w:ascii="Times New Roman" w:hAnsi="Times New Roman" w:eastAsia="宋体" w:cs="Times New Roman"/>
          <w:sz w:val="24"/>
          <w:szCs w:val="24"/>
          <w:u w:val="single"/>
          <w:lang w:eastAsia="zh-CN"/>
        </w:rPr>
        <w:t>湖南省小微企业危险废物收集试点工作方案</w:t>
      </w:r>
      <w:r>
        <w:rPr>
          <w:rFonts w:hint="default" w:ascii="Times New Roman" w:hAnsi="Times New Roman" w:eastAsia="宋体" w:cs="Times New Roman"/>
          <w:sz w:val="24"/>
          <w:szCs w:val="24"/>
          <w:u w:val="single"/>
          <w:lang w:val="en-US" w:eastAsia="zh-CN"/>
        </w:rPr>
        <w:t>&gt;</w:t>
      </w:r>
      <w:r>
        <w:rPr>
          <w:rFonts w:hint="default" w:ascii="Times New Roman" w:hAnsi="Times New Roman" w:eastAsia="宋体" w:cs="Times New Roman"/>
          <w:sz w:val="24"/>
          <w:szCs w:val="24"/>
          <w:u w:val="single"/>
          <w:lang w:eastAsia="zh-CN"/>
        </w:rPr>
        <w:t>的通知》</w:t>
      </w:r>
      <w:r>
        <w:rPr>
          <w:rFonts w:hint="default" w:ascii="Times New Roman" w:hAnsi="Times New Roman" w:eastAsia="宋体" w:cs="Times New Roman"/>
          <w:sz w:val="24"/>
          <w:szCs w:val="24"/>
          <w:u w:val="single"/>
        </w:rPr>
        <w:t>（湘环发〔2022〕</w:t>
      </w:r>
      <w:r>
        <w:rPr>
          <w:rFonts w:hint="default" w:ascii="Times New Roman" w:hAnsi="Times New Roman" w:eastAsia="宋体" w:cs="Times New Roman"/>
          <w:sz w:val="24"/>
          <w:szCs w:val="24"/>
          <w:u w:val="single"/>
          <w:lang w:val="en-US" w:eastAsia="zh-CN"/>
        </w:rPr>
        <w:t>62</w:t>
      </w:r>
      <w:r>
        <w:rPr>
          <w:rFonts w:hint="default" w:ascii="Times New Roman" w:hAnsi="Times New Roman" w:eastAsia="宋体" w:cs="Times New Roman"/>
          <w:sz w:val="24"/>
          <w:szCs w:val="24"/>
          <w:u w:val="single"/>
        </w:rPr>
        <w:t>号）</w:t>
      </w:r>
      <w:r>
        <w:rPr>
          <w:rFonts w:hint="default" w:ascii="Times New Roman" w:hAnsi="Times New Roman" w:eastAsia="宋体" w:cs="Times New Roman"/>
          <w:sz w:val="24"/>
          <w:szCs w:val="24"/>
          <w:u w:val="single"/>
          <w:lang w:eastAsia="zh-CN"/>
        </w:rPr>
        <w:t>；</w:t>
      </w:r>
    </w:p>
    <w:p w14:paraId="6C7753B3">
      <w:pPr>
        <w:spacing w:line="360" w:lineRule="auto"/>
        <w:ind w:firstLine="480" w:firstLineChars="200"/>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19</w:t>
      </w:r>
      <w:r>
        <w:rPr>
          <w:rFonts w:hint="default" w:ascii="Times New Roman" w:hAnsi="Times New Roman" w:eastAsia="宋体" w:cs="Times New Roman"/>
          <w:sz w:val="24"/>
          <w:szCs w:val="24"/>
          <w:u w:val="single"/>
          <w:lang w:eastAsia="zh-CN"/>
        </w:rPr>
        <w:t>）《湖南省生态环境厅关于印发</w:t>
      </w:r>
      <w:r>
        <w:rPr>
          <w:rFonts w:hint="default" w:ascii="Times New Roman" w:hAnsi="Times New Roman" w:eastAsia="宋体" w:cs="Times New Roman"/>
          <w:sz w:val="24"/>
          <w:szCs w:val="24"/>
          <w:u w:val="single"/>
          <w:lang w:val="en-US" w:eastAsia="zh-CN"/>
        </w:rPr>
        <w:t>&lt;</w:t>
      </w:r>
      <w:r>
        <w:rPr>
          <w:rFonts w:hint="default" w:ascii="Times New Roman" w:hAnsi="Times New Roman" w:eastAsia="宋体" w:cs="Times New Roman"/>
          <w:sz w:val="24"/>
          <w:szCs w:val="24"/>
          <w:u w:val="single"/>
          <w:lang w:eastAsia="zh-CN"/>
        </w:rPr>
        <w:t>规范危险废物管理的若干规定（试行）</w:t>
      </w:r>
      <w:r>
        <w:rPr>
          <w:rFonts w:hint="default" w:ascii="Times New Roman" w:hAnsi="Times New Roman" w:eastAsia="宋体" w:cs="Times New Roman"/>
          <w:sz w:val="24"/>
          <w:szCs w:val="24"/>
          <w:u w:val="single"/>
          <w:lang w:val="en-US" w:eastAsia="zh-CN"/>
        </w:rPr>
        <w:t>&gt;</w:t>
      </w:r>
      <w:r>
        <w:rPr>
          <w:rFonts w:hint="default" w:ascii="Times New Roman" w:hAnsi="Times New Roman" w:eastAsia="宋体" w:cs="Times New Roman"/>
          <w:sz w:val="24"/>
          <w:szCs w:val="24"/>
          <w:u w:val="single"/>
          <w:lang w:eastAsia="zh-CN"/>
        </w:rPr>
        <w:t>》（湘环发</w:t>
      </w:r>
      <w:r>
        <w:rPr>
          <w:rFonts w:hint="default"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lang w:eastAsia="zh-CN"/>
        </w:rPr>
        <w:t>2021</w:t>
      </w:r>
      <w:r>
        <w:rPr>
          <w:rFonts w:hint="default"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lang w:eastAsia="zh-CN"/>
        </w:rPr>
        <w:t>18号）；</w:t>
      </w:r>
    </w:p>
    <w:p w14:paraId="35CFDE81">
      <w:pPr>
        <w:spacing w:line="360" w:lineRule="auto"/>
        <w:ind w:firstLine="480" w:firstLineChars="200"/>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20</w:t>
      </w:r>
      <w:r>
        <w:rPr>
          <w:rFonts w:hint="default" w:ascii="Times New Roman" w:hAnsi="Times New Roman" w:eastAsia="宋体" w:cs="Times New Roman"/>
          <w:sz w:val="24"/>
          <w:szCs w:val="24"/>
          <w:u w:val="single"/>
          <w:lang w:eastAsia="zh-CN"/>
        </w:rPr>
        <w:t>）《湖南省“十四五”固体废物环境管理规划》；</w:t>
      </w:r>
    </w:p>
    <w:p w14:paraId="2AEE53BE">
      <w:pPr>
        <w:spacing w:line="360" w:lineRule="auto"/>
        <w:ind w:firstLine="480" w:firstLineChars="200"/>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21</w:t>
      </w:r>
      <w:r>
        <w:rPr>
          <w:rFonts w:hint="default" w:ascii="Times New Roman" w:hAnsi="Times New Roman" w:eastAsia="宋体" w:cs="Times New Roman"/>
          <w:sz w:val="24"/>
          <w:szCs w:val="24"/>
          <w:u w:val="single"/>
          <w:lang w:eastAsia="zh-CN"/>
        </w:rPr>
        <w:t>）《衡阳市小微企业危险废物收集试点建设方案》（衡环办</w:t>
      </w:r>
      <w:r>
        <w:rPr>
          <w:rFonts w:hint="default"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lang w:eastAsia="zh-CN"/>
        </w:rPr>
        <w:t>2023</w:t>
      </w:r>
      <w:r>
        <w:rPr>
          <w:rFonts w:hint="default"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lang w:eastAsia="zh-CN"/>
        </w:rPr>
        <w:t>27号）。</w:t>
      </w:r>
    </w:p>
    <w:p w14:paraId="2C1B1346">
      <w:pPr>
        <w:pStyle w:val="4"/>
        <w:tabs>
          <w:tab w:val="left" w:pos="900"/>
        </w:tabs>
        <w:spacing w:before="0" w:after="0" w:line="360" w:lineRule="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2.1.4技术导则、规范</w:t>
      </w:r>
    </w:p>
    <w:p w14:paraId="4FCB2F5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（1）《环境影响评价技术导则 总纲》（HJ2.1-2016）；</w:t>
      </w:r>
    </w:p>
    <w:p w14:paraId="11A13EA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（2）《环境影响评价技术导则 大气环境》（HJ2.2-2018）；</w:t>
      </w:r>
    </w:p>
    <w:p w14:paraId="2E59A4C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（3）《环境影响评价技术导则 地表水环境》（HJ2.3-2018）；</w:t>
      </w:r>
    </w:p>
    <w:p w14:paraId="2DFF594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（4）《环境影响评价技术导则 地下水环境》（HJ610-2016）；</w:t>
      </w:r>
    </w:p>
    <w:p w14:paraId="2AEBBA0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（5）《环境影响评价技术导则 声环境》（HJ2.4-2021）；</w:t>
      </w:r>
    </w:p>
    <w:p w14:paraId="66663BC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（6）《建设项目环境风险评价技术导则》（HJ169-2018）； </w:t>
      </w:r>
    </w:p>
    <w:p w14:paraId="03D4BE7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（7）《环境影响评价技术导则 生态影响》（HJ19-2022）；</w:t>
      </w:r>
    </w:p>
    <w:p w14:paraId="0DC9FBF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（8）《环境影响评价技术导则 土壤环境（试行）》（HJ964-2018）；</w:t>
      </w:r>
    </w:p>
    <w:p w14:paraId="280495C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（9）《危险废物收集 贮存 运输技术规范》（HJ 2025-2012）；</w:t>
      </w:r>
    </w:p>
    <w:p w14:paraId="165F9DD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（10）《建设项目危险废物环境影响评价指南》（2017.10.1实施）；</w:t>
      </w:r>
    </w:p>
    <w:p w14:paraId="7ABA8A5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（11）《固体废物再生利用污染防治技术导则》（HJ 1091-2020）；</w:t>
      </w:r>
    </w:p>
    <w:p w14:paraId="67D3F1B8">
      <w:pPr>
        <w:spacing w:line="360" w:lineRule="auto"/>
        <w:ind w:firstLine="480" w:firstLineChars="200"/>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eastAsia="zh-CN"/>
        </w:rPr>
        <w:t>）《废铅蓄电池处理污染控制技术规范》（HJ519-2009）；</w:t>
      </w:r>
    </w:p>
    <w:p w14:paraId="43BFEA0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）《固体废物鉴别标准 通则》（GB 34330-2017）；</w:t>
      </w:r>
    </w:p>
    <w:p w14:paraId="12C3D9A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）《危险废物鉴别标准 通则》（GB 5085.7-2019）；</w:t>
      </w:r>
    </w:p>
    <w:p w14:paraId="2C8BE5D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）《排污许可证申请与核发技术规范 工业固体废物和危险废物治理》（HJ1033-2019）;</w:t>
      </w:r>
    </w:p>
    <w:p w14:paraId="289D57A0">
      <w:pPr>
        <w:spacing w:line="360" w:lineRule="auto"/>
        <w:ind w:firstLine="480" w:firstLineChars="200"/>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）《排污单位自行监测技术指南 总则》（HJ819-2017）；</w:t>
      </w:r>
    </w:p>
    <w:p w14:paraId="03B04560">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sz w:val="24"/>
          <w:szCs w:val="24"/>
          <w:u w:val="single"/>
        </w:rPr>
        <w:t>（1</w:t>
      </w:r>
      <w:r>
        <w:rPr>
          <w:rFonts w:hint="default" w:ascii="Times New Roman" w:hAnsi="Times New Roman" w:eastAsia="宋体" w:cs="Times New Roman"/>
          <w:sz w:val="24"/>
          <w:szCs w:val="24"/>
          <w:u w:val="single"/>
          <w:lang w:val="en-US" w:eastAsia="zh-CN"/>
        </w:rPr>
        <w:t>7</w:t>
      </w:r>
      <w:r>
        <w:rPr>
          <w:rFonts w:hint="default" w:ascii="Times New Roman" w:hAnsi="Times New Roman" w:eastAsia="宋体" w:cs="Times New Roman"/>
          <w:sz w:val="24"/>
          <w:szCs w:val="24"/>
          <w:u w:val="single"/>
        </w:rPr>
        <w:t>）</w:t>
      </w:r>
      <w:r>
        <w:rPr>
          <w:rFonts w:hint="default" w:ascii="Times New Roman" w:hAnsi="Times New Roman" w:eastAsia="宋体" w:cs="Times New Roman"/>
          <w:kern w:val="0"/>
          <w:sz w:val="24"/>
          <w:u w:val="single"/>
        </w:rPr>
        <w:t>《排污单位自行监测技术指南 工业固体废物和危险废物治理》（HJ 1250-2022）；</w:t>
      </w:r>
    </w:p>
    <w:p w14:paraId="63B9FA7A">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lang w:eastAsia="zh-CN"/>
        </w:rPr>
        <w:t>（</w:t>
      </w:r>
      <w:r>
        <w:rPr>
          <w:rFonts w:hint="default" w:ascii="Times New Roman" w:hAnsi="Times New Roman" w:eastAsia="宋体" w:cs="Times New Roman"/>
          <w:kern w:val="0"/>
          <w:sz w:val="24"/>
          <w:u w:val="single"/>
          <w:lang w:val="en-US" w:eastAsia="zh-CN"/>
        </w:rPr>
        <w:t>18</w:t>
      </w:r>
      <w:r>
        <w:rPr>
          <w:rFonts w:hint="default" w:ascii="Times New Roman" w:hAnsi="Times New Roman" w:eastAsia="宋体" w:cs="Times New Roman"/>
          <w:kern w:val="0"/>
          <w:sz w:val="24"/>
          <w:u w:val="single"/>
          <w:lang w:eastAsia="zh-CN"/>
        </w:rPr>
        <w:t>）</w:t>
      </w:r>
      <w:r>
        <w:rPr>
          <w:rFonts w:hint="default" w:ascii="Times New Roman" w:hAnsi="Times New Roman" w:eastAsia="宋体" w:cs="Times New Roman"/>
          <w:kern w:val="0"/>
          <w:sz w:val="24"/>
          <w:u w:val="single"/>
        </w:rPr>
        <w:t>《工业企业土壤和地下水自行监测 技术指南》（HJ1209-2021）</w:t>
      </w:r>
    </w:p>
    <w:p w14:paraId="608BEACF">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1"/>
        </w:rPr>
        <w:t>《催化燃烧法工业有机废气治理工程技术规范》（HJ 2027-2013）；</w:t>
      </w:r>
    </w:p>
    <w:p w14:paraId="1127F6DA">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sz w:val="24"/>
          <w:szCs w:val="21"/>
        </w:rPr>
        <w:t>（</w:t>
      </w:r>
      <w:r>
        <w:rPr>
          <w:rFonts w:hint="default" w:ascii="Times New Roman" w:hAnsi="Times New Roman" w:eastAsia="宋体" w:cs="Times New Roman"/>
          <w:sz w:val="24"/>
          <w:szCs w:val="21"/>
          <w:lang w:val="en-US" w:eastAsia="zh-CN"/>
        </w:rPr>
        <w:t>20</w:t>
      </w:r>
      <w:r>
        <w:rPr>
          <w:rFonts w:hint="default" w:ascii="Times New Roman" w:hAnsi="Times New Roman" w:eastAsia="宋体" w:cs="Times New Roman"/>
          <w:sz w:val="24"/>
          <w:szCs w:val="21"/>
        </w:rPr>
        <w:t>）</w:t>
      </w:r>
      <w:r>
        <w:rPr>
          <w:rFonts w:hint="default" w:ascii="Times New Roman" w:hAnsi="Times New Roman" w:eastAsia="宋体" w:cs="Times New Roman"/>
          <w:kern w:val="0"/>
          <w:sz w:val="24"/>
        </w:rPr>
        <w:t>《危险废物识别标志设置技术规范》（HJ 1276-2022）；</w:t>
      </w:r>
    </w:p>
    <w:p w14:paraId="3538056A">
      <w:pPr>
        <w:spacing w:line="360" w:lineRule="auto"/>
        <w:ind w:firstLine="480" w:firstLineChars="200"/>
        <w:rPr>
          <w:rFonts w:hint="default" w:ascii="Times New Roman" w:hAnsi="Times New Roman" w:eastAsia="宋体" w:cs="Times New Roman"/>
          <w:kern w:val="0"/>
          <w:sz w:val="24"/>
          <w:lang w:eastAsia="zh-CN"/>
        </w:rPr>
      </w:pPr>
      <w:r>
        <w:rPr>
          <w:rFonts w:hint="default" w:ascii="Times New Roman" w:hAnsi="Times New Roman" w:eastAsia="宋体" w:cs="Times New Roman"/>
          <w:kern w:val="0"/>
          <w:sz w:val="24"/>
        </w:rPr>
        <w:t>（2</w:t>
      </w:r>
      <w:r>
        <w:rPr>
          <w:rFonts w:hint="default" w:ascii="Times New Roman" w:hAnsi="Times New Roman" w:eastAsia="宋体" w:cs="Times New Roman"/>
          <w:kern w:val="0"/>
          <w:sz w:val="24"/>
          <w:lang w:val="en-US" w:eastAsia="zh-CN"/>
        </w:rPr>
        <w:t>1</w:t>
      </w:r>
      <w:r>
        <w:rPr>
          <w:rFonts w:hint="default" w:ascii="Times New Roman" w:hAnsi="Times New Roman" w:eastAsia="宋体" w:cs="Times New Roman"/>
          <w:kern w:val="0"/>
          <w:sz w:val="24"/>
        </w:rPr>
        <w:t>）《排污单位污染物排放口二维码标识技术规范》（HJ 1297-2023）</w:t>
      </w:r>
      <w:r>
        <w:rPr>
          <w:rFonts w:hint="default" w:ascii="Times New Roman" w:hAnsi="Times New Roman" w:eastAsia="宋体" w:cs="Times New Roman"/>
          <w:kern w:val="0"/>
          <w:sz w:val="24"/>
          <w:lang w:eastAsia="zh-CN"/>
        </w:rPr>
        <w:t>；</w:t>
      </w:r>
    </w:p>
    <w:p w14:paraId="2B07EF2B">
      <w:pPr>
        <w:spacing w:line="360" w:lineRule="auto"/>
        <w:ind w:firstLine="480" w:firstLineChars="200"/>
        <w:rPr>
          <w:rFonts w:hint="default" w:ascii="Times New Roman" w:hAnsi="Times New Roman" w:eastAsia="宋体" w:cs="Times New Roman"/>
          <w:kern w:val="0"/>
          <w:sz w:val="24"/>
          <w:u w:val="single"/>
          <w:lang w:val="en-US" w:eastAsia="zh-CN"/>
        </w:rPr>
      </w:pPr>
      <w:r>
        <w:rPr>
          <w:rFonts w:hint="default" w:ascii="Times New Roman" w:hAnsi="Times New Roman" w:eastAsia="宋体" w:cs="Times New Roman"/>
          <w:kern w:val="0"/>
          <w:sz w:val="24"/>
          <w:u w:val="single"/>
          <w:lang w:val="en-US" w:eastAsia="zh-CN"/>
        </w:rPr>
        <w:t>（22）《危险废物管理计划和管理台账制定技术导则》（HJ1259-2022）；</w:t>
      </w:r>
    </w:p>
    <w:p w14:paraId="4495E51D">
      <w:pPr>
        <w:spacing w:line="360" w:lineRule="auto"/>
        <w:ind w:firstLine="480" w:firstLineChars="200"/>
        <w:rPr>
          <w:rFonts w:hint="default" w:ascii="Times New Roman" w:hAnsi="Times New Roman" w:eastAsia="宋体" w:cs="Times New Roman"/>
          <w:kern w:val="0"/>
          <w:sz w:val="24"/>
          <w:u w:val="single"/>
          <w:lang w:val="en-US" w:eastAsia="zh-CN"/>
        </w:rPr>
      </w:pPr>
      <w:r>
        <w:rPr>
          <w:rFonts w:hint="default" w:ascii="Times New Roman" w:hAnsi="Times New Roman" w:eastAsia="宋体" w:cs="Times New Roman"/>
          <w:kern w:val="0"/>
          <w:sz w:val="24"/>
          <w:u w:val="single"/>
          <w:lang w:val="en-US" w:eastAsia="zh-CN"/>
        </w:rPr>
        <w:t>（23）《一般工业固体废物管理台账制定指南》（生态环境部公告2021年第82号）。</w:t>
      </w:r>
    </w:p>
    <w:p w14:paraId="24D26CE4">
      <w:pPr>
        <w:pStyle w:val="4"/>
        <w:tabs>
          <w:tab w:val="left" w:pos="900"/>
        </w:tabs>
        <w:spacing w:before="0" w:after="0" w:line="360" w:lineRule="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2.1.5相关技术文件和资料</w:t>
      </w:r>
    </w:p>
    <w:p w14:paraId="5B2DBF5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（1）项目环评委托书；  </w:t>
      </w:r>
    </w:p>
    <w:p w14:paraId="19309571">
      <w:pPr>
        <w:autoSpaceDE w:val="0"/>
        <w:autoSpaceDN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（2）《</w:t>
      </w:r>
      <w:r>
        <w:rPr>
          <w:rFonts w:hint="default" w:ascii="Times New Roman" w:hAnsi="Times New Roman" w:eastAsia="宋体" w:cs="Times New Roman"/>
          <w:sz w:val="24"/>
          <w:szCs w:val="24"/>
        </w:rPr>
        <w:t>松木经开区循环经济产业基地项目废旧金属塑料危险废物综合利用子项目可行性研究报告</w:t>
      </w:r>
      <w:r>
        <w:rPr>
          <w:rFonts w:hint="default" w:ascii="Times New Roman" w:hAnsi="Times New Roman" w:eastAsia="宋体" w:cs="Times New Roman"/>
          <w:kern w:val="0"/>
          <w:sz w:val="24"/>
          <w:szCs w:val="24"/>
        </w:rPr>
        <w:t>》（2022年12月）；</w:t>
      </w:r>
    </w:p>
    <w:p w14:paraId="54AEB3A7">
      <w:pPr>
        <w:spacing w:line="360" w:lineRule="auto"/>
        <w:ind w:firstLine="480" w:firstLineChars="200"/>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kern w:val="0"/>
          <w:sz w:val="24"/>
          <w:szCs w:val="24"/>
        </w:rPr>
        <w:t>（3）</w:t>
      </w:r>
      <w:r>
        <w:rPr>
          <w:rFonts w:hint="default" w:ascii="Times New Roman" w:hAnsi="Times New Roman" w:eastAsia="宋体" w:cs="Times New Roman"/>
          <w:sz w:val="24"/>
          <w:szCs w:val="28"/>
        </w:rPr>
        <w:t>《衡阳湘环环保科技有限公司年收集贮存9800吨危险废物项目环境影响报告表》（2022年4月）（衡环松评[2022]5号）</w:t>
      </w:r>
      <w:r>
        <w:rPr>
          <w:rFonts w:hint="default" w:ascii="Times New Roman" w:hAnsi="Times New Roman" w:eastAsia="宋体" w:cs="Times New Roman"/>
          <w:color w:val="000000"/>
          <w:sz w:val="24"/>
          <w:szCs w:val="24"/>
          <w:lang w:val="en-US" w:eastAsia="zh-CN"/>
        </w:rPr>
        <w:t>;</w:t>
      </w:r>
    </w:p>
    <w:p w14:paraId="221AD28D">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rPr>
        <w:t>（4）《</w:t>
      </w:r>
      <w:r>
        <w:rPr>
          <w:rFonts w:hint="default" w:ascii="Times New Roman" w:hAnsi="Times New Roman" w:eastAsia="宋体" w:cs="Times New Roman"/>
          <w:sz w:val="24"/>
          <w:szCs w:val="28"/>
        </w:rPr>
        <w:t>衡阳湘环环保科技有限公司突发环境事件</w:t>
      </w:r>
      <w:r>
        <w:rPr>
          <w:rFonts w:hint="eastAsia" w:ascii="Times New Roman" w:hAnsi="Times New Roman" w:cs="Times New Roman"/>
          <w:sz w:val="24"/>
          <w:szCs w:val="28"/>
          <w:lang w:eastAsia="zh-CN"/>
        </w:rPr>
        <w:t>应急预案</w:t>
      </w:r>
      <w:r>
        <w:rPr>
          <w:rFonts w:hint="default" w:ascii="Times New Roman" w:hAnsi="Times New Roman" w:eastAsia="宋体" w:cs="Times New Roman"/>
          <w:color w:val="000000"/>
          <w:sz w:val="24"/>
          <w:szCs w:val="24"/>
        </w:rPr>
        <w:t>》（2022年7月）</w:t>
      </w:r>
      <w:r>
        <w:rPr>
          <w:rFonts w:hint="default" w:ascii="Times New Roman" w:hAnsi="Times New Roman" w:eastAsia="宋体" w:cs="Times New Roman"/>
          <w:color w:val="000000"/>
          <w:sz w:val="24"/>
          <w:szCs w:val="24"/>
          <w:lang w:val="en-US" w:eastAsia="zh-CN"/>
        </w:rPr>
        <w:t>;</w:t>
      </w:r>
    </w:p>
    <w:p w14:paraId="5AE93A37">
      <w:pPr>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（5）</w:t>
      </w:r>
      <w:r>
        <w:rPr>
          <w:rFonts w:hint="default" w:ascii="Times New Roman" w:hAnsi="Times New Roman" w:eastAsia="宋体" w:cs="Times New Roman"/>
          <w:sz w:val="24"/>
          <w:szCs w:val="28"/>
        </w:rPr>
        <w:t>《衡阳湘环环保科技有限公司年收集贮存9800吨危险废物项目竣工环境保护验收报告》</w:t>
      </w:r>
      <w:r>
        <w:rPr>
          <w:rFonts w:hint="default" w:ascii="Times New Roman" w:hAnsi="Times New Roman" w:eastAsia="宋体" w:cs="Times New Roman"/>
          <w:sz w:val="24"/>
          <w:szCs w:val="28"/>
          <w:lang w:eastAsia="zh-CN"/>
        </w:rPr>
        <w:t>（</w:t>
      </w:r>
      <w:r>
        <w:rPr>
          <w:rFonts w:hint="default" w:ascii="Times New Roman" w:hAnsi="Times New Roman" w:eastAsia="宋体" w:cs="Times New Roman"/>
          <w:sz w:val="24"/>
          <w:szCs w:val="28"/>
          <w:lang w:val="en-US" w:eastAsia="zh-CN"/>
        </w:rPr>
        <w:t>2023年5月</w:t>
      </w:r>
      <w:r>
        <w:rPr>
          <w:rFonts w:hint="default" w:ascii="Times New Roman" w:hAnsi="Times New Roman" w:eastAsia="宋体" w:cs="Times New Roman"/>
          <w:sz w:val="24"/>
          <w:szCs w:val="28"/>
          <w:lang w:eastAsia="zh-CN"/>
        </w:rPr>
        <w:t>）；</w:t>
      </w:r>
    </w:p>
    <w:p w14:paraId="043D16C0">
      <w:pPr>
        <w:autoSpaceDE w:val="0"/>
        <w:autoSpaceDN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（5）建设单位提供的其它技术资料。</w:t>
      </w:r>
    </w:p>
    <w:p w14:paraId="1BF525AF">
      <w:pPr>
        <w:pStyle w:val="3"/>
        <w:spacing w:before="0" w:after="0" w:line="360" w:lineRule="auto"/>
        <w:jc w:val="left"/>
        <w:rPr>
          <w:rFonts w:hint="default" w:ascii="Times New Roman" w:hAnsi="Times New Roman" w:eastAsia="宋体" w:cs="Times New Roman"/>
          <w:kern w:val="0"/>
          <w:sz w:val="30"/>
          <w:szCs w:val="28"/>
        </w:rPr>
      </w:pPr>
      <w:bookmarkStart w:id="142" w:name="_Toc405088596"/>
      <w:bookmarkStart w:id="143" w:name="_Toc408731973"/>
      <w:bookmarkStart w:id="144" w:name="_Toc406921567"/>
      <w:bookmarkStart w:id="145" w:name="_Toc416484709"/>
      <w:bookmarkStart w:id="146" w:name="_Toc406905402"/>
      <w:bookmarkStart w:id="147" w:name="_Toc407156609"/>
      <w:bookmarkStart w:id="148" w:name="_Toc405086765"/>
      <w:bookmarkStart w:id="149" w:name="_Toc407510724"/>
      <w:bookmarkStart w:id="150" w:name="_Toc408730542"/>
      <w:bookmarkStart w:id="151" w:name="_Toc407173557"/>
      <w:bookmarkStart w:id="152" w:name="_Toc405628068"/>
      <w:bookmarkStart w:id="153" w:name="_Toc18998232"/>
      <w:bookmarkStart w:id="154" w:name="_Toc41395072"/>
      <w:bookmarkStart w:id="155" w:name="_Toc123733071"/>
      <w:bookmarkStart w:id="156" w:name="_Toc24310"/>
      <w:bookmarkStart w:id="157" w:name="_Toc61361937"/>
      <w:bookmarkStart w:id="158" w:name="_Toc106961866"/>
      <w:bookmarkStart w:id="159" w:name="_Toc87016969"/>
      <w:bookmarkStart w:id="160" w:name="_Toc3908026"/>
      <w:bookmarkStart w:id="161" w:name="_Toc1328324"/>
      <w:bookmarkStart w:id="162" w:name="_Toc47447240"/>
      <w:bookmarkStart w:id="163" w:name="_Toc17024336"/>
      <w:bookmarkStart w:id="164" w:name="_Toc57726494"/>
      <w:bookmarkStart w:id="165" w:name="_Toc23842884"/>
      <w:bookmarkStart w:id="166" w:name="_Toc50968512"/>
      <w:bookmarkStart w:id="167" w:name="_Toc8400292"/>
      <w:bookmarkStart w:id="168" w:name="_Toc67561707"/>
      <w:bookmarkStart w:id="169" w:name="_Toc39909204"/>
      <w:r>
        <w:rPr>
          <w:rFonts w:hint="default" w:ascii="Times New Roman" w:hAnsi="Times New Roman" w:eastAsia="宋体" w:cs="Times New Roman"/>
          <w:kern w:val="0"/>
          <w:sz w:val="30"/>
          <w:szCs w:val="28"/>
        </w:rPr>
        <w:t>2.2评价</w:t>
      </w:r>
      <w:bookmarkEnd w:id="142"/>
      <w:bookmarkEnd w:id="143"/>
      <w:bookmarkEnd w:id="144"/>
      <w:bookmarkEnd w:id="145"/>
      <w:bookmarkEnd w:id="146"/>
      <w:bookmarkEnd w:id="147"/>
      <w:bookmarkEnd w:id="148"/>
      <w:bookmarkEnd w:id="149"/>
      <w:bookmarkEnd w:id="150"/>
      <w:bookmarkEnd w:id="151"/>
      <w:bookmarkEnd w:id="152"/>
      <w:r>
        <w:rPr>
          <w:rFonts w:hint="default" w:ascii="Times New Roman" w:hAnsi="Times New Roman" w:eastAsia="宋体" w:cs="Times New Roman"/>
          <w:kern w:val="0"/>
          <w:sz w:val="30"/>
          <w:szCs w:val="28"/>
        </w:rPr>
        <w:t>内容</w:t>
      </w:r>
      <w:bookmarkEnd w:id="153"/>
      <w:bookmarkEnd w:id="154"/>
      <w:r>
        <w:rPr>
          <w:rFonts w:hint="default" w:ascii="Times New Roman" w:hAnsi="Times New Roman" w:eastAsia="宋体" w:cs="Times New Roman"/>
          <w:kern w:val="0"/>
          <w:sz w:val="30"/>
          <w:szCs w:val="28"/>
        </w:rPr>
        <w:t>及评价工作重点</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73E4CEEA">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000000"/>
        </w:rPr>
        <w:t>根据项目污染物排放特征及周围环境特点，本次环境影响评价工作以工程分析为基础，评价内容主要包括工程分析</w:t>
      </w:r>
      <w:r>
        <w:rPr>
          <w:rFonts w:hint="default" w:ascii="Times New Roman" w:hAnsi="Times New Roman" w:eastAsia="宋体" w:cs="Times New Roman"/>
        </w:rPr>
        <w:t>、环境现状调查与评价、环境影响预测与评价、环境保护措施及可行性论证、环境风险评价、环境经济损益分析、环境保护管理及监测计划、结论和建议</w:t>
      </w:r>
      <w:r>
        <w:rPr>
          <w:rFonts w:hint="default" w:ascii="Times New Roman" w:hAnsi="Times New Roman" w:eastAsia="宋体" w:cs="Times New Roman"/>
          <w:color w:val="000000"/>
        </w:rPr>
        <w:t>等内容。以工程分析</w:t>
      </w:r>
      <w:r>
        <w:rPr>
          <w:rFonts w:hint="default" w:ascii="Times New Roman" w:hAnsi="Times New Roman" w:eastAsia="宋体" w:cs="Times New Roman"/>
        </w:rPr>
        <w:t>、环境影响预测与评价、环境保护措施及可行性论证、环境风险评价作为评价工作的重点。</w:t>
      </w:r>
    </w:p>
    <w:p w14:paraId="5F78C66C">
      <w:pPr>
        <w:pStyle w:val="3"/>
        <w:spacing w:before="0" w:after="0" w:line="360" w:lineRule="auto"/>
        <w:jc w:val="left"/>
        <w:rPr>
          <w:rFonts w:hint="default" w:ascii="Times New Roman" w:hAnsi="Times New Roman" w:eastAsia="宋体" w:cs="Times New Roman"/>
          <w:kern w:val="0"/>
          <w:sz w:val="30"/>
          <w:szCs w:val="28"/>
        </w:rPr>
      </w:pPr>
      <w:bookmarkStart w:id="170" w:name="_Toc8400293"/>
      <w:bookmarkStart w:id="171" w:name="_Toc123733072"/>
      <w:bookmarkStart w:id="172" w:name="_Toc47447241"/>
      <w:bookmarkStart w:id="173" w:name="_Toc50968513"/>
      <w:bookmarkStart w:id="174" w:name="_Toc17024337"/>
      <w:bookmarkStart w:id="175" w:name="_Toc39909205"/>
      <w:bookmarkStart w:id="176" w:name="_Toc24228"/>
      <w:bookmarkStart w:id="177" w:name="_Toc61361938"/>
      <w:bookmarkStart w:id="178" w:name="_Toc3908027"/>
      <w:bookmarkStart w:id="179" w:name="_Toc23842885"/>
      <w:bookmarkStart w:id="180" w:name="_Toc87016970"/>
      <w:bookmarkStart w:id="181" w:name="_Toc1328325"/>
      <w:bookmarkStart w:id="182" w:name="_Toc57726495"/>
      <w:bookmarkStart w:id="183" w:name="_Toc67561708"/>
      <w:bookmarkStart w:id="184" w:name="_Toc106961867"/>
      <w:r>
        <w:rPr>
          <w:rFonts w:hint="default" w:ascii="Times New Roman" w:hAnsi="Times New Roman" w:eastAsia="宋体" w:cs="Times New Roman"/>
          <w:kern w:val="0"/>
          <w:sz w:val="30"/>
          <w:szCs w:val="28"/>
        </w:rPr>
        <w:t>2.3评价工作等级和范围</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14:paraId="4906D674">
      <w:pPr>
        <w:pStyle w:val="4"/>
        <w:tabs>
          <w:tab w:val="left" w:pos="900"/>
        </w:tabs>
        <w:spacing w:before="0" w:after="0" w:line="360" w:lineRule="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2.3.1评价工作等级</w:t>
      </w:r>
    </w:p>
    <w:p w14:paraId="5E9D779B">
      <w:pPr>
        <w:autoSpaceDE w:val="0"/>
        <w:autoSpaceDN w:val="0"/>
        <w:spacing w:line="360" w:lineRule="auto"/>
        <w:ind w:firstLine="482" w:firstLineChars="200"/>
        <w:jc w:val="left"/>
        <w:rPr>
          <w:rFonts w:hint="default" w:ascii="Times New Roman" w:hAnsi="Times New Roman" w:eastAsia="宋体" w:cs="Times New Roman"/>
          <w:b/>
          <w:kern w:val="0"/>
          <w:sz w:val="24"/>
          <w:szCs w:val="24"/>
          <w:u w:val="single"/>
        </w:rPr>
      </w:pPr>
      <w:r>
        <w:rPr>
          <w:rFonts w:hint="default" w:ascii="Times New Roman" w:hAnsi="Times New Roman" w:eastAsia="宋体" w:cs="Times New Roman"/>
          <w:b/>
          <w:kern w:val="0"/>
          <w:sz w:val="24"/>
          <w:szCs w:val="24"/>
          <w:u w:val="single"/>
        </w:rPr>
        <w:t>（1）大气环境影响评价等级</w:t>
      </w:r>
    </w:p>
    <w:p w14:paraId="08372405">
      <w:pPr>
        <w:spacing w:line="360" w:lineRule="auto"/>
        <w:ind w:firstLine="422" w:firstLineChars="176"/>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14:paraId="3D0BE58C">
      <w:pPr>
        <w:pStyle w:val="41"/>
        <w:snapToGrid/>
        <w:ind w:firstLine="480"/>
        <w:rPr>
          <w:rFonts w:hint="default" w:ascii="Times New Roman" w:hAnsi="Times New Roman" w:eastAsia="宋体" w:cs="Times New Roman"/>
          <w:u w:val="single"/>
        </w:rPr>
      </w:pPr>
      <w:r>
        <w:rPr>
          <w:rFonts w:hint="default" w:ascii="Times New Roman" w:hAnsi="Times New Roman" w:eastAsia="宋体" w:cs="Times New Roman"/>
          <w:u w:val="single"/>
        </w:rPr>
        <w:t>P</w:t>
      </w:r>
      <w:r>
        <w:rPr>
          <w:rFonts w:hint="default" w:ascii="Times New Roman" w:hAnsi="Times New Roman" w:eastAsia="宋体" w:cs="Times New Roman"/>
          <w:u w:val="single"/>
          <w:vertAlign w:val="subscript"/>
        </w:rPr>
        <w:t>max</w:t>
      </w:r>
      <w:r>
        <w:rPr>
          <w:rFonts w:hint="default" w:ascii="Times New Roman" w:hAnsi="Times New Roman" w:eastAsia="宋体" w:cs="Times New Roman"/>
          <w:u w:val="single"/>
        </w:rPr>
        <w:t>及D</w:t>
      </w:r>
      <w:r>
        <w:rPr>
          <w:rFonts w:hint="default" w:ascii="Times New Roman" w:hAnsi="Times New Roman" w:eastAsia="宋体" w:cs="Times New Roman"/>
          <w:u w:val="single"/>
          <w:vertAlign w:val="subscript"/>
        </w:rPr>
        <w:t>10%</w:t>
      </w:r>
      <w:r>
        <w:rPr>
          <w:rFonts w:hint="default" w:ascii="Times New Roman" w:hAnsi="Times New Roman" w:eastAsia="宋体" w:cs="Times New Roman"/>
          <w:u w:val="single"/>
        </w:rPr>
        <w:t>的确定：</w:t>
      </w:r>
    </w:p>
    <w:p w14:paraId="367C2605">
      <w:pPr>
        <w:spacing w:line="360" w:lineRule="auto"/>
        <w:ind w:firstLine="422" w:firstLineChars="176"/>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依据《环境影响评价技术导则 大气环境》（HJ2.2-2008）中最大地面浓度占标率P</w:t>
      </w:r>
      <w:r>
        <w:rPr>
          <w:rFonts w:hint="default" w:ascii="Times New Roman" w:hAnsi="Times New Roman" w:eastAsia="宋体" w:cs="Times New Roman"/>
          <w:i/>
          <w:sz w:val="24"/>
          <w:szCs w:val="24"/>
          <w:u w:val="single"/>
        </w:rPr>
        <w:t>i</w:t>
      </w:r>
      <w:r>
        <w:rPr>
          <w:rFonts w:hint="default" w:ascii="Times New Roman" w:hAnsi="Times New Roman" w:eastAsia="宋体" w:cs="Times New Roman"/>
          <w:sz w:val="24"/>
          <w:szCs w:val="24"/>
          <w:u w:val="single"/>
        </w:rPr>
        <w:t>定义如下：</w:t>
      </w:r>
    </w:p>
    <w:p w14:paraId="5BBA278A">
      <w:pPr>
        <w:spacing w:line="360" w:lineRule="auto"/>
        <w:ind w:firstLine="422" w:firstLineChars="176"/>
        <w:jc w:val="center"/>
        <w:rPr>
          <w:rFonts w:hint="default" w:ascii="Times New Roman" w:hAnsi="Times New Roman" w:eastAsia="宋体" w:cs="Times New Roman"/>
          <w:sz w:val="24"/>
          <w:szCs w:val="24"/>
          <w:u w:val="single"/>
        </w:rPr>
      </w:pPr>
      <m:oMathPara>
        <m:oMath>
          <m:sSub>
            <m:sSubPr>
              <m:ctrlPr>
                <w:rPr>
                  <w:rFonts w:hint="default" w:ascii="Cambria Math" w:hAnsi="Cambria Math" w:eastAsia="宋体" w:cs="Times New Roman"/>
                  <w:sz w:val="24"/>
                  <w:szCs w:val="24"/>
                  <w:u w:val="single"/>
                </w:rPr>
              </m:ctrlPr>
            </m:sSubPr>
            <m:e>
              <m:r>
                <m:rPr/>
                <w:rPr>
                  <w:rFonts w:hint="default" w:ascii="Cambria Math" w:hAnsi="Cambria Math" w:eastAsia="宋体" w:cs="Times New Roman"/>
                  <w:sz w:val="24"/>
                  <w:szCs w:val="24"/>
                  <w:u w:val="single"/>
                </w:rPr>
                <m:t>P</m:t>
              </m:r>
              <m:ctrlPr>
                <w:rPr>
                  <w:rFonts w:hint="default" w:ascii="Cambria Math" w:hAnsi="Cambria Math" w:eastAsia="宋体" w:cs="Times New Roman"/>
                  <w:sz w:val="24"/>
                  <w:szCs w:val="24"/>
                  <w:u w:val="single"/>
                </w:rPr>
              </m:ctrlPr>
            </m:e>
            <m:sub>
              <m:r>
                <m:rPr/>
                <w:rPr>
                  <w:rFonts w:hint="default" w:ascii="Cambria Math" w:hAnsi="Cambria Math" w:eastAsia="宋体" w:cs="Times New Roman"/>
                  <w:sz w:val="24"/>
                  <w:szCs w:val="24"/>
                  <w:u w:val="single"/>
                </w:rPr>
                <m:t>i</m:t>
              </m:r>
              <m:ctrlPr>
                <w:rPr>
                  <w:rFonts w:hint="default" w:ascii="Cambria Math" w:hAnsi="Cambria Math" w:eastAsia="宋体" w:cs="Times New Roman"/>
                  <w:sz w:val="24"/>
                  <w:szCs w:val="24"/>
                  <w:u w:val="single"/>
                </w:rPr>
              </m:ctrlPr>
            </m:sub>
          </m:sSub>
          <m:r>
            <m:rPr>
              <m:sty m:val="p"/>
            </m:rPr>
            <w:rPr>
              <w:rFonts w:hint="default" w:ascii="Cambria Math" w:hAnsi="Cambria Math" w:eastAsia="宋体" w:cs="Times New Roman"/>
              <w:sz w:val="24"/>
              <w:szCs w:val="24"/>
              <w:u w:val="single"/>
            </w:rPr>
            <m:t>=</m:t>
          </m:r>
          <m:f>
            <m:fPr>
              <m:ctrlPr>
                <w:rPr>
                  <w:rFonts w:hint="default" w:ascii="Cambria Math" w:hAnsi="Cambria Math" w:eastAsia="宋体" w:cs="Times New Roman"/>
                  <w:sz w:val="24"/>
                  <w:szCs w:val="24"/>
                  <w:u w:val="single"/>
                </w:rPr>
              </m:ctrlPr>
            </m:fPr>
            <m:num>
              <m:sSub>
                <m:sSubPr>
                  <m:ctrlPr>
                    <w:rPr>
                      <w:rFonts w:hint="default" w:ascii="Cambria Math" w:hAnsi="Cambria Math" w:eastAsia="宋体" w:cs="Times New Roman"/>
                      <w:i/>
                      <w:sz w:val="24"/>
                      <w:szCs w:val="24"/>
                      <w:u w:val="single"/>
                    </w:rPr>
                  </m:ctrlPr>
                </m:sSubPr>
                <m:e>
                  <m:r>
                    <m:rPr/>
                    <w:rPr>
                      <w:rFonts w:hint="default" w:ascii="Cambria Math" w:hAnsi="Cambria Math" w:eastAsia="宋体" w:cs="Times New Roman"/>
                      <w:sz w:val="24"/>
                      <w:szCs w:val="24"/>
                      <w:u w:val="single"/>
                    </w:rPr>
                    <m:t>C</m:t>
                  </m:r>
                  <m:ctrlPr>
                    <w:rPr>
                      <w:rFonts w:hint="default" w:ascii="Cambria Math" w:hAnsi="Cambria Math" w:eastAsia="宋体" w:cs="Times New Roman"/>
                      <w:i/>
                      <w:sz w:val="24"/>
                      <w:szCs w:val="24"/>
                      <w:u w:val="single"/>
                    </w:rPr>
                  </m:ctrlPr>
                </m:e>
                <m:sub>
                  <m:r>
                    <m:rPr/>
                    <w:rPr>
                      <w:rFonts w:hint="default" w:ascii="Cambria Math" w:hAnsi="Cambria Math" w:eastAsia="宋体" w:cs="Times New Roman"/>
                      <w:sz w:val="24"/>
                      <w:szCs w:val="24"/>
                      <w:u w:val="single"/>
                    </w:rPr>
                    <m:t>i</m:t>
                  </m:r>
                  <m:ctrlPr>
                    <w:rPr>
                      <w:rFonts w:hint="default" w:ascii="Cambria Math" w:hAnsi="Cambria Math" w:eastAsia="宋体" w:cs="Times New Roman"/>
                      <w:i/>
                      <w:sz w:val="24"/>
                      <w:szCs w:val="24"/>
                      <w:u w:val="single"/>
                    </w:rPr>
                  </m:ctrlPr>
                </m:sub>
              </m:sSub>
              <m:ctrlPr>
                <w:rPr>
                  <w:rFonts w:hint="default" w:ascii="Cambria Math" w:hAnsi="Cambria Math" w:eastAsia="宋体" w:cs="Times New Roman"/>
                  <w:sz w:val="24"/>
                  <w:szCs w:val="24"/>
                  <w:u w:val="single"/>
                </w:rPr>
              </m:ctrlPr>
            </m:num>
            <m:den>
              <m:sSub>
                <m:sSubPr>
                  <m:ctrlPr>
                    <w:rPr>
                      <w:rFonts w:hint="default" w:ascii="Cambria Math" w:hAnsi="Cambria Math" w:eastAsia="宋体" w:cs="Times New Roman"/>
                      <w:i/>
                      <w:sz w:val="24"/>
                      <w:szCs w:val="24"/>
                      <w:u w:val="single"/>
                    </w:rPr>
                  </m:ctrlPr>
                </m:sSubPr>
                <m:e>
                  <m:r>
                    <m:rPr/>
                    <w:rPr>
                      <w:rFonts w:hint="default" w:ascii="Cambria Math" w:hAnsi="Cambria Math" w:eastAsia="宋体" w:cs="Times New Roman"/>
                      <w:sz w:val="24"/>
                      <w:szCs w:val="24"/>
                      <w:u w:val="single"/>
                    </w:rPr>
                    <m:t>C</m:t>
                  </m:r>
                  <m:ctrlPr>
                    <w:rPr>
                      <w:rFonts w:hint="default" w:ascii="Cambria Math" w:hAnsi="Cambria Math" w:eastAsia="宋体" w:cs="Times New Roman"/>
                      <w:i/>
                      <w:sz w:val="24"/>
                      <w:szCs w:val="24"/>
                      <w:u w:val="single"/>
                    </w:rPr>
                  </m:ctrlPr>
                </m:e>
                <m:sub>
                  <m:r>
                    <m:rPr/>
                    <w:rPr>
                      <w:rFonts w:hint="default" w:ascii="Cambria Math" w:hAnsi="Cambria Math" w:eastAsia="宋体" w:cs="Times New Roman"/>
                      <w:sz w:val="24"/>
                      <w:szCs w:val="24"/>
                      <w:u w:val="single"/>
                    </w:rPr>
                    <m:t>0i</m:t>
                  </m:r>
                  <m:ctrlPr>
                    <w:rPr>
                      <w:rFonts w:hint="default" w:ascii="Cambria Math" w:hAnsi="Cambria Math" w:eastAsia="宋体" w:cs="Times New Roman"/>
                      <w:i/>
                      <w:sz w:val="24"/>
                      <w:szCs w:val="24"/>
                      <w:u w:val="single"/>
                    </w:rPr>
                  </m:ctrlPr>
                </m:sub>
              </m:sSub>
              <m:ctrlPr>
                <w:rPr>
                  <w:rFonts w:hint="default" w:ascii="Cambria Math" w:hAnsi="Cambria Math" w:eastAsia="宋体" w:cs="Times New Roman"/>
                  <w:sz w:val="24"/>
                  <w:szCs w:val="24"/>
                  <w:u w:val="single"/>
                </w:rPr>
              </m:ctrlPr>
            </m:den>
          </m:f>
          <m:r>
            <m:rPr/>
            <w:rPr>
              <w:rFonts w:hint="default" w:ascii="Cambria Math" w:hAnsi="Cambria Math" w:eastAsia="宋体" w:cs="Times New Roman"/>
              <w:sz w:val="24"/>
              <w:szCs w:val="24"/>
              <w:u w:val="single"/>
            </w:rPr>
            <m:t>×100%</m:t>
          </m:r>
        </m:oMath>
      </m:oMathPara>
    </w:p>
    <w:p w14:paraId="41216D19">
      <w:pPr>
        <w:spacing w:line="360" w:lineRule="auto"/>
        <w:ind w:firstLine="422" w:firstLineChars="176"/>
        <w:jc w:val="left"/>
        <w:rPr>
          <w:rFonts w:hint="default" w:ascii="Times New Roman" w:hAnsi="Times New Roman" w:eastAsia="宋体" w:cs="Times New Roman"/>
          <w:sz w:val="24"/>
          <w:szCs w:val="24"/>
          <w:u w:val="single"/>
        </w:rPr>
      </w:pPr>
      <m:oMath>
        <m:sSub>
          <m:sSubPr>
            <m:ctrlPr>
              <w:rPr>
                <w:rFonts w:hint="default" w:ascii="Cambria Math" w:hAnsi="Cambria Math" w:eastAsia="宋体" w:cs="Times New Roman"/>
                <w:sz w:val="24"/>
                <w:szCs w:val="24"/>
                <w:u w:val="single"/>
              </w:rPr>
            </m:ctrlPr>
          </m:sSubPr>
          <m:e>
            <m:r>
              <m:rPr/>
              <w:rPr>
                <w:rFonts w:hint="default" w:ascii="Cambria Math" w:hAnsi="Cambria Math" w:eastAsia="宋体" w:cs="Times New Roman"/>
                <w:sz w:val="24"/>
                <w:szCs w:val="24"/>
                <w:u w:val="single"/>
              </w:rPr>
              <m:t>P</m:t>
            </m:r>
            <m:ctrlPr>
              <w:rPr>
                <w:rFonts w:hint="default" w:ascii="Cambria Math" w:hAnsi="Cambria Math" w:eastAsia="宋体" w:cs="Times New Roman"/>
                <w:sz w:val="24"/>
                <w:szCs w:val="24"/>
                <w:u w:val="single"/>
              </w:rPr>
            </m:ctrlPr>
          </m:e>
          <m:sub>
            <m:r>
              <m:rPr/>
              <w:rPr>
                <w:rFonts w:hint="default" w:ascii="Cambria Math" w:hAnsi="Cambria Math" w:eastAsia="宋体" w:cs="Times New Roman"/>
                <w:sz w:val="24"/>
                <w:szCs w:val="24"/>
                <w:u w:val="single"/>
              </w:rPr>
              <m:t>i</m:t>
            </m:r>
            <m:ctrlPr>
              <w:rPr>
                <w:rFonts w:hint="default" w:ascii="Cambria Math" w:hAnsi="Cambria Math" w:eastAsia="宋体" w:cs="Times New Roman"/>
                <w:sz w:val="24"/>
                <w:szCs w:val="24"/>
                <w:u w:val="single"/>
              </w:rPr>
            </m:ctrlPr>
          </m:sub>
        </m:sSub>
      </m:oMath>
      <w:r>
        <w:rPr>
          <w:rFonts w:hint="default" w:ascii="Times New Roman" w:hAnsi="Times New Roman" w:eastAsia="宋体" w:cs="Times New Roman"/>
          <w:sz w:val="24"/>
          <w:szCs w:val="24"/>
          <w:u w:val="single"/>
        </w:rPr>
        <w:t xml:space="preserve"> ——第i个污染物的最大地面空气质量浓度 占标率，%；</w:t>
      </w:r>
    </w:p>
    <w:p w14:paraId="3746BB11">
      <w:pPr>
        <w:spacing w:line="360" w:lineRule="auto"/>
        <w:ind w:firstLine="422" w:firstLineChars="176"/>
        <w:jc w:val="left"/>
        <w:rPr>
          <w:rFonts w:hint="default" w:ascii="Times New Roman" w:hAnsi="Times New Roman" w:eastAsia="宋体" w:cs="Times New Roman"/>
          <w:sz w:val="24"/>
          <w:szCs w:val="24"/>
          <w:u w:val="single"/>
        </w:rPr>
      </w:pPr>
      <m:oMath>
        <m:sSub>
          <m:sSubPr>
            <m:ctrlPr>
              <w:rPr>
                <w:rFonts w:hint="default" w:ascii="Cambria Math" w:hAnsi="Cambria Math" w:eastAsia="宋体" w:cs="Times New Roman"/>
                <w:i/>
                <w:sz w:val="24"/>
                <w:szCs w:val="24"/>
                <w:u w:val="single"/>
              </w:rPr>
            </m:ctrlPr>
          </m:sSubPr>
          <m:e>
            <m:r>
              <m:rPr/>
              <w:rPr>
                <w:rFonts w:hint="default" w:ascii="Cambria Math" w:hAnsi="Cambria Math" w:eastAsia="宋体" w:cs="Times New Roman"/>
                <w:sz w:val="24"/>
                <w:szCs w:val="24"/>
                <w:u w:val="single"/>
              </w:rPr>
              <m:t>C</m:t>
            </m:r>
            <m:ctrlPr>
              <w:rPr>
                <w:rFonts w:hint="default" w:ascii="Cambria Math" w:hAnsi="Cambria Math" w:eastAsia="宋体" w:cs="Times New Roman"/>
                <w:i/>
                <w:sz w:val="24"/>
                <w:szCs w:val="24"/>
                <w:u w:val="single"/>
              </w:rPr>
            </m:ctrlPr>
          </m:e>
          <m:sub>
            <m:r>
              <m:rPr/>
              <w:rPr>
                <w:rFonts w:hint="default" w:ascii="Cambria Math" w:hAnsi="Cambria Math" w:eastAsia="宋体" w:cs="Times New Roman"/>
                <w:sz w:val="24"/>
                <w:szCs w:val="24"/>
                <w:u w:val="single"/>
              </w:rPr>
              <m:t>i</m:t>
            </m:r>
            <m:ctrlPr>
              <w:rPr>
                <w:rFonts w:hint="default" w:ascii="Cambria Math" w:hAnsi="Cambria Math" w:eastAsia="宋体" w:cs="Times New Roman"/>
                <w:i/>
                <w:sz w:val="24"/>
                <w:szCs w:val="24"/>
                <w:u w:val="single"/>
              </w:rPr>
            </m:ctrlPr>
          </m:sub>
        </m:sSub>
      </m:oMath>
      <w:r>
        <w:rPr>
          <w:rFonts w:hint="default" w:ascii="Times New Roman" w:hAnsi="Times New Roman" w:eastAsia="宋体" w:cs="Times New Roman"/>
          <w:sz w:val="24"/>
          <w:szCs w:val="24"/>
          <w:u w:val="single"/>
        </w:rPr>
        <w:t>——采用估算模型计算出的第i个污染物的最大1h地面空气质量浓度，μg/m</w:t>
      </w:r>
      <w:r>
        <w:rPr>
          <w:rFonts w:hint="default" w:ascii="Times New Roman" w:hAnsi="Times New Roman" w:eastAsia="宋体" w:cs="Times New Roman"/>
          <w:sz w:val="24"/>
          <w:szCs w:val="24"/>
          <w:u w:val="single"/>
          <w:vertAlign w:val="superscript"/>
        </w:rPr>
        <w:t>3</w:t>
      </w:r>
      <w:r>
        <w:rPr>
          <w:rFonts w:hint="default" w:ascii="Times New Roman" w:hAnsi="Times New Roman" w:eastAsia="宋体" w:cs="Times New Roman"/>
          <w:sz w:val="24"/>
          <w:szCs w:val="24"/>
          <w:u w:val="single"/>
        </w:rPr>
        <w:t>；</w:t>
      </w:r>
    </w:p>
    <w:p w14:paraId="4A6218D2">
      <w:pPr>
        <w:pStyle w:val="53"/>
        <w:rPr>
          <w:rFonts w:hint="default" w:ascii="Times New Roman" w:hAnsi="Times New Roman" w:eastAsia="宋体" w:cs="Times New Roman"/>
          <w:color w:val="auto"/>
          <w:u w:val="single"/>
        </w:rPr>
      </w:pPr>
      <m:oMath>
        <m:sSub>
          <m:sSubPr>
            <m:ctrlPr>
              <w:rPr>
                <w:rFonts w:hint="default" w:ascii="Cambria Math" w:hAnsi="Cambria Math" w:eastAsia="宋体" w:cs="Times New Roman"/>
                <w:i/>
                <w:u w:val="single"/>
              </w:rPr>
            </m:ctrlPr>
          </m:sSubPr>
          <m:e>
            <m:r>
              <m:rPr/>
              <w:rPr>
                <w:rFonts w:hint="default" w:ascii="Cambria Math" w:hAnsi="Cambria Math" w:eastAsia="宋体" w:cs="Times New Roman"/>
                <w:u w:val="single"/>
              </w:rPr>
              <m:t>C</m:t>
            </m:r>
            <m:ctrlPr>
              <w:rPr>
                <w:rFonts w:hint="default" w:ascii="Cambria Math" w:hAnsi="Cambria Math" w:eastAsia="宋体" w:cs="Times New Roman"/>
                <w:i/>
                <w:u w:val="single"/>
              </w:rPr>
            </m:ctrlPr>
          </m:e>
          <m:sub>
            <m:r>
              <m:rPr/>
              <w:rPr>
                <w:rFonts w:hint="default" w:ascii="Cambria Math" w:hAnsi="Cambria Math" w:eastAsia="宋体" w:cs="Times New Roman"/>
                <w:u w:val="single"/>
              </w:rPr>
              <m:t>0i</m:t>
            </m:r>
            <m:ctrlPr>
              <w:rPr>
                <w:rFonts w:hint="default" w:ascii="Cambria Math" w:hAnsi="Cambria Math" w:eastAsia="宋体" w:cs="Times New Roman"/>
                <w:i/>
                <w:u w:val="single"/>
              </w:rPr>
            </m:ctrlPr>
          </m:sub>
        </m:sSub>
      </m:oMath>
      <w:r>
        <w:rPr>
          <w:rFonts w:hint="default" w:ascii="Times New Roman" w:hAnsi="Times New Roman" w:eastAsia="宋体" w:cs="Times New Roman"/>
          <w:color w:val="auto"/>
          <w:u w:val="single"/>
        </w:rPr>
        <w:t>——第i个污染物的环境空气质量浓度标准，μg/m</w:t>
      </w:r>
      <w:r>
        <w:rPr>
          <w:rFonts w:hint="default" w:ascii="Times New Roman" w:hAnsi="Times New Roman" w:eastAsia="宋体" w:cs="Times New Roman"/>
          <w:color w:val="auto"/>
          <w:u w:val="single"/>
          <w:vertAlign w:val="superscript"/>
        </w:rPr>
        <w:t>3</w:t>
      </w:r>
      <w:r>
        <w:rPr>
          <w:rFonts w:hint="default" w:ascii="Times New Roman" w:hAnsi="Times New Roman" w:eastAsia="宋体" w:cs="Times New Roman"/>
          <w:color w:val="auto"/>
          <w:u w:val="single"/>
        </w:rPr>
        <w:t>。</w:t>
      </w:r>
    </w:p>
    <w:p w14:paraId="3829FB2C">
      <w:pPr>
        <w:pStyle w:val="53"/>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评价工作等级按表2.3-1的分级判据进行划分，如污染物i大于1，取P值中最大者（Pmax）。</w:t>
      </w:r>
    </w:p>
    <w:p w14:paraId="0FAD1D01">
      <w:pPr>
        <w:pStyle w:val="9"/>
        <w:spacing w:line="360" w:lineRule="auto"/>
        <w:jc w:val="center"/>
        <w:rPr>
          <w:rFonts w:hint="default" w:ascii="Times New Roman" w:hAnsi="Times New Roman" w:eastAsia="宋体" w:cs="Times New Roman"/>
          <w:b/>
          <w:sz w:val="21"/>
          <w:szCs w:val="21"/>
          <w:u w:val="single"/>
        </w:rPr>
      </w:pPr>
      <w:r>
        <w:rPr>
          <w:rFonts w:hint="default" w:ascii="Times New Roman" w:hAnsi="Times New Roman" w:eastAsia="宋体" w:cs="Times New Roman"/>
          <w:b/>
          <w:sz w:val="21"/>
          <w:szCs w:val="21"/>
          <w:u w:val="single"/>
        </w:rPr>
        <w:t>表2.3</w:t>
      </w:r>
      <w:r>
        <w:rPr>
          <w:rFonts w:hint="default" w:ascii="Times New Roman" w:hAnsi="Times New Roman" w:eastAsia="宋体" w:cs="Times New Roman"/>
          <w:b/>
          <w:sz w:val="21"/>
          <w:szCs w:val="21"/>
          <w:u w:val="single"/>
        </w:rPr>
        <w:noBreakHyphen/>
      </w:r>
      <w:r>
        <w:rPr>
          <w:rFonts w:hint="default" w:ascii="Times New Roman" w:hAnsi="Times New Roman" w:eastAsia="宋体" w:cs="Times New Roman"/>
          <w:b/>
          <w:sz w:val="21"/>
          <w:szCs w:val="21"/>
          <w:u w:val="single"/>
        </w:rPr>
        <w:t>1  大气环境影响评价工作等级判别表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41"/>
        <w:gridCol w:w="5781"/>
      </w:tblGrid>
      <w:tr w14:paraId="7EE87A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08" w:type="pct"/>
            <w:vAlign w:val="center"/>
          </w:tcPr>
          <w:p w14:paraId="6141A1A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u w:val="single"/>
              </w:rPr>
            </w:pPr>
            <w:r>
              <w:rPr>
                <w:rFonts w:hint="default" w:ascii="Times New Roman" w:hAnsi="Times New Roman" w:eastAsia="宋体" w:cs="Times New Roman"/>
                <w:b/>
                <w:bCs/>
                <w:u w:val="single"/>
              </w:rPr>
              <w:t>评价工作等级</w:t>
            </w:r>
          </w:p>
        </w:tc>
        <w:tc>
          <w:tcPr>
            <w:tcW w:w="3392" w:type="pct"/>
            <w:vAlign w:val="center"/>
          </w:tcPr>
          <w:p w14:paraId="49A7134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u w:val="single"/>
              </w:rPr>
            </w:pPr>
            <w:r>
              <w:rPr>
                <w:rFonts w:hint="default" w:ascii="Times New Roman" w:hAnsi="Times New Roman" w:eastAsia="宋体" w:cs="Times New Roman"/>
                <w:b/>
                <w:bCs/>
                <w:u w:val="single"/>
              </w:rPr>
              <w:t>评价工作分级判据</w:t>
            </w:r>
          </w:p>
        </w:tc>
      </w:tr>
      <w:tr w14:paraId="0C1219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08" w:type="pct"/>
            <w:vAlign w:val="center"/>
          </w:tcPr>
          <w:p w14:paraId="6A01DEC1">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一级</w:t>
            </w:r>
          </w:p>
        </w:tc>
        <w:tc>
          <w:tcPr>
            <w:tcW w:w="3392" w:type="pct"/>
            <w:vAlign w:val="center"/>
          </w:tcPr>
          <w:p w14:paraId="0E7CD742">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P</w:t>
            </w:r>
            <w:r>
              <w:rPr>
                <w:rFonts w:hint="default" w:ascii="Times New Roman" w:hAnsi="Times New Roman" w:eastAsia="宋体" w:cs="Times New Roman"/>
                <w:u w:val="single"/>
                <w:vertAlign w:val="subscript"/>
              </w:rPr>
              <w:t>max</w:t>
            </w:r>
            <w:r>
              <w:rPr>
                <w:rFonts w:hint="default" w:ascii="Times New Roman" w:hAnsi="Times New Roman" w:eastAsia="宋体" w:cs="Times New Roman"/>
                <w:u w:val="single"/>
              </w:rPr>
              <w:t>≥10%</w:t>
            </w:r>
          </w:p>
        </w:tc>
      </w:tr>
      <w:tr w14:paraId="3B59AD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08" w:type="pct"/>
            <w:vAlign w:val="center"/>
          </w:tcPr>
          <w:p w14:paraId="7BC914E8">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二级</w:t>
            </w:r>
          </w:p>
        </w:tc>
        <w:tc>
          <w:tcPr>
            <w:tcW w:w="3392" w:type="pct"/>
            <w:vAlign w:val="center"/>
          </w:tcPr>
          <w:p w14:paraId="66A9ECA7">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1%≤P</w:t>
            </w:r>
            <w:r>
              <w:rPr>
                <w:rFonts w:hint="default" w:ascii="Times New Roman" w:hAnsi="Times New Roman" w:eastAsia="宋体" w:cs="Times New Roman"/>
                <w:u w:val="single"/>
                <w:vertAlign w:val="subscript"/>
              </w:rPr>
              <w:t>max</w:t>
            </w:r>
            <w:r>
              <w:rPr>
                <w:rFonts w:hint="default" w:ascii="Times New Roman" w:hAnsi="Times New Roman" w:eastAsia="宋体" w:cs="Times New Roman"/>
                <w:u w:val="single"/>
              </w:rPr>
              <w:t>＜10%</w:t>
            </w:r>
          </w:p>
        </w:tc>
      </w:tr>
      <w:tr w14:paraId="502310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608" w:type="pct"/>
            <w:vAlign w:val="center"/>
          </w:tcPr>
          <w:p w14:paraId="31665073">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三级</w:t>
            </w:r>
          </w:p>
        </w:tc>
        <w:tc>
          <w:tcPr>
            <w:tcW w:w="3392" w:type="pct"/>
            <w:vAlign w:val="center"/>
          </w:tcPr>
          <w:p w14:paraId="0B76D3E0">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P</w:t>
            </w:r>
            <w:r>
              <w:rPr>
                <w:rFonts w:hint="default" w:ascii="Times New Roman" w:hAnsi="Times New Roman" w:eastAsia="宋体" w:cs="Times New Roman"/>
                <w:u w:val="single"/>
                <w:vertAlign w:val="subscript"/>
              </w:rPr>
              <w:t>max</w:t>
            </w:r>
            <w:r>
              <w:rPr>
                <w:rFonts w:hint="default" w:ascii="Times New Roman" w:hAnsi="Times New Roman" w:eastAsia="宋体" w:cs="Times New Roman"/>
                <w:u w:val="single"/>
              </w:rPr>
              <w:t>＜1%</w:t>
            </w:r>
          </w:p>
        </w:tc>
      </w:tr>
    </w:tbl>
    <w:p w14:paraId="13B8F960">
      <w:pPr>
        <w:pStyle w:val="57"/>
        <w:spacing w:before="156"/>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表2.3-2   主要污染源估算结果</w:t>
      </w:r>
    </w:p>
    <w:tbl>
      <w:tblPr>
        <w:tblStyle w:val="32"/>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309"/>
        <w:gridCol w:w="1263"/>
        <w:gridCol w:w="1809"/>
        <w:gridCol w:w="1326"/>
        <w:gridCol w:w="1187"/>
      </w:tblGrid>
      <w:tr w14:paraId="4EF91E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tcBorders>
              <w:tl2br w:val="nil"/>
              <w:tr2bl w:val="nil"/>
            </w:tcBorders>
            <w:vAlign w:val="center"/>
          </w:tcPr>
          <w:p w14:paraId="6556A5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污染源名称</w:t>
            </w:r>
          </w:p>
        </w:tc>
        <w:tc>
          <w:tcPr>
            <w:tcW w:w="774" w:type="pct"/>
            <w:tcBorders>
              <w:tl2br w:val="nil"/>
              <w:tr2bl w:val="nil"/>
            </w:tcBorders>
            <w:vAlign w:val="center"/>
          </w:tcPr>
          <w:p w14:paraId="16D81C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评价因子</w:t>
            </w:r>
          </w:p>
        </w:tc>
        <w:tc>
          <w:tcPr>
            <w:tcW w:w="747" w:type="pct"/>
            <w:tcBorders>
              <w:tl2br w:val="nil"/>
              <w:tr2bl w:val="nil"/>
            </w:tcBorders>
            <w:vAlign w:val="center"/>
          </w:tcPr>
          <w:p w14:paraId="4BF9FF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评价标准(μg/m³)</w:t>
            </w:r>
          </w:p>
        </w:tc>
        <w:tc>
          <w:tcPr>
            <w:tcW w:w="1067" w:type="pct"/>
            <w:tcBorders>
              <w:tl2br w:val="nil"/>
              <w:tr2bl w:val="nil"/>
            </w:tcBorders>
            <w:vAlign w:val="center"/>
          </w:tcPr>
          <w:p w14:paraId="165420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Cmax(μg/m³)</w:t>
            </w:r>
          </w:p>
        </w:tc>
        <w:tc>
          <w:tcPr>
            <w:tcW w:w="784" w:type="pct"/>
            <w:tcBorders>
              <w:tl2br w:val="nil"/>
              <w:tr2bl w:val="nil"/>
            </w:tcBorders>
            <w:vAlign w:val="center"/>
          </w:tcPr>
          <w:p w14:paraId="751500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Pmax(%)</w:t>
            </w:r>
          </w:p>
        </w:tc>
        <w:tc>
          <w:tcPr>
            <w:tcW w:w="667" w:type="pct"/>
            <w:tcBorders>
              <w:tl2br w:val="nil"/>
              <w:tr2bl w:val="nil"/>
            </w:tcBorders>
            <w:vAlign w:val="center"/>
          </w:tcPr>
          <w:p w14:paraId="2CCB442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D10%(m)</w:t>
            </w:r>
          </w:p>
        </w:tc>
      </w:tr>
      <w:tr w14:paraId="1EC9E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restart"/>
            <w:tcBorders>
              <w:tl2br w:val="nil"/>
              <w:tr2bl w:val="nil"/>
            </w:tcBorders>
            <w:vAlign w:val="center"/>
          </w:tcPr>
          <w:p w14:paraId="24466A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污水处理站</w:t>
            </w:r>
          </w:p>
        </w:tc>
        <w:tc>
          <w:tcPr>
            <w:tcW w:w="774" w:type="pct"/>
            <w:tcBorders>
              <w:tl2br w:val="nil"/>
              <w:tr2bl w:val="nil"/>
            </w:tcBorders>
            <w:vAlign w:val="center"/>
          </w:tcPr>
          <w:p w14:paraId="60F663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NH</w:t>
            </w:r>
            <w:r>
              <w:rPr>
                <w:rFonts w:hint="default" w:ascii="Times New Roman" w:hAnsi="Times New Roman" w:eastAsia="宋体" w:cs="Times New Roman"/>
                <w:b w:val="0"/>
                <w:sz w:val="23"/>
                <w:szCs w:val="23"/>
                <w:u w:val="single"/>
                <w:vertAlign w:val="subscript"/>
              </w:rPr>
              <w:t>3</w:t>
            </w:r>
          </w:p>
        </w:tc>
        <w:tc>
          <w:tcPr>
            <w:tcW w:w="747" w:type="pct"/>
            <w:tcBorders>
              <w:tl2br w:val="nil"/>
              <w:tr2bl w:val="nil"/>
            </w:tcBorders>
            <w:vAlign w:val="center"/>
          </w:tcPr>
          <w:p w14:paraId="11CE38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67" w:type="pct"/>
            <w:tcBorders>
              <w:tl2br w:val="nil"/>
              <w:tr2bl w:val="nil"/>
            </w:tcBorders>
            <w:vAlign w:val="center"/>
          </w:tcPr>
          <w:p w14:paraId="6DE124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8.6543</w:t>
            </w:r>
          </w:p>
        </w:tc>
        <w:tc>
          <w:tcPr>
            <w:tcW w:w="784" w:type="pct"/>
            <w:tcBorders>
              <w:tl2br w:val="nil"/>
              <w:tr2bl w:val="nil"/>
            </w:tcBorders>
            <w:vAlign w:val="center"/>
          </w:tcPr>
          <w:p w14:paraId="037D27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4.3271</w:t>
            </w:r>
          </w:p>
        </w:tc>
        <w:tc>
          <w:tcPr>
            <w:tcW w:w="667" w:type="pct"/>
            <w:tcBorders>
              <w:tl2br w:val="nil"/>
              <w:tr2bl w:val="nil"/>
            </w:tcBorders>
            <w:vAlign w:val="center"/>
          </w:tcPr>
          <w:p w14:paraId="7BE59D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7A674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continue"/>
            <w:tcBorders>
              <w:tl2br w:val="nil"/>
              <w:tr2bl w:val="nil"/>
            </w:tcBorders>
            <w:vAlign w:val="center"/>
          </w:tcPr>
          <w:p w14:paraId="328D6D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74" w:type="pct"/>
            <w:tcBorders>
              <w:tl2br w:val="nil"/>
              <w:tr2bl w:val="nil"/>
            </w:tcBorders>
            <w:vAlign w:val="center"/>
          </w:tcPr>
          <w:p w14:paraId="7690F0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H</w:t>
            </w:r>
            <w:r>
              <w:rPr>
                <w:rFonts w:hint="default" w:ascii="Times New Roman" w:hAnsi="Times New Roman" w:eastAsia="宋体" w:cs="Times New Roman"/>
                <w:b w:val="0"/>
                <w:sz w:val="23"/>
                <w:szCs w:val="23"/>
                <w:u w:val="single"/>
                <w:vertAlign w:val="subscript"/>
              </w:rPr>
              <w:t>2</w:t>
            </w:r>
            <w:r>
              <w:rPr>
                <w:rFonts w:hint="default" w:ascii="Times New Roman" w:hAnsi="Times New Roman" w:eastAsia="宋体" w:cs="Times New Roman"/>
                <w:b w:val="0"/>
                <w:sz w:val="23"/>
                <w:szCs w:val="23"/>
                <w:u w:val="single"/>
              </w:rPr>
              <w:t>S</w:t>
            </w:r>
          </w:p>
        </w:tc>
        <w:tc>
          <w:tcPr>
            <w:tcW w:w="747" w:type="pct"/>
            <w:tcBorders>
              <w:tl2br w:val="nil"/>
              <w:tr2bl w:val="nil"/>
            </w:tcBorders>
            <w:vAlign w:val="center"/>
          </w:tcPr>
          <w:p w14:paraId="398651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10.0</w:t>
            </w:r>
          </w:p>
        </w:tc>
        <w:tc>
          <w:tcPr>
            <w:tcW w:w="1067" w:type="pct"/>
            <w:tcBorders>
              <w:tl2br w:val="nil"/>
              <w:tr2bl w:val="nil"/>
            </w:tcBorders>
            <w:vAlign w:val="center"/>
          </w:tcPr>
          <w:p w14:paraId="6028E1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0.2623</w:t>
            </w:r>
          </w:p>
        </w:tc>
        <w:tc>
          <w:tcPr>
            <w:tcW w:w="784" w:type="pct"/>
            <w:tcBorders>
              <w:tl2br w:val="nil"/>
              <w:tr2bl w:val="nil"/>
            </w:tcBorders>
            <w:vAlign w:val="center"/>
          </w:tcPr>
          <w:p w14:paraId="410043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2.6225</w:t>
            </w:r>
          </w:p>
        </w:tc>
        <w:tc>
          <w:tcPr>
            <w:tcW w:w="667" w:type="pct"/>
            <w:tcBorders>
              <w:tl2br w:val="nil"/>
              <w:tr2bl w:val="nil"/>
            </w:tcBorders>
            <w:vAlign w:val="center"/>
          </w:tcPr>
          <w:p w14:paraId="060759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00BE6E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restart"/>
            <w:tcBorders>
              <w:tl2br w:val="nil"/>
              <w:tr2bl w:val="nil"/>
            </w:tcBorders>
            <w:vAlign w:val="center"/>
          </w:tcPr>
          <w:p w14:paraId="4D6954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lang w:eastAsia="zh-CN"/>
              </w:rPr>
            </w:pPr>
            <w:r>
              <w:rPr>
                <w:rFonts w:hint="default" w:ascii="Times New Roman" w:hAnsi="Times New Roman" w:eastAsia="宋体" w:cs="Times New Roman"/>
                <w:b w:val="0"/>
                <w:sz w:val="23"/>
                <w:szCs w:val="23"/>
                <w:u w:val="single"/>
              </w:rPr>
              <w:t>A栋</w:t>
            </w:r>
            <w:r>
              <w:rPr>
                <w:rFonts w:hint="default" w:ascii="Times New Roman" w:hAnsi="Times New Roman" w:eastAsia="宋体" w:cs="Times New Roman"/>
                <w:b w:val="0"/>
                <w:sz w:val="23"/>
                <w:szCs w:val="23"/>
                <w:u w:val="single"/>
                <w:lang w:eastAsia="zh-CN"/>
              </w:rPr>
              <w:t>危险废物综合处置车间</w:t>
            </w:r>
          </w:p>
        </w:tc>
        <w:tc>
          <w:tcPr>
            <w:tcW w:w="774" w:type="pct"/>
            <w:tcBorders>
              <w:tl2br w:val="nil"/>
              <w:tr2bl w:val="nil"/>
            </w:tcBorders>
            <w:vAlign w:val="center"/>
          </w:tcPr>
          <w:p w14:paraId="3CF3B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TVOC</w:t>
            </w:r>
          </w:p>
        </w:tc>
        <w:tc>
          <w:tcPr>
            <w:tcW w:w="747" w:type="pct"/>
            <w:tcBorders>
              <w:tl2br w:val="nil"/>
              <w:tr2bl w:val="nil"/>
            </w:tcBorders>
            <w:vAlign w:val="center"/>
          </w:tcPr>
          <w:p w14:paraId="6D8872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1200.0</w:t>
            </w:r>
          </w:p>
        </w:tc>
        <w:tc>
          <w:tcPr>
            <w:tcW w:w="1067" w:type="pct"/>
            <w:tcBorders>
              <w:tl2br w:val="nil"/>
              <w:tr2bl w:val="nil"/>
            </w:tcBorders>
            <w:vAlign w:val="center"/>
          </w:tcPr>
          <w:p w14:paraId="5EF3C8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90.7270</w:t>
            </w:r>
          </w:p>
        </w:tc>
        <w:tc>
          <w:tcPr>
            <w:tcW w:w="784" w:type="pct"/>
            <w:tcBorders>
              <w:tl2br w:val="nil"/>
              <w:tr2bl w:val="nil"/>
            </w:tcBorders>
            <w:vAlign w:val="center"/>
          </w:tcPr>
          <w:p w14:paraId="67B020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7.5606</w:t>
            </w:r>
          </w:p>
        </w:tc>
        <w:tc>
          <w:tcPr>
            <w:tcW w:w="667" w:type="pct"/>
            <w:tcBorders>
              <w:tl2br w:val="nil"/>
              <w:tr2bl w:val="nil"/>
            </w:tcBorders>
            <w:vAlign w:val="center"/>
          </w:tcPr>
          <w:p w14:paraId="394F2D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2AF97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continue"/>
            <w:tcBorders>
              <w:tl2br w:val="nil"/>
              <w:tr2bl w:val="nil"/>
            </w:tcBorders>
            <w:vAlign w:val="center"/>
          </w:tcPr>
          <w:p w14:paraId="509918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74" w:type="pct"/>
            <w:tcBorders>
              <w:tl2br w:val="nil"/>
              <w:tr2bl w:val="nil"/>
            </w:tcBorders>
            <w:vAlign w:val="center"/>
          </w:tcPr>
          <w:p w14:paraId="7A2CF5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苯</w:t>
            </w:r>
          </w:p>
        </w:tc>
        <w:tc>
          <w:tcPr>
            <w:tcW w:w="747" w:type="pct"/>
            <w:tcBorders>
              <w:tl2br w:val="nil"/>
              <w:tr2bl w:val="nil"/>
            </w:tcBorders>
            <w:vAlign w:val="center"/>
          </w:tcPr>
          <w:p w14:paraId="3873C8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110.0</w:t>
            </w:r>
          </w:p>
        </w:tc>
        <w:tc>
          <w:tcPr>
            <w:tcW w:w="1067" w:type="pct"/>
            <w:tcBorders>
              <w:tl2br w:val="nil"/>
              <w:tr2bl w:val="nil"/>
            </w:tcBorders>
            <w:vAlign w:val="center"/>
          </w:tcPr>
          <w:p w14:paraId="55A6EC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3.9800</w:t>
            </w:r>
          </w:p>
        </w:tc>
        <w:tc>
          <w:tcPr>
            <w:tcW w:w="784" w:type="pct"/>
            <w:tcBorders>
              <w:tl2br w:val="nil"/>
              <w:tr2bl w:val="nil"/>
            </w:tcBorders>
            <w:vAlign w:val="center"/>
          </w:tcPr>
          <w:p w14:paraId="2BCC11F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3.6182</w:t>
            </w:r>
          </w:p>
        </w:tc>
        <w:tc>
          <w:tcPr>
            <w:tcW w:w="667" w:type="pct"/>
            <w:tcBorders>
              <w:tl2br w:val="nil"/>
              <w:tr2bl w:val="nil"/>
            </w:tcBorders>
            <w:vAlign w:val="center"/>
          </w:tcPr>
          <w:p w14:paraId="024DF5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068280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continue"/>
            <w:tcBorders>
              <w:tl2br w:val="nil"/>
              <w:tr2bl w:val="nil"/>
            </w:tcBorders>
            <w:vAlign w:val="center"/>
          </w:tcPr>
          <w:p w14:paraId="5984F0F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74" w:type="pct"/>
            <w:tcBorders>
              <w:tl2br w:val="nil"/>
              <w:tr2bl w:val="nil"/>
            </w:tcBorders>
            <w:vAlign w:val="center"/>
          </w:tcPr>
          <w:p w14:paraId="086758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甲苯</w:t>
            </w:r>
          </w:p>
        </w:tc>
        <w:tc>
          <w:tcPr>
            <w:tcW w:w="747" w:type="pct"/>
            <w:tcBorders>
              <w:tl2br w:val="nil"/>
              <w:tr2bl w:val="nil"/>
            </w:tcBorders>
            <w:vAlign w:val="center"/>
          </w:tcPr>
          <w:p w14:paraId="69C5D8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67" w:type="pct"/>
            <w:tcBorders>
              <w:tl2br w:val="nil"/>
              <w:tr2bl w:val="nil"/>
            </w:tcBorders>
            <w:vAlign w:val="center"/>
          </w:tcPr>
          <w:p w14:paraId="628283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3.9800</w:t>
            </w:r>
          </w:p>
        </w:tc>
        <w:tc>
          <w:tcPr>
            <w:tcW w:w="784" w:type="pct"/>
            <w:tcBorders>
              <w:tl2br w:val="nil"/>
              <w:tr2bl w:val="nil"/>
            </w:tcBorders>
            <w:vAlign w:val="center"/>
          </w:tcPr>
          <w:p w14:paraId="3B2BBB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1.9900</w:t>
            </w:r>
          </w:p>
        </w:tc>
        <w:tc>
          <w:tcPr>
            <w:tcW w:w="667" w:type="pct"/>
            <w:tcBorders>
              <w:tl2br w:val="nil"/>
              <w:tr2bl w:val="nil"/>
            </w:tcBorders>
            <w:vAlign w:val="center"/>
          </w:tcPr>
          <w:p w14:paraId="0A3E77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70C1C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continue"/>
            <w:tcBorders>
              <w:tl2br w:val="nil"/>
              <w:tr2bl w:val="nil"/>
            </w:tcBorders>
            <w:vAlign w:val="center"/>
          </w:tcPr>
          <w:p w14:paraId="6055C1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74" w:type="pct"/>
            <w:tcBorders>
              <w:tl2br w:val="nil"/>
              <w:tr2bl w:val="nil"/>
            </w:tcBorders>
            <w:vAlign w:val="center"/>
          </w:tcPr>
          <w:p w14:paraId="0137C3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二甲苯</w:t>
            </w:r>
          </w:p>
        </w:tc>
        <w:tc>
          <w:tcPr>
            <w:tcW w:w="747" w:type="pct"/>
            <w:tcBorders>
              <w:tl2br w:val="nil"/>
              <w:tr2bl w:val="nil"/>
            </w:tcBorders>
            <w:vAlign w:val="center"/>
          </w:tcPr>
          <w:p w14:paraId="1CC3DEB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67" w:type="pct"/>
            <w:tcBorders>
              <w:tl2br w:val="nil"/>
              <w:tr2bl w:val="nil"/>
            </w:tcBorders>
            <w:vAlign w:val="center"/>
          </w:tcPr>
          <w:p w14:paraId="62FEED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3.9800</w:t>
            </w:r>
          </w:p>
        </w:tc>
        <w:tc>
          <w:tcPr>
            <w:tcW w:w="784" w:type="pct"/>
            <w:tcBorders>
              <w:tl2br w:val="nil"/>
              <w:tr2bl w:val="nil"/>
            </w:tcBorders>
            <w:vAlign w:val="center"/>
          </w:tcPr>
          <w:p w14:paraId="3E4F01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1.9900</w:t>
            </w:r>
          </w:p>
        </w:tc>
        <w:tc>
          <w:tcPr>
            <w:tcW w:w="667" w:type="pct"/>
            <w:tcBorders>
              <w:tl2br w:val="nil"/>
              <w:tr2bl w:val="nil"/>
            </w:tcBorders>
            <w:vAlign w:val="center"/>
          </w:tcPr>
          <w:p w14:paraId="57B24F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4FB6BC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continue"/>
            <w:tcBorders>
              <w:tl2br w:val="nil"/>
              <w:tr2bl w:val="nil"/>
            </w:tcBorders>
            <w:vAlign w:val="center"/>
          </w:tcPr>
          <w:p w14:paraId="579623C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74" w:type="pct"/>
            <w:tcBorders>
              <w:tl2br w:val="nil"/>
              <w:tr2bl w:val="nil"/>
            </w:tcBorders>
            <w:vAlign w:val="center"/>
          </w:tcPr>
          <w:p w14:paraId="51835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硫酸</w:t>
            </w:r>
          </w:p>
        </w:tc>
        <w:tc>
          <w:tcPr>
            <w:tcW w:w="747" w:type="pct"/>
            <w:tcBorders>
              <w:tl2br w:val="nil"/>
              <w:tr2bl w:val="nil"/>
            </w:tcBorders>
            <w:vAlign w:val="center"/>
          </w:tcPr>
          <w:p w14:paraId="087422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300.0</w:t>
            </w:r>
          </w:p>
        </w:tc>
        <w:tc>
          <w:tcPr>
            <w:tcW w:w="1067" w:type="pct"/>
            <w:tcBorders>
              <w:tl2br w:val="nil"/>
              <w:tr2bl w:val="nil"/>
            </w:tcBorders>
            <w:vAlign w:val="center"/>
          </w:tcPr>
          <w:p w14:paraId="1A8FBF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0.7703</w:t>
            </w:r>
          </w:p>
        </w:tc>
        <w:tc>
          <w:tcPr>
            <w:tcW w:w="784" w:type="pct"/>
            <w:tcBorders>
              <w:tl2br w:val="nil"/>
              <w:tr2bl w:val="nil"/>
            </w:tcBorders>
            <w:vAlign w:val="center"/>
          </w:tcPr>
          <w:p w14:paraId="36CE21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0.2568</w:t>
            </w:r>
          </w:p>
        </w:tc>
        <w:tc>
          <w:tcPr>
            <w:tcW w:w="667" w:type="pct"/>
            <w:tcBorders>
              <w:tl2br w:val="nil"/>
              <w:tr2bl w:val="nil"/>
            </w:tcBorders>
            <w:vAlign w:val="center"/>
          </w:tcPr>
          <w:p w14:paraId="54833D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62F0D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restart"/>
            <w:tcBorders>
              <w:tl2br w:val="nil"/>
              <w:tr2bl w:val="nil"/>
            </w:tcBorders>
            <w:vAlign w:val="center"/>
          </w:tcPr>
          <w:p w14:paraId="44DC3B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DA001</w:t>
            </w:r>
          </w:p>
        </w:tc>
        <w:tc>
          <w:tcPr>
            <w:tcW w:w="774" w:type="pct"/>
            <w:tcBorders>
              <w:tl2br w:val="nil"/>
              <w:tr2bl w:val="nil"/>
            </w:tcBorders>
            <w:vAlign w:val="center"/>
          </w:tcPr>
          <w:p w14:paraId="724FB4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TVOC</w:t>
            </w:r>
          </w:p>
        </w:tc>
        <w:tc>
          <w:tcPr>
            <w:tcW w:w="747" w:type="pct"/>
            <w:tcBorders>
              <w:tl2br w:val="nil"/>
              <w:tr2bl w:val="nil"/>
            </w:tcBorders>
            <w:vAlign w:val="center"/>
          </w:tcPr>
          <w:p w14:paraId="24D102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1200.0</w:t>
            </w:r>
          </w:p>
        </w:tc>
        <w:tc>
          <w:tcPr>
            <w:tcW w:w="1067" w:type="pct"/>
            <w:tcBorders>
              <w:tl2br w:val="nil"/>
              <w:tr2bl w:val="nil"/>
            </w:tcBorders>
            <w:vAlign w:val="center"/>
          </w:tcPr>
          <w:p w14:paraId="0D37902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5.8749</w:t>
            </w:r>
          </w:p>
        </w:tc>
        <w:tc>
          <w:tcPr>
            <w:tcW w:w="784" w:type="pct"/>
            <w:tcBorders>
              <w:tl2br w:val="nil"/>
              <w:tr2bl w:val="nil"/>
            </w:tcBorders>
            <w:vAlign w:val="center"/>
          </w:tcPr>
          <w:p w14:paraId="51609D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0.4896</w:t>
            </w:r>
          </w:p>
        </w:tc>
        <w:tc>
          <w:tcPr>
            <w:tcW w:w="667" w:type="pct"/>
            <w:tcBorders>
              <w:tl2br w:val="nil"/>
              <w:tr2bl w:val="nil"/>
            </w:tcBorders>
            <w:vAlign w:val="center"/>
          </w:tcPr>
          <w:p w14:paraId="68D34D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14B5BB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continue"/>
            <w:tcBorders>
              <w:tl2br w:val="nil"/>
              <w:tr2bl w:val="nil"/>
            </w:tcBorders>
            <w:vAlign w:val="center"/>
          </w:tcPr>
          <w:p w14:paraId="281F5C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74" w:type="pct"/>
            <w:tcBorders>
              <w:tl2br w:val="nil"/>
              <w:tr2bl w:val="nil"/>
            </w:tcBorders>
            <w:vAlign w:val="center"/>
          </w:tcPr>
          <w:p w14:paraId="688B26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苯</w:t>
            </w:r>
          </w:p>
        </w:tc>
        <w:tc>
          <w:tcPr>
            <w:tcW w:w="747" w:type="pct"/>
            <w:tcBorders>
              <w:tl2br w:val="nil"/>
              <w:tr2bl w:val="nil"/>
            </w:tcBorders>
            <w:vAlign w:val="center"/>
          </w:tcPr>
          <w:p w14:paraId="1B15F9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110.0</w:t>
            </w:r>
          </w:p>
        </w:tc>
        <w:tc>
          <w:tcPr>
            <w:tcW w:w="1067" w:type="pct"/>
            <w:tcBorders>
              <w:tl2br w:val="nil"/>
              <w:tr2bl w:val="nil"/>
            </w:tcBorders>
            <w:vAlign w:val="center"/>
          </w:tcPr>
          <w:p w14:paraId="1A15FC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0.1762</w:t>
            </w:r>
          </w:p>
        </w:tc>
        <w:tc>
          <w:tcPr>
            <w:tcW w:w="784" w:type="pct"/>
            <w:tcBorders>
              <w:tl2br w:val="nil"/>
              <w:tr2bl w:val="nil"/>
            </w:tcBorders>
            <w:vAlign w:val="center"/>
          </w:tcPr>
          <w:p w14:paraId="67D8A0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0.1602</w:t>
            </w:r>
          </w:p>
        </w:tc>
        <w:tc>
          <w:tcPr>
            <w:tcW w:w="667" w:type="pct"/>
            <w:tcBorders>
              <w:tl2br w:val="nil"/>
              <w:tr2bl w:val="nil"/>
            </w:tcBorders>
            <w:vAlign w:val="center"/>
          </w:tcPr>
          <w:p w14:paraId="2ACCD4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1A9E8E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continue"/>
            <w:tcBorders>
              <w:tl2br w:val="nil"/>
              <w:tr2bl w:val="nil"/>
            </w:tcBorders>
            <w:vAlign w:val="center"/>
          </w:tcPr>
          <w:p w14:paraId="2B2A22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74" w:type="pct"/>
            <w:tcBorders>
              <w:tl2br w:val="nil"/>
              <w:tr2bl w:val="nil"/>
            </w:tcBorders>
            <w:vAlign w:val="center"/>
          </w:tcPr>
          <w:p w14:paraId="53A40C3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甲苯</w:t>
            </w:r>
          </w:p>
        </w:tc>
        <w:tc>
          <w:tcPr>
            <w:tcW w:w="747" w:type="pct"/>
            <w:tcBorders>
              <w:tl2br w:val="nil"/>
              <w:tr2bl w:val="nil"/>
            </w:tcBorders>
            <w:vAlign w:val="center"/>
          </w:tcPr>
          <w:p w14:paraId="17009A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67" w:type="pct"/>
            <w:tcBorders>
              <w:tl2br w:val="nil"/>
              <w:tr2bl w:val="nil"/>
            </w:tcBorders>
            <w:vAlign w:val="center"/>
          </w:tcPr>
          <w:p w14:paraId="2D6350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0.1762</w:t>
            </w:r>
          </w:p>
        </w:tc>
        <w:tc>
          <w:tcPr>
            <w:tcW w:w="784" w:type="pct"/>
            <w:tcBorders>
              <w:tl2br w:val="nil"/>
              <w:tr2bl w:val="nil"/>
            </w:tcBorders>
            <w:vAlign w:val="center"/>
          </w:tcPr>
          <w:p w14:paraId="49D91A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0.0881</w:t>
            </w:r>
          </w:p>
        </w:tc>
        <w:tc>
          <w:tcPr>
            <w:tcW w:w="667" w:type="pct"/>
            <w:tcBorders>
              <w:tl2br w:val="nil"/>
              <w:tr2bl w:val="nil"/>
            </w:tcBorders>
            <w:vAlign w:val="center"/>
          </w:tcPr>
          <w:p w14:paraId="361052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4A9466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continue"/>
            <w:tcBorders>
              <w:tl2br w:val="nil"/>
              <w:tr2bl w:val="nil"/>
            </w:tcBorders>
            <w:vAlign w:val="center"/>
          </w:tcPr>
          <w:p w14:paraId="62BBBE3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74" w:type="pct"/>
            <w:tcBorders>
              <w:tl2br w:val="nil"/>
              <w:tr2bl w:val="nil"/>
            </w:tcBorders>
            <w:vAlign w:val="center"/>
          </w:tcPr>
          <w:p w14:paraId="521D2D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二甲苯</w:t>
            </w:r>
          </w:p>
        </w:tc>
        <w:tc>
          <w:tcPr>
            <w:tcW w:w="747" w:type="pct"/>
            <w:tcBorders>
              <w:tl2br w:val="nil"/>
              <w:tr2bl w:val="nil"/>
            </w:tcBorders>
            <w:vAlign w:val="center"/>
          </w:tcPr>
          <w:p w14:paraId="636537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67" w:type="pct"/>
            <w:tcBorders>
              <w:tl2br w:val="nil"/>
              <w:tr2bl w:val="nil"/>
            </w:tcBorders>
            <w:vAlign w:val="center"/>
          </w:tcPr>
          <w:p w14:paraId="43BF00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0.1762</w:t>
            </w:r>
          </w:p>
        </w:tc>
        <w:tc>
          <w:tcPr>
            <w:tcW w:w="784" w:type="pct"/>
            <w:tcBorders>
              <w:tl2br w:val="nil"/>
              <w:tr2bl w:val="nil"/>
            </w:tcBorders>
            <w:vAlign w:val="center"/>
          </w:tcPr>
          <w:p w14:paraId="5B8DE5D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0.0881</w:t>
            </w:r>
          </w:p>
        </w:tc>
        <w:tc>
          <w:tcPr>
            <w:tcW w:w="667" w:type="pct"/>
            <w:tcBorders>
              <w:tl2br w:val="nil"/>
              <w:tr2bl w:val="nil"/>
            </w:tcBorders>
            <w:vAlign w:val="center"/>
          </w:tcPr>
          <w:p w14:paraId="04EF9B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4F0193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restart"/>
            <w:tcBorders>
              <w:tl2br w:val="nil"/>
              <w:tr2bl w:val="nil"/>
            </w:tcBorders>
            <w:vAlign w:val="center"/>
          </w:tcPr>
          <w:p w14:paraId="094225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DA002</w:t>
            </w:r>
          </w:p>
        </w:tc>
        <w:tc>
          <w:tcPr>
            <w:tcW w:w="774" w:type="pct"/>
            <w:tcBorders>
              <w:tl2br w:val="nil"/>
              <w:tr2bl w:val="nil"/>
            </w:tcBorders>
            <w:vAlign w:val="center"/>
          </w:tcPr>
          <w:p w14:paraId="3DB68B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TVOC</w:t>
            </w:r>
          </w:p>
        </w:tc>
        <w:tc>
          <w:tcPr>
            <w:tcW w:w="747" w:type="pct"/>
            <w:tcBorders>
              <w:tl2br w:val="nil"/>
              <w:tr2bl w:val="nil"/>
            </w:tcBorders>
            <w:vAlign w:val="center"/>
          </w:tcPr>
          <w:p w14:paraId="01E32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1200.0</w:t>
            </w:r>
          </w:p>
        </w:tc>
        <w:tc>
          <w:tcPr>
            <w:tcW w:w="1067" w:type="pct"/>
            <w:tcBorders>
              <w:tl2br w:val="nil"/>
              <w:tr2bl w:val="nil"/>
            </w:tcBorders>
            <w:vAlign w:val="center"/>
          </w:tcPr>
          <w:p w14:paraId="0B634F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0.7621</w:t>
            </w:r>
          </w:p>
        </w:tc>
        <w:tc>
          <w:tcPr>
            <w:tcW w:w="784" w:type="pct"/>
            <w:tcBorders>
              <w:tl2br w:val="nil"/>
              <w:tr2bl w:val="nil"/>
            </w:tcBorders>
            <w:vAlign w:val="center"/>
          </w:tcPr>
          <w:p w14:paraId="265F5B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0.0635</w:t>
            </w:r>
          </w:p>
        </w:tc>
        <w:tc>
          <w:tcPr>
            <w:tcW w:w="667" w:type="pct"/>
            <w:tcBorders>
              <w:tl2br w:val="nil"/>
              <w:tr2bl w:val="nil"/>
            </w:tcBorders>
            <w:vAlign w:val="center"/>
          </w:tcPr>
          <w:p w14:paraId="2D3F5A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163F6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58" w:type="pct"/>
            <w:vMerge w:val="continue"/>
            <w:tcBorders>
              <w:tl2br w:val="nil"/>
              <w:tr2bl w:val="nil"/>
            </w:tcBorders>
            <w:vAlign w:val="center"/>
          </w:tcPr>
          <w:p w14:paraId="5E5FDA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74" w:type="pct"/>
            <w:tcBorders>
              <w:tl2br w:val="nil"/>
              <w:tr2bl w:val="nil"/>
            </w:tcBorders>
            <w:vAlign w:val="center"/>
          </w:tcPr>
          <w:p w14:paraId="0E4CF30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硫酸</w:t>
            </w:r>
          </w:p>
        </w:tc>
        <w:tc>
          <w:tcPr>
            <w:tcW w:w="747" w:type="pct"/>
            <w:tcBorders>
              <w:tl2br w:val="nil"/>
              <w:tr2bl w:val="nil"/>
            </w:tcBorders>
            <w:vAlign w:val="center"/>
          </w:tcPr>
          <w:p w14:paraId="639A02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300.0</w:t>
            </w:r>
          </w:p>
        </w:tc>
        <w:tc>
          <w:tcPr>
            <w:tcW w:w="1067" w:type="pct"/>
            <w:tcBorders>
              <w:tl2br w:val="nil"/>
              <w:tr2bl w:val="nil"/>
            </w:tcBorders>
            <w:vAlign w:val="center"/>
          </w:tcPr>
          <w:p w14:paraId="62868C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0.0661</w:t>
            </w:r>
          </w:p>
        </w:tc>
        <w:tc>
          <w:tcPr>
            <w:tcW w:w="784" w:type="pct"/>
            <w:tcBorders>
              <w:tl2br w:val="nil"/>
              <w:tr2bl w:val="nil"/>
            </w:tcBorders>
            <w:vAlign w:val="center"/>
          </w:tcPr>
          <w:p w14:paraId="7B86E1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0.0220</w:t>
            </w:r>
          </w:p>
        </w:tc>
        <w:tc>
          <w:tcPr>
            <w:tcW w:w="667" w:type="pct"/>
            <w:tcBorders>
              <w:tl2br w:val="nil"/>
              <w:tr2bl w:val="nil"/>
            </w:tcBorders>
            <w:vAlign w:val="center"/>
          </w:tcPr>
          <w:p w14:paraId="39AB57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bl>
    <w:p w14:paraId="719BCFDA">
      <w:pPr>
        <w:autoSpaceDE w:val="0"/>
        <w:autoSpaceDN w:val="0"/>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本项目Pmax最大值出现为A栋</w:t>
      </w:r>
      <w:r>
        <w:rPr>
          <w:rFonts w:hint="default" w:ascii="Times New Roman" w:hAnsi="Times New Roman" w:eastAsia="宋体" w:cs="Times New Roman"/>
          <w:sz w:val="24"/>
          <w:szCs w:val="24"/>
          <w:u w:val="single"/>
          <w:lang w:eastAsia="zh-CN"/>
        </w:rPr>
        <w:t>危险废物综合处置车间</w:t>
      </w:r>
      <w:r>
        <w:rPr>
          <w:rFonts w:hint="default" w:ascii="Times New Roman" w:hAnsi="Times New Roman" w:eastAsia="宋体" w:cs="Times New Roman"/>
          <w:sz w:val="24"/>
          <w:szCs w:val="24"/>
          <w:u w:val="single"/>
        </w:rPr>
        <w:t>排放的TVOCPmax值为7.5606%，Cmax为90.727μg/m</w:t>
      </w:r>
      <w:r>
        <w:rPr>
          <w:rFonts w:hint="default" w:ascii="Times New Roman" w:hAnsi="Times New Roman" w:eastAsia="宋体" w:cs="Times New Roman"/>
          <w:sz w:val="24"/>
          <w:szCs w:val="24"/>
          <w:u w:val="single"/>
          <w:vertAlign w:val="superscript"/>
          <w:lang w:val="en-US" w:eastAsia="zh-CN"/>
        </w:rPr>
        <w:t>3</w:t>
      </w:r>
      <w:r>
        <w:rPr>
          <w:rFonts w:hint="default" w:ascii="Times New Roman" w:hAnsi="Times New Roman" w:eastAsia="宋体" w:cs="Times New Roman"/>
          <w:sz w:val="24"/>
          <w:szCs w:val="24"/>
          <w:u w:val="single"/>
        </w:rPr>
        <w:t>，根据《环境影响评价技术导则 大气环境》（HJ2.2-2018）分级判据，确定本项目大气环境影响评价工作等级为二级，不进行进一步预测与评价，只对污染物排放量进行核算，不进行进一步预测与评价，只对污染物排放量进行核算</w:t>
      </w:r>
      <w:r>
        <w:rPr>
          <w:rFonts w:hint="default" w:ascii="Times New Roman" w:hAnsi="Times New Roman" w:eastAsia="宋体" w:cs="Times New Roman"/>
          <w:sz w:val="24"/>
          <w:u w:val="single"/>
        </w:rPr>
        <w:t>。</w:t>
      </w:r>
      <w:r>
        <w:rPr>
          <w:rFonts w:hint="default" w:ascii="Times New Roman" w:hAnsi="Times New Roman" w:eastAsia="宋体" w:cs="Times New Roman"/>
          <w:b/>
          <w:sz w:val="24"/>
          <w:u w:val="single"/>
        </w:rPr>
        <w:t>具体估算参数及结果见“7.2 环境空气影响分析”章节。</w:t>
      </w:r>
    </w:p>
    <w:p w14:paraId="452ABE42">
      <w:pPr>
        <w:autoSpaceDE w:val="0"/>
        <w:autoSpaceDN w:val="0"/>
        <w:spacing w:line="360" w:lineRule="auto"/>
        <w:ind w:firstLine="482" w:firstLineChars="200"/>
        <w:jc w:val="left"/>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（2）地表水环境影响评价等级</w:t>
      </w:r>
    </w:p>
    <w:p w14:paraId="2D788B19">
      <w:pPr>
        <w:autoSpaceDE w:val="0"/>
        <w:autoSpaceDN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本项目废水有生活污水和生产废水，</w:t>
      </w:r>
      <w:r>
        <w:rPr>
          <w:rFonts w:hint="default" w:ascii="Times New Roman" w:hAnsi="Times New Roman" w:eastAsia="宋体" w:cs="Times New Roman"/>
          <w:sz w:val="24"/>
          <w:szCs w:val="24"/>
        </w:rPr>
        <w:t>生活污水经化粪池处理达标后排至松木污水处理厂</w:t>
      </w:r>
      <w:r>
        <w:rPr>
          <w:rFonts w:hint="default" w:ascii="Times New Roman" w:hAnsi="Times New Roman" w:eastAsia="宋体" w:cs="Times New Roman"/>
          <w:sz w:val="24"/>
        </w:rPr>
        <w:t>，生产废水</w:t>
      </w:r>
      <w:r>
        <w:rPr>
          <w:rFonts w:hint="default" w:ascii="Times New Roman" w:hAnsi="Times New Roman" w:eastAsia="宋体" w:cs="Times New Roman"/>
          <w:sz w:val="24"/>
          <w:lang w:val="en-US" w:eastAsia="zh-CN"/>
        </w:rPr>
        <w:t>回用一次后</w:t>
      </w:r>
      <w:r>
        <w:rPr>
          <w:rFonts w:hint="default" w:ascii="Times New Roman" w:hAnsi="Times New Roman" w:eastAsia="宋体" w:cs="Times New Roman"/>
          <w:sz w:val="24"/>
        </w:rPr>
        <w:t>经自建的污水处理站处理达标后经园区污水管网</w:t>
      </w:r>
      <w:r>
        <w:rPr>
          <w:rFonts w:hint="default" w:ascii="Times New Roman" w:hAnsi="Times New Roman" w:eastAsia="宋体" w:cs="Times New Roman"/>
          <w:sz w:val="24"/>
          <w:szCs w:val="24"/>
        </w:rPr>
        <w:t>进入松木污水处理厂</w:t>
      </w:r>
      <w:r>
        <w:rPr>
          <w:rFonts w:hint="default" w:ascii="Times New Roman" w:hAnsi="Times New Roman" w:eastAsia="宋体" w:cs="Times New Roman"/>
          <w:sz w:val="24"/>
        </w:rPr>
        <w:t>，项目废水排放方式为间接排放，根据《环境影响评价技术导则—地表水环境》（HJ2.3-2018）中有关地表水环境评价工作等级划分原则和判别方法，判定本项目地表水环境评价等级为</w:t>
      </w:r>
      <w:r>
        <w:rPr>
          <w:rFonts w:hint="default" w:ascii="Times New Roman" w:hAnsi="Times New Roman" w:eastAsia="宋体" w:cs="Times New Roman"/>
          <w:b/>
          <w:bCs/>
          <w:sz w:val="24"/>
        </w:rPr>
        <w:t>三级B</w:t>
      </w:r>
      <w:r>
        <w:rPr>
          <w:rFonts w:hint="default" w:ascii="Times New Roman" w:hAnsi="Times New Roman" w:eastAsia="宋体" w:cs="Times New Roman"/>
          <w:sz w:val="24"/>
        </w:rPr>
        <w:t>。</w:t>
      </w:r>
    </w:p>
    <w:p w14:paraId="04FFE405">
      <w:pPr>
        <w:spacing w:line="360" w:lineRule="auto"/>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表2.3-3  地表水环境评价工作等级确定依据</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8"/>
        <w:gridCol w:w="2320"/>
        <w:gridCol w:w="4394"/>
      </w:tblGrid>
      <w:tr w14:paraId="64AC1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1" w:type="pct"/>
            <w:vMerge w:val="restart"/>
            <w:vAlign w:val="center"/>
          </w:tcPr>
          <w:p w14:paraId="34C7E4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评价等级</w:t>
            </w:r>
          </w:p>
        </w:tc>
        <w:tc>
          <w:tcPr>
            <w:tcW w:w="3939" w:type="pct"/>
            <w:gridSpan w:val="2"/>
            <w:vAlign w:val="center"/>
          </w:tcPr>
          <w:p w14:paraId="1877001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判定依据</w:t>
            </w:r>
          </w:p>
        </w:tc>
      </w:tr>
      <w:tr w14:paraId="14C29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1" w:type="pct"/>
            <w:vMerge w:val="continue"/>
            <w:vAlign w:val="center"/>
          </w:tcPr>
          <w:p w14:paraId="4665FF5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p>
        </w:tc>
        <w:tc>
          <w:tcPr>
            <w:tcW w:w="1361" w:type="pct"/>
            <w:vAlign w:val="center"/>
          </w:tcPr>
          <w:p w14:paraId="539557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排放方式</w:t>
            </w:r>
          </w:p>
        </w:tc>
        <w:tc>
          <w:tcPr>
            <w:tcW w:w="2578" w:type="pct"/>
            <w:vAlign w:val="center"/>
          </w:tcPr>
          <w:p w14:paraId="7DAC778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废水排放量Q/（m</w:t>
            </w:r>
            <w:r>
              <w:rPr>
                <w:rFonts w:hint="default" w:ascii="Times New Roman" w:hAnsi="Times New Roman" w:eastAsia="宋体" w:cs="Times New Roman"/>
                <w:color w:val="000000"/>
                <w:vertAlign w:val="superscript"/>
              </w:rPr>
              <w:t>3</w:t>
            </w:r>
            <w:r>
              <w:rPr>
                <w:rFonts w:hint="default" w:ascii="Times New Roman" w:hAnsi="Times New Roman" w:eastAsia="宋体" w:cs="Times New Roman"/>
                <w:color w:val="000000"/>
              </w:rPr>
              <w:t>/d）；</w:t>
            </w:r>
          </w:p>
          <w:p w14:paraId="6C63FAC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水污染物当量数W/（无量纲）</w:t>
            </w:r>
          </w:p>
        </w:tc>
      </w:tr>
      <w:tr w14:paraId="23E896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1" w:type="pct"/>
            <w:vAlign w:val="center"/>
          </w:tcPr>
          <w:p w14:paraId="43BA90F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一级</w:t>
            </w:r>
          </w:p>
        </w:tc>
        <w:tc>
          <w:tcPr>
            <w:tcW w:w="1361" w:type="pct"/>
            <w:vAlign w:val="center"/>
          </w:tcPr>
          <w:p w14:paraId="753CE5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直接排放</w:t>
            </w:r>
          </w:p>
        </w:tc>
        <w:tc>
          <w:tcPr>
            <w:tcW w:w="2578" w:type="pct"/>
            <w:vAlign w:val="center"/>
          </w:tcPr>
          <w:p w14:paraId="602CEE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Q≥20000或W≥600000</w:t>
            </w:r>
          </w:p>
        </w:tc>
      </w:tr>
      <w:tr w14:paraId="329CB1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1" w:type="pct"/>
            <w:vAlign w:val="center"/>
          </w:tcPr>
          <w:p w14:paraId="09F997D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二级</w:t>
            </w:r>
          </w:p>
        </w:tc>
        <w:tc>
          <w:tcPr>
            <w:tcW w:w="1361" w:type="pct"/>
            <w:vAlign w:val="center"/>
          </w:tcPr>
          <w:p w14:paraId="0CE034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直接排放</w:t>
            </w:r>
          </w:p>
        </w:tc>
        <w:tc>
          <w:tcPr>
            <w:tcW w:w="2578" w:type="pct"/>
            <w:vAlign w:val="center"/>
          </w:tcPr>
          <w:p w14:paraId="6B68771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其他</w:t>
            </w:r>
          </w:p>
        </w:tc>
      </w:tr>
      <w:tr w14:paraId="2B3568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1" w:type="pct"/>
            <w:vAlign w:val="center"/>
          </w:tcPr>
          <w:p w14:paraId="02B820A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三级A</w:t>
            </w:r>
          </w:p>
        </w:tc>
        <w:tc>
          <w:tcPr>
            <w:tcW w:w="1361" w:type="pct"/>
            <w:vAlign w:val="center"/>
          </w:tcPr>
          <w:p w14:paraId="1DC826C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直接排放</w:t>
            </w:r>
          </w:p>
        </w:tc>
        <w:tc>
          <w:tcPr>
            <w:tcW w:w="2578" w:type="pct"/>
            <w:vAlign w:val="center"/>
          </w:tcPr>
          <w:p w14:paraId="356BE20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Q＜200且W＜6000</w:t>
            </w:r>
          </w:p>
        </w:tc>
      </w:tr>
      <w:tr w14:paraId="74365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061" w:type="pct"/>
            <w:shd w:val="clear" w:color="auto" w:fill="808080"/>
            <w:vAlign w:val="center"/>
          </w:tcPr>
          <w:p w14:paraId="5413351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三级B</w:t>
            </w:r>
          </w:p>
        </w:tc>
        <w:tc>
          <w:tcPr>
            <w:tcW w:w="1361" w:type="pct"/>
            <w:shd w:val="clear" w:color="auto" w:fill="808080"/>
            <w:vAlign w:val="center"/>
          </w:tcPr>
          <w:p w14:paraId="214BF86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间接排放</w:t>
            </w:r>
          </w:p>
        </w:tc>
        <w:tc>
          <w:tcPr>
            <w:tcW w:w="2578" w:type="pct"/>
            <w:shd w:val="clear" w:color="auto" w:fill="808080"/>
            <w:vAlign w:val="center"/>
          </w:tcPr>
          <w:p w14:paraId="6F61C97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rPr>
              <w:t>--</w:t>
            </w:r>
          </w:p>
        </w:tc>
      </w:tr>
    </w:tbl>
    <w:p w14:paraId="75F8F730">
      <w:pPr>
        <w:autoSpaceDE w:val="0"/>
        <w:autoSpaceDN w:val="0"/>
        <w:spacing w:line="360" w:lineRule="auto"/>
        <w:ind w:firstLine="482" w:firstLineChars="200"/>
        <w:jc w:val="left"/>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（3）地下水环境影响评价等级</w:t>
      </w:r>
    </w:p>
    <w:p w14:paraId="750A7D6A">
      <w:pPr>
        <w:spacing w:line="360" w:lineRule="auto"/>
        <w:ind w:firstLine="480" w:firstLineChars="20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本项目属于</w:t>
      </w:r>
      <w:r>
        <w:rPr>
          <w:rFonts w:hint="default" w:ascii="Times New Roman" w:hAnsi="Times New Roman" w:eastAsia="宋体" w:cs="Times New Roman"/>
          <w:sz w:val="24"/>
          <w:szCs w:val="24"/>
        </w:rPr>
        <w:t>《建设项目环境影响评价分类管理名录》（2021年版）中的“四十七、生态保护和环境治理业—101 危险废物（不含医疗废物）利用及处置”，对照</w:t>
      </w:r>
      <w:r>
        <w:rPr>
          <w:rFonts w:hint="default" w:ascii="Times New Roman" w:hAnsi="Times New Roman" w:eastAsia="宋体" w:cs="Times New Roman"/>
          <w:kern w:val="0"/>
          <w:sz w:val="24"/>
          <w:szCs w:val="24"/>
        </w:rPr>
        <w:t>《环境影响评价技术导则地下水环境》（HJ610-2016）附录A地下水环境影响评价行业分类表中的“151、</w:t>
      </w:r>
      <w:r>
        <w:rPr>
          <w:rFonts w:hint="default" w:ascii="Times New Roman" w:hAnsi="Times New Roman" w:eastAsia="宋体" w:cs="Times New Roman"/>
          <w:b/>
          <w:bCs/>
          <w:kern w:val="0"/>
          <w:sz w:val="24"/>
          <w:szCs w:val="24"/>
        </w:rPr>
        <w:t>危险废物（含医疗废物）集中处置及综合利用</w:t>
      </w:r>
      <w:r>
        <w:rPr>
          <w:rFonts w:hint="default" w:ascii="Times New Roman" w:hAnsi="Times New Roman" w:eastAsia="宋体" w:cs="Times New Roman"/>
          <w:kern w:val="0"/>
          <w:sz w:val="24"/>
          <w:szCs w:val="24"/>
        </w:rPr>
        <w:t xml:space="preserve"> --报告书”类别，地下水环境影响评价类别为I类，</w:t>
      </w:r>
    </w:p>
    <w:p w14:paraId="5B934EB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项目位于衡阳松木经济开发区，</w:t>
      </w:r>
      <w:r>
        <w:rPr>
          <w:rFonts w:hint="default" w:ascii="Times New Roman" w:hAnsi="Times New Roman" w:eastAsia="宋体" w:cs="Times New Roman"/>
          <w:sz w:val="24"/>
          <w:szCs w:val="24"/>
        </w:rPr>
        <w:t>项目所在地不属于集中式饮用水水源准保护区、补给径流区，也不属于分散式饮用水水源地，也无特殊地下水资源（如矿泉水、温泉等），项目所在地的地下水环境不敏感。</w:t>
      </w:r>
    </w:p>
    <w:p w14:paraId="6BBA975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地下水环境评价工作等级分级详见下表。</w:t>
      </w:r>
    </w:p>
    <w:p w14:paraId="127F3500">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表2.3-4  地下水评价工作等级分级表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76"/>
        <w:gridCol w:w="1986"/>
        <w:gridCol w:w="2125"/>
        <w:gridCol w:w="2035"/>
      </w:tblGrid>
      <w:tr w14:paraId="3A068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4C93B645">
            <w:pPr>
              <w:keepNext w:val="0"/>
              <w:keepLines w:val="0"/>
              <w:suppressLineNumbers w:val="0"/>
              <w:spacing w:before="0" w:beforeAutospacing="0" w:after="0" w:afterAutospacing="0"/>
              <w:ind w:left="0" w:right="0" w:firstLine="1050" w:firstLineChars="500"/>
              <w:rPr>
                <w:rFonts w:hint="default" w:ascii="Times New Roman" w:hAnsi="Times New Roman" w:eastAsia="宋体" w:cs="Times New Roman"/>
                <w:szCs w:val="21"/>
              </w:rPr>
            </w:pPr>
            <w:r>
              <w:rPr>
                <w:rFonts w:hint="default" w:ascii="Times New Roman" w:hAnsi="Times New Roman" w:eastAsia="宋体" w:cs="Times New Roman"/>
                <w:szCs w:val="21"/>
              </w:rPr>
              <mc:AlternateContent>
                <mc:Choice Requires="wps">
                  <w:drawing>
                    <wp:anchor distT="0" distB="0" distL="114300" distR="114300" simplePos="0" relativeHeight="251660288" behindDoc="0" locked="0" layoutInCell="1" allowOverlap="1">
                      <wp:simplePos x="0" y="0"/>
                      <wp:positionH relativeFrom="column">
                        <wp:posOffset>-76200</wp:posOffset>
                      </wp:positionH>
                      <wp:positionV relativeFrom="paragraph">
                        <wp:posOffset>-9525</wp:posOffset>
                      </wp:positionV>
                      <wp:extent cx="1504950" cy="409575"/>
                      <wp:effectExtent l="1270" t="4445" r="17780" b="5080"/>
                      <wp:wrapNone/>
                      <wp:docPr id="15" name="直接箭头连接符 15"/>
                      <wp:cNvGraphicFramePr/>
                      <a:graphic xmlns:a="http://schemas.openxmlformats.org/drawingml/2006/main">
                        <a:graphicData uri="http://schemas.microsoft.com/office/word/2010/wordprocessingShape">
                          <wps:wsp>
                            <wps:cNvCnPr/>
                            <wps:spPr>
                              <a:xfrm>
                                <a:off x="0" y="0"/>
                                <a:ext cx="1504950" cy="409575"/>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6pt;margin-top:-0.75pt;height:32.25pt;width:118.5pt;z-index:251660288;mso-width-relative:page;mso-height-relative:page;" filled="f" stroked="t" coordsize="21600,21600" o:gfxdata="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NduhDXAAAACQEAAA8AAAAAAAAAAQAgAAAAIgAA&#10;AGRycy9kb3ducmV2LnhtbFBLAQIUABQAAAAIAIdO4kBe3dYdCQIAAAEEAAAOAAAAAAAAAAEAIAAA&#10;ACYBAABkcnMvZTJvRG9jLnhtbFBLBQYAAAAABgAGAFkBAAChBQAAAAA=&#10;">
                      <v:fill on="f" focussize="0,0"/>
                      <v:stroke color="#000000" joinstyle="round"/>
                      <v:imagedata o:title=""/>
                      <o:lock v:ext="edit" aspectratio="f"/>
                    </v:shape>
                  </w:pict>
                </mc:Fallback>
              </mc:AlternateContent>
            </w:r>
            <w:r>
              <w:rPr>
                <w:rFonts w:hint="default" w:ascii="Times New Roman" w:hAnsi="Times New Roman" w:eastAsia="宋体" w:cs="Times New Roman"/>
                <w:szCs w:val="21"/>
              </w:rPr>
              <w:t>项目类别</w:t>
            </w:r>
          </w:p>
          <w:p w14:paraId="1C21AF85">
            <w:pPr>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环境敏感程度</w:t>
            </w:r>
          </w:p>
        </w:tc>
        <w:tc>
          <w:tcPr>
            <w:tcW w:w="1165" w:type="pct"/>
            <w:vAlign w:val="center"/>
          </w:tcPr>
          <w:p w14:paraId="233DDCB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Ⅰ类项目</w:t>
            </w:r>
          </w:p>
        </w:tc>
        <w:tc>
          <w:tcPr>
            <w:tcW w:w="1247" w:type="pct"/>
            <w:vAlign w:val="center"/>
          </w:tcPr>
          <w:p w14:paraId="2EC6EE9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Ⅱ类项目</w:t>
            </w:r>
          </w:p>
        </w:tc>
        <w:tc>
          <w:tcPr>
            <w:tcW w:w="1194" w:type="pct"/>
            <w:vAlign w:val="center"/>
          </w:tcPr>
          <w:p w14:paraId="61282FA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Ⅲ类项目</w:t>
            </w:r>
          </w:p>
        </w:tc>
      </w:tr>
      <w:tr w14:paraId="66D1D8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295EDC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敏感</w:t>
            </w:r>
          </w:p>
        </w:tc>
        <w:tc>
          <w:tcPr>
            <w:tcW w:w="1165" w:type="pct"/>
            <w:vAlign w:val="center"/>
          </w:tcPr>
          <w:p w14:paraId="054225E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w:t>
            </w:r>
          </w:p>
        </w:tc>
        <w:tc>
          <w:tcPr>
            <w:tcW w:w="1247" w:type="pct"/>
            <w:vAlign w:val="center"/>
          </w:tcPr>
          <w:p w14:paraId="7AE7F7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w:t>
            </w:r>
          </w:p>
        </w:tc>
        <w:tc>
          <w:tcPr>
            <w:tcW w:w="1194" w:type="pct"/>
            <w:vAlign w:val="center"/>
          </w:tcPr>
          <w:p w14:paraId="2C6F110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w:t>
            </w:r>
          </w:p>
        </w:tc>
      </w:tr>
      <w:tr w14:paraId="35F4A6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5A87E9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较敏感</w:t>
            </w:r>
          </w:p>
        </w:tc>
        <w:tc>
          <w:tcPr>
            <w:tcW w:w="1165" w:type="pct"/>
            <w:tcBorders>
              <w:bottom w:val="single" w:color="auto" w:sz="6" w:space="0"/>
            </w:tcBorders>
            <w:vAlign w:val="center"/>
          </w:tcPr>
          <w:p w14:paraId="654DEFE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w:t>
            </w:r>
          </w:p>
        </w:tc>
        <w:tc>
          <w:tcPr>
            <w:tcW w:w="1247" w:type="pct"/>
            <w:vAlign w:val="center"/>
          </w:tcPr>
          <w:p w14:paraId="62765D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w:t>
            </w:r>
          </w:p>
        </w:tc>
        <w:tc>
          <w:tcPr>
            <w:tcW w:w="1194" w:type="pct"/>
            <w:vAlign w:val="center"/>
          </w:tcPr>
          <w:p w14:paraId="6DEC63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w:t>
            </w:r>
          </w:p>
        </w:tc>
      </w:tr>
      <w:tr w14:paraId="34A0B0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1394" w:type="pct"/>
            <w:vAlign w:val="center"/>
          </w:tcPr>
          <w:p w14:paraId="3D9D3D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不敏感</w:t>
            </w:r>
          </w:p>
        </w:tc>
        <w:tc>
          <w:tcPr>
            <w:tcW w:w="1165" w:type="pct"/>
            <w:tcBorders>
              <w:top w:val="single" w:color="auto" w:sz="6" w:space="0"/>
              <w:bottom w:val="single" w:color="auto" w:sz="12" w:space="0"/>
            </w:tcBorders>
            <w:shd w:val="clear" w:color="auto" w:fill="00B050"/>
            <w:vAlign w:val="center"/>
          </w:tcPr>
          <w:p w14:paraId="24FC156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w:t>
            </w:r>
          </w:p>
        </w:tc>
        <w:tc>
          <w:tcPr>
            <w:tcW w:w="1247" w:type="pct"/>
            <w:vAlign w:val="center"/>
          </w:tcPr>
          <w:p w14:paraId="658171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w:t>
            </w:r>
          </w:p>
        </w:tc>
        <w:tc>
          <w:tcPr>
            <w:tcW w:w="1194" w:type="pct"/>
            <w:vAlign w:val="center"/>
          </w:tcPr>
          <w:p w14:paraId="088C02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w:t>
            </w:r>
          </w:p>
        </w:tc>
      </w:tr>
    </w:tbl>
    <w:p w14:paraId="7ABC829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根据上表，确定项目地下水环境评价等级定为二级。</w:t>
      </w:r>
    </w:p>
    <w:p w14:paraId="2A385079">
      <w:pPr>
        <w:autoSpaceDE w:val="0"/>
        <w:autoSpaceDN w:val="0"/>
        <w:spacing w:line="360" w:lineRule="auto"/>
        <w:ind w:firstLine="482" w:firstLineChars="200"/>
        <w:jc w:val="left"/>
        <w:rPr>
          <w:rFonts w:hint="default" w:ascii="Times New Roman" w:hAnsi="Times New Roman" w:eastAsia="宋体" w:cs="Times New Roman"/>
          <w:b/>
          <w:kern w:val="0"/>
          <w:sz w:val="24"/>
          <w:szCs w:val="24"/>
        </w:rPr>
      </w:pPr>
      <w:r>
        <w:rPr>
          <w:rFonts w:hint="default" w:ascii="Times New Roman" w:hAnsi="Times New Roman" w:eastAsia="宋体" w:cs="Times New Roman"/>
          <w:b/>
          <w:kern w:val="0"/>
          <w:sz w:val="24"/>
          <w:szCs w:val="24"/>
        </w:rPr>
        <w:t>（4）声环境影响评价等级划分</w:t>
      </w:r>
    </w:p>
    <w:p w14:paraId="5513F21A">
      <w:pPr>
        <w:autoSpaceDE w:val="0"/>
        <w:autoSpaceDN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位于工业园，属于《声环境质量标准》（GB3096-2008）中3类标准区，项目生产过程噪声采用减振、隔声措施，合理规划噪声设备厂区布局，种植绿化带等多种手段降低噪声污染，项目建成后评价范围内声环境保护目标噪声级增量在3dB(A)以下，厂界噪声达标排放后对环境影响很小，受噪声影响的人口数量变化不大，根据《环境影响评价技术导则-声环境》（HJ2.4-2021）关于评价等级划分的规定，项目声环境影响评价等级定为三级，详见下表。</w:t>
      </w:r>
    </w:p>
    <w:p w14:paraId="19D54650">
      <w:pPr>
        <w:widowControl/>
        <w:spacing w:line="360" w:lineRule="auto"/>
        <w:jc w:val="center"/>
        <w:rPr>
          <w:rFonts w:hint="default" w:ascii="Times New Roman" w:hAnsi="Times New Roman" w:eastAsia="宋体" w:cs="Times New Roman"/>
          <w:b/>
          <w:bCs/>
        </w:rPr>
      </w:pPr>
      <w:r>
        <w:rPr>
          <w:rFonts w:hint="default" w:ascii="Times New Roman" w:hAnsi="Times New Roman" w:eastAsia="宋体" w:cs="Times New Roman"/>
          <w:b/>
          <w:bCs/>
        </w:rPr>
        <w:t>2.3-5  声环境评价工作定级表</w:t>
      </w:r>
    </w:p>
    <w:tbl>
      <w:tblPr>
        <w:tblStyle w:val="32"/>
        <w:tblW w:w="852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39"/>
        <w:gridCol w:w="2433"/>
        <w:gridCol w:w="1871"/>
        <w:gridCol w:w="1762"/>
        <w:gridCol w:w="1220"/>
      </w:tblGrid>
      <w:tr w14:paraId="721F13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39" w:type="dxa"/>
            <w:vAlign w:val="center"/>
          </w:tcPr>
          <w:p w14:paraId="32900F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污染源</w:t>
            </w:r>
          </w:p>
        </w:tc>
        <w:tc>
          <w:tcPr>
            <w:tcW w:w="2433" w:type="dxa"/>
            <w:vAlign w:val="center"/>
          </w:tcPr>
          <w:p w14:paraId="006FAB6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区域声环境功能区类别</w:t>
            </w:r>
          </w:p>
        </w:tc>
        <w:tc>
          <w:tcPr>
            <w:tcW w:w="1871" w:type="dxa"/>
            <w:vAlign w:val="center"/>
          </w:tcPr>
          <w:p w14:paraId="24BDF1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声环境保护目标噪声级增量</w:t>
            </w:r>
          </w:p>
        </w:tc>
        <w:tc>
          <w:tcPr>
            <w:tcW w:w="1762" w:type="dxa"/>
            <w:vAlign w:val="center"/>
          </w:tcPr>
          <w:p w14:paraId="408227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受影响的人口数量</w:t>
            </w:r>
          </w:p>
        </w:tc>
        <w:tc>
          <w:tcPr>
            <w:tcW w:w="1220" w:type="dxa"/>
            <w:vAlign w:val="center"/>
          </w:tcPr>
          <w:p w14:paraId="53F7C7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评价等级</w:t>
            </w:r>
          </w:p>
        </w:tc>
      </w:tr>
      <w:tr w14:paraId="173F9B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39" w:type="dxa"/>
            <w:vAlign w:val="center"/>
          </w:tcPr>
          <w:p w14:paraId="6C80E0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生产设备</w:t>
            </w:r>
          </w:p>
        </w:tc>
        <w:tc>
          <w:tcPr>
            <w:tcW w:w="2433" w:type="dxa"/>
            <w:vAlign w:val="center"/>
          </w:tcPr>
          <w:p w14:paraId="253537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snapToGrid w:val="0"/>
                <w:kern w:val="0"/>
              </w:rPr>
              <w:t>3类</w:t>
            </w:r>
          </w:p>
        </w:tc>
        <w:tc>
          <w:tcPr>
            <w:tcW w:w="1871" w:type="dxa"/>
            <w:vAlign w:val="center"/>
          </w:tcPr>
          <w:p w14:paraId="231DB77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＜3dB（A）</w:t>
            </w:r>
          </w:p>
        </w:tc>
        <w:tc>
          <w:tcPr>
            <w:tcW w:w="1762" w:type="dxa"/>
            <w:vAlign w:val="center"/>
          </w:tcPr>
          <w:p w14:paraId="074917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变化不大</w:t>
            </w:r>
          </w:p>
        </w:tc>
        <w:tc>
          <w:tcPr>
            <w:tcW w:w="1220" w:type="dxa"/>
            <w:vAlign w:val="center"/>
          </w:tcPr>
          <w:p w14:paraId="278526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三级</w:t>
            </w:r>
          </w:p>
        </w:tc>
      </w:tr>
    </w:tbl>
    <w:p w14:paraId="3B7FA989">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（5）生态环境影响评价等级</w:t>
      </w:r>
    </w:p>
    <w:p w14:paraId="5F07C498">
      <w:pPr>
        <w:autoSpaceDE w:val="0"/>
        <w:autoSpaceDN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本项目符合</w:t>
      </w:r>
      <w:r>
        <w:rPr>
          <w:rFonts w:hint="default" w:ascii="Times New Roman" w:hAnsi="Times New Roman" w:eastAsia="宋体" w:cs="Times New Roman"/>
          <w:sz w:val="24"/>
          <w:szCs w:val="24"/>
          <w:lang w:val="en-US" w:eastAsia="zh-CN"/>
        </w:rPr>
        <w:t>声</w:t>
      </w:r>
      <w:r>
        <w:rPr>
          <w:rFonts w:hint="default" w:ascii="Times New Roman" w:hAnsi="Times New Roman" w:eastAsia="宋体" w:cs="Times New Roman"/>
          <w:sz w:val="24"/>
          <w:szCs w:val="24"/>
        </w:rPr>
        <w:t>环境分区管控要求，位于</w:t>
      </w:r>
      <w:r>
        <w:rPr>
          <w:rFonts w:hint="default" w:ascii="Times New Roman" w:hAnsi="Times New Roman" w:eastAsia="宋体" w:cs="Times New Roman"/>
          <w:sz w:val="24"/>
          <w:szCs w:val="24"/>
          <w:lang w:val="en-US" w:eastAsia="zh-CN"/>
        </w:rPr>
        <w:t>松木</w:t>
      </w:r>
      <w:r>
        <w:rPr>
          <w:rFonts w:hint="default" w:ascii="Times New Roman" w:hAnsi="Times New Roman" w:eastAsia="宋体" w:cs="Times New Roman"/>
          <w:sz w:val="24"/>
          <w:szCs w:val="24"/>
        </w:rPr>
        <w:t>工业园区内，同时项目不涉及生态敏感区，根据《环境影响评价技术导则 生态影响》（HJ19-2022）相关要求，本项目可不确定评价等级，直接进行生态影响简单分析。</w:t>
      </w:r>
    </w:p>
    <w:p w14:paraId="4F4BC2FB">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（7）土壤环境影响评价等级</w:t>
      </w:r>
    </w:p>
    <w:p w14:paraId="7B96E9D7">
      <w:pPr>
        <w:autoSpaceDE w:val="0"/>
        <w:autoSpaceDN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根据《环境影响评价技术导则 土壤环境（试行）》（HJ 964－2018）评价等级划分标准，本项目属于污染影响型。根据HJ 964－2018附录A，项目</w:t>
      </w:r>
      <w:r>
        <w:rPr>
          <w:rFonts w:hint="default" w:ascii="Times New Roman" w:hAnsi="Times New Roman" w:eastAsia="宋体" w:cs="Times New Roman"/>
          <w:kern w:val="0"/>
          <w:sz w:val="24"/>
          <w:szCs w:val="24"/>
        </w:rPr>
        <w:t>属于</w:t>
      </w:r>
      <w:r>
        <w:rPr>
          <w:rFonts w:hint="default" w:ascii="Times New Roman" w:hAnsi="Times New Roman" w:eastAsia="宋体" w:cs="Times New Roman"/>
          <w:sz w:val="24"/>
          <w:szCs w:val="24"/>
        </w:rPr>
        <w:t>《建设项目环境影响评价分类管理名录》（2021年版）中的“四十七、生态保护和环境治理业—101 危险废物（不含医疗废物）利用及处置（产生单位内部回收再利用除外；单纯收集、贮存的除外）”</w:t>
      </w:r>
      <w:r>
        <w:rPr>
          <w:rFonts w:hint="default" w:ascii="Times New Roman" w:hAnsi="Times New Roman" w:eastAsia="宋体" w:cs="Times New Roman"/>
          <w:bCs/>
          <w:sz w:val="24"/>
          <w:szCs w:val="24"/>
        </w:rPr>
        <w:t>，土壤环境影响评价类别为I类。</w:t>
      </w:r>
    </w:p>
    <w:p w14:paraId="0FF39322">
      <w:pPr>
        <w:autoSpaceDE w:val="0"/>
        <w:autoSpaceDN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项目用地面积约20000m</w:t>
      </w:r>
      <w:r>
        <w:rPr>
          <w:rFonts w:hint="default" w:ascii="Times New Roman" w:hAnsi="Times New Roman" w:eastAsia="宋体" w:cs="Times New Roman"/>
          <w:bCs/>
          <w:sz w:val="24"/>
          <w:szCs w:val="24"/>
          <w:vertAlign w:val="superscript"/>
        </w:rPr>
        <w:t>2</w:t>
      </w:r>
      <w:r>
        <w:rPr>
          <w:rFonts w:hint="default" w:ascii="Times New Roman" w:hAnsi="Times New Roman" w:eastAsia="宋体" w:cs="Times New Roman"/>
          <w:bCs/>
          <w:sz w:val="24"/>
          <w:szCs w:val="24"/>
        </w:rPr>
        <w:t>＜5hm</w:t>
      </w:r>
      <w:r>
        <w:rPr>
          <w:rFonts w:hint="default" w:ascii="Times New Roman" w:hAnsi="Times New Roman" w:eastAsia="宋体" w:cs="Times New Roman"/>
          <w:bCs/>
          <w:sz w:val="24"/>
          <w:szCs w:val="24"/>
          <w:vertAlign w:val="superscript"/>
        </w:rPr>
        <w:t>2</w:t>
      </w:r>
      <w:r>
        <w:rPr>
          <w:rFonts w:hint="default" w:ascii="Times New Roman" w:hAnsi="Times New Roman" w:eastAsia="宋体" w:cs="Times New Roman"/>
          <w:bCs/>
          <w:sz w:val="24"/>
          <w:szCs w:val="24"/>
        </w:rPr>
        <w:t>（50000m</w:t>
      </w:r>
      <w:r>
        <w:rPr>
          <w:rFonts w:hint="default" w:ascii="Times New Roman" w:hAnsi="Times New Roman" w:eastAsia="宋体" w:cs="Times New Roman"/>
          <w:bCs/>
          <w:sz w:val="24"/>
          <w:szCs w:val="24"/>
          <w:vertAlign w:val="superscript"/>
        </w:rPr>
        <w:t>2</w:t>
      </w:r>
      <w:r>
        <w:rPr>
          <w:rFonts w:hint="default" w:ascii="Times New Roman" w:hAnsi="Times New Roman" w:eastAsia="宋体" w:cs="Times New Roman"/>
          <w:bCs/>
          <w:sz w:val="24"/>
          <w:szCs w:val="24"/>
        </w:rPr>
        <w:t>），占地规模为小型，拟建项目位于工业园区内，用地周边200m范围内无耕地、园地、牧草地、饮用水水源地或居民区、学校、医院、疗养院、养老院等土壤环境敏感目标，土壤环境敏感程度为不敏感。综合判定本项目土壤环境影响评价等级判定为二级。</w:t>
      </w:r>
    </w:p>
    <w:p w14:paraId="52F952DA">
      <w:pPr>
        <w:autoSpaceDE w:val="0"/>
        <w:autoSpaceDN w:val="0"/>
        <w:spacing w:line="360" w:lineRule="auto"/>
        <w:jc w:val="center"/>
        <w:rPr>
          <w:rFonts w:hint="default" w:ascii="Times New Roman" w:hAnsi="Times New Roman" w:eastAsia="宋体" w:cs="Times New Roman"/>
          <w:szCs w:val="24"/>
        </w:rPr>
      </w:pPr>
      <w:r>
        <w:rPr>
          <w:rFonts w:hint="default" w:ascii="Times New Roman" w:hAnsi="Times New Roman" w:eastAsia="宋体" w:cs="Times New Roman"/>
          <w:b/>
          <w:bCs/>
          <w:szCs w:val="24"/>
        </w:rPr>
        <w:t>表2.3-6  污染影响型评价工作等级划分表</w:t>
      </w:r>
    </w:p>
    <w:tbl>
      <w:tblPr>
        <w:tblStyle w:val="32"/>
        <w:tblW w:w="852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69"/>
        <w:gridCol w:w="850"/>
        <w:gridCol w:w="707"/>
        <w:gridCol w:w="723"/>
        <w:gridCol w:w="781"/>
        <w:gridCol w:w="885"/>
        <w:gridCol w:w="816"/>
        <w:gridCol w:w="747"/>
        <w:gridCol w:w="707"/>
        <w:gridCol w:w="637"/>
      </w:tblGrid>
      <w:tr w14:paraId="742B78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restart"/>
            <w:vAlign w:val="center"/>
          </w:tcPr>
          <w:p w14:paraId="271F46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评价等级工作</w:t>
            </w:r>
          </w:p>
          <w:p w14:paraId="770169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占地规模</w:t>
            </w:r>
          </w:p>
          <w:p w14:paraId="599493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敏感程度</w:t>
            </w:r>
          </w:p>
        </w:tc>
        <w:tc>
          <w:tcPr>
            <w:tcW w:w="2280" w:type="dxa"/>
            <w:gridSpan w:val="3"/>
            <w:vAlign w:val="center"/>
          </w:tcPr>
          <w:p w14:paraId="7EF411C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Ⅰ类</w:t>
            </w:r>
          </w:p>
        </w:tc>
        <w:tc>
          <w:tcPr>
            <w:tcW w:w="2482" w:type="dxa"/>
            <w:gridSpan w:val="3"/>
            <w:vAlign w:val="center"/>
          </w:tcPr>
          <w:p w14:paraId="23A0242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Ⅱ类</w:t>
            </w:r>
          </w:p>
        </w:tc>
        <w:tc>
          <w:tcPr>
            <w:tcW w:w="2091" w:type="dxa"/>
            <w:gridSpan w:val="3"/>
            <w:vAlign w:val="center"/>
          </w:tcPr>
          <w:p w14:paraId="7227D76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Ⅲ类</w:t>
            </w:r>
          </w:p>
        </w:tc>
      </w:tr>
      <w:tr w14:paraId="52C079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Merge w:val="continue"/>
            <w:vAlign w:val="center"/>
          </w:tcPr>
          <w:p w14:paraId="06BDE8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rPr>
            </w:pPr>
          </w:p>
        </w:tc>
        <w:tc>
          <w:tcPr>
            <w:tcW w:w="850" w:type="dxa"/>
            <w:vAlign w:val="center"/>
          </w:tcPr>
          <w:p w14:paraId="31611D0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大</w:t>
            </w:r>
          </w:p>
        </w:tc>
        <w:tc>
          <w:tcPr>
            <w:tcW w:w="707" w:type="dxa"/>
            <w:vAlign w:val="center"/>
          </w:tcPr>
          <w:p w14:paraId="2EDEE87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中</w:t>
            </w:r>
          </w:p>
        </w:tc>
        <w:tc>
          <w:tcPr>
            <w:tcW w:w="723" w:type="dxa"/>
            <w:vAlign w:val="center"/>
          </w:tcPr>
          <w:p w14:paraId="7B2B1B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小</w:t>
            </w:r>
          </w:p>
        </w:tc>
        <w:tc>
          <w:tcPr>
            <w:tcW w:w="781" w:type="dxa"/>
            <w:vAlign w:val="center"/>
          </w:tcPr>
          <w:p w14:paraId="3D83CE5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大</w:t>
            </w:r>
          </w:p>
        </w:tc>
        <w:tc>
          <w:tcPr>
            <w:tcW w:w="885" w:type="dxa"/>
            <w:vAlign w:val="center"/>
          </w:tcPr>
          <w:p w14:paraId="14877D3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中</w:t>
            </w:r>
          </w:p>
        </w:tc>
        <w:tc>
          <w:tcPr>
            <w:tcW w:w="816" w:type="dxa"/>
            <w:vAlign w:val="center"/>
          </w:tcPr>
          <w:p w14:paraId="4E8BEAD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小</w:t>
            </w:r>
          </w:p>
        </w:tc>
        <w:tc>
          <w:tcPr>
            <w:tcW w:w="747" w:type="dxa"/>
            <w:vAlign w:val="center"/>
          </w:tcPr>
          <w:p w14:paraId="50BB399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kern w:val="0"/>
              </w:rPr>
            </w:pPr>
            <w:r>
              <w:rPr>
                <w:rFonts w:hint="default" w:ascii="Times New Roman" w:hAnsi="Times New Roman" w:eastAsia="宋体" w:cs="Times New Roman"/>
                <w:color w:val="000000"/>
                <w:kern w:val="0"/>
              </w:rPr>
              <w:t>大</w:t>
            </w:r>
          </w:p>
        </w:tc>
        <w:tc>
          <w:tcPr>
            <w:tcW w:w="707" w:type="dxa"/>
            <w:vAlign w:val="center"/>
          </w:tcPr>
          <w:p w14:paraId="6D1130F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kern w:val="0"/>
              </w:rPr>
            </w:pPr>
            <w:r>
              <w:rPr>
                <w:rFonts w:hint="default" w:ascii="Times New Roman" w:hAnsi="Times New Roman" w:eastAsia="宋体" w:cs="Times New Roman"/>
                <w:color w:val="000000"/>
                <w:kern w:val="0"/>
              </w:rPr>
              <w:t>中</w:t>
            </w:r>
          </w:p>
        </w:tc>
        <w:tc>
          <w:tcPr>
            <w:tcW w:w="637" w:type="dxa"/>
            <w:vAlign w:val="center"/>
          </w:tcPr>
          <w:p w14:paraId="71587BF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kern w:val="0"/>
              </w:rPr>
            </w:pPr>
            <w:r>
              <w:rPr>
                <w:rFonts w:hint="default" w:ascii="Times New Roman" w:hAnsi="Times New Roman" w:eastAsia="宋体" w:cs="Times New Roman"/>
                <w:color w:val="000000"/>
                <w:kern w:val="0"/>
              </w:rPr>
              <w:t>小</w:t>
            </w:r>
          </w:p>
        </w:tc>
      </w:tr>
      <w:tr w14:paraId="36D89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Align w:val="center"/>
          </w:tcPr>
          <w:p w14:paraId="218DD1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敏感</w:t>
            </w:r>
          </w:p>
        </w:tc>
        <w:tc>
          <w:tcPr>
            <w:tcW w:w="850" w:type="dxa"/>
            <w:vAlign w:val="center"/>
          </w:tcPr>
          <w:p w14:paraId="1E5B1C9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一级</w:t>
            </w:r>
          </w:p>
        </w:tc>
        <w:tc>
          <w:tcPr>
            <w:tcW w:w="707" w:type="dxa"/>
            <w:vAlign w:val="center"/>
          </w:tcPr>
          <w:p w14:paraId="5E621A4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一级</w:t>
            </w:r>
          </w:p>
        </w:tc>
        <w:tc>
          <w:tcPr>
            <w:tcW w:w="723" w:type="dxa"/>
            <w:vAlign w:val="center"/>
          </w:tcPr>
          <w:p w14:paraId="7EA3D3D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一级</w:t>
            </w:r>
          </w:p>
        </w:tc>
        <w:tc>
          <w:tcPr>
            <w:tcW w:w="781" w:type="dxa"/>
            <w:vAlign w:val="center"/>
          </w:tcPr>
          <w:p w14:paraId="65FF91A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二级</w:t>
            </w:r>
          </w:p>
        </w:tc>
        <w:tc>
          <w:tcPr>
            <w:tcW w:w="885" w:type="dxa"/>
            <w:vAlign w:val="center"/>
          </w:tcPr>
          <w:p w14:paraId="18768C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二级</w:t>
            </w:r>
          </w:p>
        </w:tc>
        <w:tc>
          <w:tcPr>
            <w:tcW w:w="816" w:type="dxa"/>
            <w:vAlign w:val="center"/>
          </w:tcPr>
          <w:p w14:paraId="3BB188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二级</w:t>
            </w:r>
          </w:p>
        </w:tc>
        <w:tc>
          <w:tcPr>
            <w:tcW w:w="747" w:type="dxa"/>
            <w:vAlign w:val="center"/>
          </w:tcPr>
          <w:p w14:paraId="757A6A8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三级</w:t>
            </w:r>
          </w:p>
        </w:tc>
        <w:tc>
          <w:tcPr>
            <w:tcW w:w="707" w:type="dxa"/>
            <w:vAlign w:val="center"/>
          </w:tcPr>
          <w:p w14:paraId="3FC47E28">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kern w:val="0"/>
              </w:rPr>
            </w:pPr>
            <w:r>
              <w:rPr>
                <w:rFonts w:hint="default" w:ascii="Times New Roman" w:hAnsi="Times New Roman" w:eastAsia="宋体" w:cs="Times New Roman"/>
                <w:bCs/>
                <w:color w:val="000000"/>
                <w:kern w:val="0"/>
              </w:rPr>
              <w:t>三级</w:t>
            </w:r>
          </w:p>
        </w:tc>
        <w:tc>
          <w:tcPr>
            <w:tcW w:w="637" w:type="dxa"/>
            <w:vAlign w:val="center"/>
          </w:tcPr>
          <w:p w14:paraId="2429FE5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三级</w:t>
            </w:r>
          </w:p>
        </w:tc>
      </w:tr>
      <w:tr w14:paraId="2236F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vAlign w:val="center"/>
          </w:tcPr>
          <w:p w14:paraId="0772DDD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较敏感</w:t>
            </w:r>
          </w:p>
        </w:tc>
        <w:tc>
          <w:tcPr>
            <w:tcW w:w="850" w:type="dxa"/>
            <w:vAlign w:val="center"/>
          </w:tcPr>
          <w:p w14:paraId="103C2B0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kern w:val="0"/>
              </w:rPr>
            </w:pPr>
            <w:r>
              <w:rPr>
                <w:rFonts w:hint="default" w:ascii="Times New Roman" w:hAnsi="Times New Roman" w:eastAsia="宋体" w:cs="Times New Roman"/>
                <w:color w:val="000000"/>
                <w:kern w:val="0"/>
              </w:rPr>
              <w:t>一级</w:t>
            </w:r>
          </w:p>
        </w:tc>
        <w:tc>
          <w:tcPr>
            <w:tcW w:w="707" w:type="dxa"/>
            <w:vAlign w:val="center"/>
          </w:tcPr>
          <w:p w14:paraId="3F1677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一级</w:t>
            </w:r>
          </w:p>
        </w:tc>
        <w:tc>
          <w:tcPr>
            <w:tcW w:w="723" w:type="dxa"/>
            <w:tcBorders>
              <w:bottom w:val="single" w:color="auto" w:sz="4" w:space="0"/>
            </w:tcBorders>
            <w:vAlign w:val="center"/>
          </w:tcPr>
          <w:p w14:paraId="54E10A7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二级</w:t>
            </w:r>
          </w:p>
        </w:tc>
        <w:tc>
          <w:tcPr>
            <w:tcW w:w="781" w:type="dxa"/>
            <w:vAlign w:val="center"/>
          </w:tcPr>
          <w:p w14:paraId="52FDB1D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二级</w:t>
            </w:r>
          </w:p>
        </w:tc>
        <w:tc>
          <w:tcPr>
            <w:tcW w:w="885" w:type="dxa"/>
            <w:vAlign w:val="center"/>
          </w:tcPr>
          <w:p w14:paraId="7E5731E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二级</w:t>
            </w:r>
          </w:p>
        </w:tc>
        <w:tc>
          <w:tcPr>
            <w:tcW w:w="816" w:type="dxa"/>
            <w:tcBorders>
              <w:bottom w:val="single" w:color="auto" w:sz="4" w:space="0"/>
            </w:tcBorders>
            <w:vAlign w:val="center"/>
          </w:tcPr>
          <w:p w14:paraId="767BED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三级</w:t>
            </w:r>
          </w:p>
        </w:tc>
        <w:tc>
          <w:tcPr>
            <w:tcW w:w="747" w:type="dxa"/>
            <w:vAlign w:val="center"/>
          </w:tcPr>
          <w:p w14:paraId="715ABEC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三级</w:t>
            </w:r>
          </w:p>
        </w:tc>
        <w:tc>
          <w:tcPr>
            <w:tcW w:w="707" w:type="dxa"/>
            <w:vAlign w:val="center"/>
          </w:tcPr>
          <w:p w14:paraId="55C4DE6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三级</w:t>
            </w:r>
          </w:p>
        </w:tc>
        <w:tc>
          <w:tcPr>
            <w:tcW w:w="637" w:type="dxa"/>
            <w:vAlign w:val="center"/>
          </w:tcPr>
          <w:p w14:paraId="19C8829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w:t>
            </w:r>
          </w:p>
        </w:tc>
      </w:tr>
      <w:tr w14:paraId="009EF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69" w:type="dxa"/>
            <w:shd w:val="clear" w:color="auto" w:fill="auto"/>
            <w:vAlign w:val="center"/>
          </w:tcPr>
          <w:p w14:paraId="3B3F49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不敏感</w:t>
            </w:r>
          </w:p>
        </w:tc>
        <w:tc>
          <w:tcPr>
            <w:tcW w:w="850" w:type="dxa"/>
            <w:shd w:val="clear" w:color="auto" w:fill="auto"/>
            <w:vAlign w:val="center"/>
          </w:tcPr>
          <w:p w14:paraId="1C68E91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一级</w:t>
            </w:r>
          </w:p>
        </w:tc>
        <w:tc>
          <w:tcPr>
            <w:tcW w:w="707" w:type="dxa"/>
            <w:shd w:val="clear" w:color="auto" w:fill="auto"/>
            <w:vAlign w:val="center"/>
          </w:tcPr>
          <w:p w14:paraId="2B33D5C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shd w:val="clear" w:color="auto" w:fill="FFFFFF"/>
              </w:rPr>
              <w:t>二级</w:t>
            </w:r>
          </w:p>
        </w:tc>
        <w:tc>
          <w:tcPr>
            <w:tcW w:w="723" w:type="dxa"/>
            <w:tcBorders>
              <w:top w:val="single" w:color="auto" w:sz="4" w:space="0"/>
              <w:bottom w:val="single" w:color="auto" w:sz="12" w:space="0"/>
            </w:tcBorders>
            <w:shd w:val="clear" w:color="auto" w:fill="00B050"/>
            <w:vAlign w:val="center"/>
          </w:tcPr>
          <w:p w14:paraId="051E68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二级</w:t>
            </w:r>
          </w:p>
        </w:tc>
        <w:tc>
          <w:tcPr>
            <w:tcW w:w="781" w:type="dxa"/>
            <w:shd w:val="clear" w:color="auto" w:fill="auto"/>
            <w:vAlign w:val="center"/>
          </w:tcPr>
          <w:p w14:paraId="02AC17D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二级</w:t>
            </w:r>
          </w:p>
        </w:tc>
        <w:tc>
          <w:tcPr>
            <w:tcW w:w="885" w:type="dxa"/>
            <w:shd w:val="clear" w:color="auto" w:fill="auto"/>
            <w:vAlign w:val="center"/>
          </w:tcPr>
          <w:p w14:paraId="41B32F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三级</w:t>
            </w:r>
          </w:p>
        </w:tc>
        <w:tc>
          <w:tcPr>
            <w:tcW w:w="816" w:type="dxa"/>
            <w:tcBorders>
              <w:top w:val="single" w:color="auto" w:sz="4" w:space="0"/>
              <w:bottom w:val="single" w:color="auto" w:sz="12" w:space="0"/>
            </w:tcBorders>
            <w:shd w:val="clear" w:color="auto" w:fill="auto"/>
            <w:vAlign w:val="center"/>
          </w:tcPr>
          <w:p w14:paraId="6C71389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三级</w:t>
            </w:r>
          </w:p>
        </w:tc>
        <w:tc>
          <w:tcPr>
            <w:tcW w:w="747" w:type="dxa"/>
            <w:vAlign w:val="center"/>
          </w:tcPr>
          <w:p w14:paraId="3635F1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三级</w:t>
            </w:r>
          </w:p>
        </w:tc>
        <w:tc>
          <w:tcPr>
            <w:tcW w:w="707" w:type="dxa"/>
            <w:vAlign w:val="center"/>
          </w:tcPr>
          <w:p w14:paraId="3139D7F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w:t>
            </w:r>
          </w:p>
        </w:tc>
        <w:tc>
          <w:tcPr>
            <w:tcW w:w="637" w:type="dxa"/>
            <w:vAlign w:val="center"/>
          </w:tcPr>
          <w:p w14:paraId="6B53258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rPr>
            </w:pPr>
            <w:r>
              <w:rPr>
                <w:rFonts w:hint="default" w:ascii="Times New Roman" w:hAnsi="Times New Roman" w:eastAsia="宋体" w:cs="Times New Roman"/>
                <w:color w:val="000000"/>
                <w:kern w:val="0"/>
              </w:rPr>
              <w:t>—</w:t>
            </w:r>
          </w:p>
        </w:tc>
      </w:tr>
    </w:tbl>
    <w:p w14:paraId="6F708917">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（8）环境风险评价等级</w:t>
      </w:r>
    </w:p>
    <w:p w14:paraId="0E57BD0B">
      <w:pPr>
        <w:pStyle w:val="12"/>
        <w:spacing w:line="360" w:lineRule="auto"/>
        <w:ind w:right="128" w:firstLine="480" w:firstLineChars="200"/>
        <w:jc w:val="both"/>
        <w:rPr>
          <w:rFonts w:hint="default" w:ascii="Times New Roman" w:hAnsi="Times New Roman" w:eastAsia="宋体" w:cs="Times New Roman"/>
        </w:rPr>
      </w:pPr>
      <w:r>
        <w:rPr>
          <w:rFonts w:hint="default" w:ascii="Times New Roman" w:hAnsi="Times New Roman" w:eastAsia="宋体" w:cs="Times New Roman"/>
        </w:rPr>
        <w:t>根据《建设项目环境风险评价技术导则》（HJ 169-2018）规定，建设项目环境风险潜势综合等级取各要素等级的相对高值。根据环境风险评价分析，本项目危险物质及工艺系统危险性为P4，大气、地表水、地下水环境敏感程度分别为E2、E2、E2，经判定，本项目各环境要素风险潜势等级和环境风险潜势综合等级判定结果如下表所示。本项目各环境要素风险潜势均为Ⅱ，应进行三级评价。</w:t>
      </w:r>
    </w:p>
    <w:p w14:paraId="4937183A">
      <w:pPr>
        <w:pStyle w:val="41"/>
        <w:ind w:firstLine="175" w:firstLineChars="83"/>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表2.3-7 建设项目环境风险潜势判定结果</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310"/>
        <w:gridCol w:w="1636"/>
        <w:gridCol w:w="3053"/>
        <w:gridCol w:w="2337"/>
      </w:tblGrid>
      <w:tr w14:paraId="1874FF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09" w:hRule="atLeast"/>
        </w:trPr>
        <w:tc>
          <w:tcPr>
            <w:tcW w:w="786" w:type="pct"/>
            <w:tcBorders>
              <w:bottom w:val="single" w:color="000000" w:sz="4" w:space="0"/>
              <w:right w:val="single" w:color="000000" w:sz="4" w:space="0"/>
            </w:tcBorders>
          </w:tcPr>
          <w:p w14:paraId="0122BCAB">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环境要素</w:t>
            </w:r>
          </w:p>
        </w:tc>
        <w:tc>
          <w:tcPr>
            <w:tcW w:w="981" w:type="pct"/>
            <w:tcBorders>
              <w:left w:val="single" w:color="000000" w:sz="4" w:space="0"/>
              <w:bottom w:val="single" w:color="000000" w:sz="4" w:space="0"/>
              <w:right w:val="single" w:color="000000" w:sz="4" w:space="0"/>
            </w:tcBorders>
          </w:tcPr>
          <w:p w14:paraId="5B591B9A">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环境敏感程度</w:t>
            </w:r>
          </w:p>
        </w:tc>
        <w:tc>
          <w:tcPr>
            <w:tcW w:w="1831" w:type="pct"/>
            <w:tcBorders>
              <w:left w:val="single" w:color="000000" w:sz="4" w:space="0"/>
              <w:bottom w:val="single" w:color="000000" w:sz="4" w:space="0"/>
              <w:right w:val="single" w:color="000000" w:sz="4" w:space="0"/>
            </w:tcBorders>
          </w:tcPr>
          <w:p w14:paraId="062E4C22">
            <w:pPr>
              <w:pStyle w:val="60"/>
              <w:rPr>
                <w:rFonts w:hint="default" w:ascii="Times New Roman" w:hAnsi="Times New Roman" w:eastAsia="宋体" w:cs="Times New Roman"/>
                <w:b/>
                <w:bCs/>
                <w:sz w:val="21"/>
                <w:lang w:eastAsia="zh-CN"/>
              </w:rPr>
            </w:pPr>
            <w:r>
              <w:rPr>
                <w:rFonts w:hint="default" w:ascii="Times New Roman" w:hAnsi="Times New Roman" w:eastAsia="宋体" w:cs="Times New Roman"/>
                <w:b/>
                <w:bCs/>
                <w:sz w:val="21"/>
                <w:lang w:eastAsia="zh-CN"/>
              </w:rPr>
              <w:t>各环境要素环境风险潜势</w:t>
            </w:r>
          </w:p>
        </w:tc>
        <w:tc>
          <w:tcPr>
            <w:tcW w:w="1402" w:type="pct"/>
            <w:tcBorders>
              <w:left w:val="single" w:color="000000" w:sz="4" w:space="0"/>
              <w:bottom w:val="single" w:color="000000" w:sz="4" w:space="0"/>
            </w:tcBorders>
          </w:tcPr>
          <w:p w14:paraId="68CC4E11">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评价工作等级</w:t>
            </w:r>
          </w:p>
        </w:tc>
      </w:tr>
      <w:tr w14:paraId="011CDD9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786" w:type="pct"/>
            <w:tcBorders>
              <w:top w:val="single" w:color="000000" w:sz="4" w:space="0"/>
              <w:bottom w:val="single" w:color="000000" w:sz="4" w:space="0"/>
              <w:right w:val="single" w:color="000000" w:sz="4" w:space="0"/>
            </w:tcBorders>
          </w:tcPr>
          <w:p w14:paraId="454F201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大气环境</w:t>
            </w:r>
          </w:p>
        </w:tc>
        <w:tc>
          <w:tcPr>
            <w:tcW w:w="981" w:type="pct"/>
            <w:tcBorders>
              <w:top w:val="single" w:color="000000" w:sz="4" w:space="0"/>
              <w:left w:val="single" w:color="000000" w:sz="4" w:space="0"/>
              <w:bottom w:val="single" w:color="000000" w:sz="4" w:space="0"/>
              <w:right w:val="single" w:color="000000" w:sz="4" w:space="0"/>
            </w:tcBorders>
          </w:tcPr>
          <w:p w14:paraId="2107596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831" w:type="pct"/>
            <w:tcBorders>
              <w:top w:val="single" w:color="000000" w:sz="4" w:space="0"/>
              <w:left w:val="single" w:color="000000" w:sz="4" w:space="0"/>
              <w:bottom w:val="single" w:color="000000" w:sz="4" w:space="0"/>
              <w:right w:val="single" w:color="000000" w:sz="4" w:space="0"/>
            </w:tcBorders>
          </w:tcPr>
          <w:p w14:paraId="72330CB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c>
          <w:tcPr>
            <w:tcW w:w="1402" w:type="pct"/>
            <w:tcBorders>
              <w:top w:val="single" w:color="000000" w:sz="4" w:space="0"/>
              <w:left w:val="single" w:color="000000" w:sz="4" w:space="0"/>
              <w:bottom w:val="single" w:color="000000" w:sz="4" w:space="0"/>
            </w:tcBorders>
          </w:tcPr>
          <w:p w14:paraId="6F90786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三级</w:t>
            </w:r>
          </w:p>
        </w:tc>
      </w:tr>
      <w:tr w14:paraId="0DFDD64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786" w:type="pct"/>
            <w:tcBorders>
              <w:top w:val="single" w:color="000000" w:sz="4" w:space="0"/>
              <w:bottom w:val="single" w:color="000000" w:sz="4" w:space="0"/>
              <w:right w:val="single" w:color="000000" w:sz="4" w:space="0"/>
            </w:tcBorders>
          </w:tcPr>
          <w:p w14:paraId="27C1680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地表水环境</w:t>
            </w:r>
          </w:p>
        </w:tc>
        <w:tc>
          <w:tcPr>
            <w:tcW w:w="981" w:type="pct"/>
            <w:tcBorders>
              <w:top w:val="single" w:color="000000" w:sz="4" w:space="0"/>
              <w:left w:val="single" w:color="000000" w:sz="4" w:space="0"/>
              <w:bottom w:val="single" w:color="000000" w:sz="4" w:space="0"/>
              <w:right w:val="single" w:color="000000" w:sz="4" w:space="0"/>
            </w:tcBorders>
          </w:tcPr>
          <w:p w14:paraId="584DE43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831" w:type="pct"/>
            <w:tcBorders>
              <w:top w:val="single" w:color="000000" w:sz="4" w:space="0"/>
              <w:left w:val="single" w:color="000000" w:sz="4" w:space="0"/>
              <w:bottom w:val="single" w:color="000000" w:sz="4" w:space="0"/>
              <w:right w:val="single" w:color="000000" w:sz="4" w:space="0"/>
            </w:tcBorders>
          </w:tcPr>
          <w:p w14:paraId="0542218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c>
          <w:tcPr>
            <w:tcW w:w="1402" w:type="pct"/>
            <w:tcBorders>
              <w:top w:val="single" w:color="000000" w:sz="4" w:space="0"/>
              <w:left w:val="single" w:color="000000" w:sz="4" w:space="0"/>
              <w:bottom w:val="single" w:color="000000" w:sz="4" w:space="0"/>
            </w:tcBorders>
          </w:tcPr>
          <w:p w14:paraId="62E50FE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三级</w:t>
            </w:r>
          </w:p>
        </w:tc>
      </w:tr>
      <w:tr w14:paraId="6A97D79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786" w:type="pct"/>
            <w:tcBorders>
              <w:top w:val="single" w:color="000000" w:sz="4" w:space="0"/>
              <w:right w:val="single" w:color="000000" w:sz="4" w:space="0"/>
            </w:tcBorders>
          </w:tcPr>
          <w:p w14:paraId="4430375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地下水环境</w:t>
            </w:r>
          </w:p>
        </w:tc>
        <w:tc>
          <w:tcPr>
            <w:tcW w:w="981" w:type="pct"/>
            <w:tcBorders>
              <w:top w:val="single" w:color="000000" w:sz="4" w:space="0"/>
              <w:left w:val="single" w:color="000000" w:sz="4" w:space="0"/>
              <w:right w:val="single" w:color="000000" w:sz="4" w:space="0"/>
            </w:tcBorders>
          </w:tcPr>
          <w:p w14:paraId="4AAC186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831" w:type="pct"/>
            <w:tcBorders>
              <w:top w:val="single" w:color="000000" w:sz="4" w:space="0"/>
              <w:left w:val="single" w:color="000000" w:sz="4" w:space="0"/>
              <w:right w:val="single" w:color="000000" w:sz="4" w:space="0"/>
            </w:tcBorders>
          </w:tcPr>
          <w:p w14:paraId="1BEB02E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c>
          <w:tcPr>
            <w:tcW w:w="1402" w:type="pct"/>
            <w:tcBorders>
              <w:top w:val="single" w:color="000000" w:sz="4" w:space="0"/>
              <w:left w:val="single" w:color="000000" w:sz="4" w:space="0"/>
            </w:tcBorders>
          </w:tcPr>
          <w:p w14:paraId="51F604B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三级</w:t>
            </w:r>
          </w:p>
        </w:tc>
      </w:tr>
    </w:tbl>
    <w:p w14:paraId="7E23C5EF">
      <w:pPr>
        <w:pStyle w:val="4"/>
        <w:tabs>
          <w:tab w:val="left" w:pos="900"/>
        </w:tabs>
        <w:spacing w:before="0" w:after="0" w:line="360" w:lineRule="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2.3.2评价范围</w:t>
      </w:r>
    </w:p>
    <w:p w14:paraId="37E80842">
      <w:pPr>
        <w:autoSpaceDE w:val="0"/>
        <w:autoSpaceDN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kern w:val="0"/>
          <w:sz w:val="24"/>
          <w:szCs w:val="24"/>
        </w:rPr>
        <w:t>根据本项目建设内容、范围以及评价等级的判定，充分考虑各环境要素的特征及项目实施可能造成的环境影响，确定本项目环境影响评价的范围。</w:t>
      </w:r>
    </w:p>
    <w:p w14:paraId="04D91DAC">
      <w:pPr>
        <w:autoSpaceDE w:val="0"/>
        <w:autoSpaceDN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本项目各环境要素评价范围见表2.3-8。</w:t>
      </w:r>
    </w:p>
    <w:p w14:paraId="74AD27D4">
      <w:pPr>
        <w:autoSpaceDE w:val="0"/>
        <w:autoSpaceDN w:val="0"/>
        <w:spacing w:line="360" w:lineRule="auto"/>
        <w:ind w:firstLine="422" w:firstLineChars="200"/>
        <w:jc w:val="center"/>
        <w:rPr>
          <w:rFonts w:hint="default" w:ascii="Times New Roman" w:hAnsi="Times New Roman" w:eastAsia="宋体" w:cs="Times New Roman"/>
          <w:b/>
          <w:kern w:val="0"/>
          <w:sz w:val="24"/>
          <w:szCs w:val="24"/>
        </w:rPr>
      </w:pPr>
      <w:r>
        <w:rPr>
          <w:rFonts w:hint="default" w:ascii="Times New Roman" w:hAnsi="Times New Roman" w:eastAsia="宋体" w:cs="Times New Roman"/>
          <w:b/>
          <w:kern w:val="0"/>
        </w:rPr>
        <w:t>表2.3</w:t>
      </w:r>
      <w:r>
        <w:rPr>
          <w:rFonts w:hint="default" w:ascii="Times New Roman" w:hAnsi="Times New Roman" w:eastAsia="宋体" w:cs="Times New Roman"/>
          <w:b/>
          <w:bCs/>
          <w:kern w:val="0"/>
        </w:rPr>
        <w:t xml:space="preserve">-8  </w:t>
      </w:r>
      <w:r>
        <w:rPr>
          <w:rFonts w:hint="default" w:ascii="Times New Roman" w:hAnsi="Times New Roman" w:eastAsia="宋体" w:cs="Times New Roman"/>
          <w:b/>
          <w:kern w:val="0"/>
        </w:rPr>
        <w:t>各环境要素评价范围</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40"/>
        <w:gridCol w:w="1352"/>
        <w:gridCol w:w="1202"/>
        <w:gridCol w:w="5328"/>
      </w:tblGrid>
      <w:tr w14:paraId="382A9D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14:paraId="5C3583D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kern w:val="0"/>
              </w:rPr>
            </w:pPr>
            <w:r>
              <w:rPr>
                <w:rFonts w:hint="default" w:ascii="Times New Roman" w:hAnsi="Times New Roman" w:eastAsia="宋体" w:cs="Times New Roman"/>
                <w:b/>
                <w:kern w:val="0"/>
              </w:rPr>
              <w:t>序号</w:t>
            </w:r>
          </w:p>
        </w:tc>
        <w:tc>
          <w:tcPr>
            <w:tcW w:w="793" w:type="pct"/>
            <w:vAlign w:val="center"/>
          </w:tcPr>
          <w:p w14:paraId="49F8B78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kern w:val="0"/>
              </w:rPr>
            </w:pPr>
            <w:r>
              <w:rPr>
                <w:rFonts w:hint="default" w:ascii="Times New Roman" w:hAnsi="Times New Roman" w:eastAsia="宋体" w:cs="Times New Roman"/>
                <w:b/>
                <w:kern w:val="0"/>
              </w:rPr>
              <w:t>环境要素</w:t>
            </w:r>
          </w:p>
        </w:tc>
        <w:tc>
          <w:tcPr>
            <w:tcW w:w="705" w:type="pct"/>
            <w:vAlign w:val="center"/>
          </w:tcPr>
          <w:p w14:paraId="5D27A5E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kern w:val="0"/>
              </w:rPr>
            </w:pPr>
            <w:r>
              <w:rPr>
                <w:rFonts w:hint="default" w:ascii="Times New Roman" w:hAnsi="Times New Roman" w:eastAsia="宋体" w:cs="Times New Roman"/>
                <w:b/>
                <w:kern w:val="0"/>
              </w:rPr>
              <w:t>评价等级</w:t>
            </w:r>
          </w:p>
        </w:tc>
        <w:tc>
          <w:tcPr>
            <w:tcW w:w="3125" w:type="pct"/>
            <w:vAlign w:val="center"/>
          </w:tcPr>
          <w:p w14:paraId="31FE2FD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kern w:val="0"/>
              </w:rPr>
            </w:pPr>
            <w:r>
              <w:rPr>
                <w:rFonts w:hint="default" w:ascii="Times New Roman" w:hAnsi="Times New Roman" w:eastAsia="宋体" w:cs="Times New Roman"/>
                <w:b/>
                <w:kern w:val="0"/>
              </w:rPr>
              <w:t>评价范围</w:t>
            </w:r>
          </w:p>
        </w:tc>
      </w:tr>
      <w:tr w14:paraId="6FAB5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14:paraId="0AD60A2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w:t>
            </w:r>
          </w:p>
        </w:tc>
        <w:tc>
          <w:tcPr>
            <w:tcW w:w="793" w:type="pct"/>
            <w:vAlign w:val="center"/>
          </w:tcPr>
          <w:p w14:paraId="6929913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大气环境</w:t>
            </w:r>
          </w:p>
        </w:tc>
        <w:tc>
          <w:tcPr>
            <w:tcW w:w="705" w:type="pct"/>
            <w:vAlign w:val="center"/>
          </w:tcPr>
          <w:p w14:paraId="788BDC7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二级</w:t>
            </w:r>
          </w:p>
        </w:tc>
        <w:tc>
          <w:tcPr>
            <w:tcW w:w="3125" w:type="pct"/>
            <w:vAlign w:val="center"/>
          </w:tcPr>
          <w:p w14:paraId="535CCBB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边长为5km的矩形区域</w:t>
            </w:r>
          </w:p>
        </w:tc>
      </w:tr>
      <w:tr w14:paraId="1D3DC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14:paraId="7A1FB30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w:t>
            </w:r>
          </w:p>
        </w:tc>
        <w:tc>
          <w:tcPr>
            <w:tcW w:w="793" w:type="pct"/>
            <w:vAlign w:val="center"/>
          </w:tcPr>
          <w:p w14:paraId="134A121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地表水环境</w:t>
            </w:r>
          </w:p>
        </w:tc>
        <w:tc>
          <w:tcPr>
            <w:tcW w:w="705" w:type="pct"/>
            <w:vAlign w:val="center"/>
          </w:tcPr>
          <w:p w14:paraId="281808D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三级B</w:t>
            </w:r>
          </w:p>
        </w:tc>
        <w:tc>
          <w:tcPr>
            <w:tcW w:w="3125" w:type="pct"/>
            <w:vAlign w:val="center"/>
          </w:tcPr>
          <w:p w14:paraId="1293DFA8">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rPr>
              <w:t>/</w:t>
            </w:r>
          </w:p>
        </w:tc>
      </w:tr>
      <w:tr w14:paraId="674A15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14:paraId="49D426F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u w:val="single"/>
              </w:rPr>
            </w:pPr>
            <w:r>
              <w:rPr>
                <w:rFonts w:hint="default" w:ascii="Times New Roman" w:hAnsi="Times New Roman" w:eastAsia="宋体" w:cs="Times New Roman"/>
                <w:kern w:val="0"/>
                <w:u w:val="single"/>
              </w:rPr>
              <w:t>3</w:t>
            </w:r>
          </w:p>
        </w:tc>
        <w:tc>
          <w:tcPr>
            <w:tcW w:w="793" w:type="pct"/>
            <w:vAlign w:val="center"/>
          </w:tcPr>
          <w:p w14:paraId="259D6FB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u w:val="single"/>
              </w:rPr>
            </w:pPr>
            <w:r>
              <w:rPr>
                <w:rFonts w:hint="default" w:ascii="Times New Roman" w:hAnsi="Times New Roman" w:eastAsia="宋体" w:cs="Times New Roman"/>
                <w:kern w:val="0"/>
                <w:u w:val="single"/>
              </w:rPr>
              <w:t>地下水环境</w:t>
            </w:r>
          </w:p>
        </w:tc>
        <w:tc>
          <w:tcPr>
            <w:tcW w:w="705" w:type="pct"/>
            <w:vAlign w:val="center"/>
          </w:tcPr>
          <w:p w14:paraId="0A4182D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u w:val="single"/>
              </w:rPr>
            </w:pPr>
            <w:r>
              <w:rPr>
                <w:rFonts w:hint="default" w:ascii="Times New Roman" w:hAnsi="Times New Roman" w:eastAsia="宋体" w:cs="Times New Roman"/>
                <w:kern w:val="0"/>
                <w:u w:val="single"/>
              </w:rPr>
              <w:t>二级</w:t>
            </w:r>
          </w:p>
        </w:tc>
        <w:tc>
          <w:tcPr>
            <w:tcW w:w="3125" w:type="pct"/>
            <w:vAlign w:val="center"/>
          </w:tcPr>
          <w:p w14:paraId="08C33A8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u w:val="single"/>
              </w:rPr>
            </w:pPr>
            <w:r>
              <w:rPr>
                <w:rFonts w:hint="default" w:ascii="Times New Roman" w:hAnsi="Times New Roman" w:eastAsia="宋体" w:cs="Times New Roman"/>
                <w:kern w:val="0"/>
                <w:u w:val="single"/>
              </w:rPr>
              <w:t>项目区域地下水流向下游迁移的1425m，两侧迁移的1425m，上游的1425m，合围面积约8.12km</w:t>
            </w:r>
            <w:r>
              <w:rPr>
                <w:rFonts w:hint="default" w:ascii="Times New Roman" w:hAnsi="Times New Roman" w:eastAsia="宋体" w:cs="Times New Roman"/>
                <w:kern w:val="0"/>
                <w:u w:val="single"/>
                <w:vertAlign w:val="superscript"/>
              </w:rPr>
              <w:t>2</w:t>
            </w:r>
          </w:p>
        </w:tc>
      </w:tr>
      <w:tr w14:paraId="7AA918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14:paraId="3FE25AF5">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w:t>
            </w:r>
          </w:p>
        </w:tc>
        <w:tc>
          <w:tcPr>
            <w:tcW w:w="793" w:type="pct"/>
            <w:vAlign w:val="center"/>
          </w:tcPr>
          <w:p w14:paraId="7E344342">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噪声环境</w:t>
            </w:r>
          </w:p>
        </w:tc>
        <w:tc>
          <w:tcPr>
            <w:tcW w:w="705" w:type="pct"/>
            <w:vAlign w:val="center"/>
          </w:tcPr>
          <w:p w14:paraId="555E077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二级</w:t>
            </w:r>
          </w:p>
        </w:tc>
        <w:tc>
          <w:tcPr>
            <w:tcW w:w="3125" w:type="pct"/>
            <w:vAlign w:val="center"/>
          </w:tcPr>
          <w:p w14:paraId="1FC806EE">
            <w:pPr>
              <w:keepNext w:val="0"/>
              <w:keepLines w:val="0"/>
              <w:suppressLineNumbers w:val="0"/>
              <w:tabs>
                <w:tab w:val="left" w:pos="1125"/>
              </w:tabs>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本项目厂界外200m范围</w:t>
            </w:r>
          </w:p>
        </w:tc>
      </w:tr>
      <w:tr w14:paraId="27E61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14:paraId="32002D3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w:t>
            </w:r>
          </w:p>
        </w:tc>
        <w:tc>
          <w:tcPr>
            <w:tcW w:w="793" w:type="pct"/>
            <w:vAlign w:val="center"/>
          </w:tcPr>
          <w:p w14:paraId="14F8BA1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生态环境</w:t>
            </w:r>
          </w:p>
        </w:tc>
        <w:tc>
          <w:tcPr>
            <w:tcW w:w="705" w:type="pct"/>
            <w:vAlign w:val="center"/>
          </w:tcPr>
          <w:p w14:paraId="6AA82CA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简单分析</w:t>
            </w:r>
          </w:p>
        </w:tc>
        <w:tc>
          <w:tcPr>
            <w:tcW w:w="3125" w:type="pct"/>
            <w:vAlign w:val="center"/>
          </w:tcPr>
          <w:p w14:paraId="0080F195">
            <w:pPr>
              <w:keepNext w:val="0"/>
              <w:keepLines w:val="0"/>
              <w:suppressLineNumbers w:val="0"/>
              <w:tabs>
                <w:tab w:val="left" w:pos="1125"/>
              </w:tabs>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rPr>
              <w:t>占地范围内</w:t>
            </w:r>
          </w:p>
        </w:tc>
      </w:tr>
      <w:tr w14:paraId="63ADD6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14:paraId="18629D69">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w:t>
            </w:r>
          </w:p>
        </w:tc>
        <w:tc>
          <w:tcPr>
            <w:tcW w:w="793" w:type="pct"/>
            <w:vAlign w:val="center"/>
          </w:tcPr>
          <w:p w14:paraId="2EB2C02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环境风险</w:t>
            </w:r>
          </w:p>
        </w:tc>
        <w:tc>
          <w:tcPr>
            <w:tcW w:w="705" w:type="pct"/>
            <w:vAlign w:val="center"/>
          </w:tcPr>
          <w:p w14:paraId="46F2D05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三级</w:t>
            </w:r>
          </w:p>
        </w:tc>
        <w:tc>
          <w:tcPr>
            <w:tcW w:w="3125" w:type="pct"/>
            <w:vAlign w:val="center"/>
          </w:tcPr>
          <w:p w14:paraId="3C8DC28A">
            <w:pPr>
              <w:keepNext w:val="0"/>
              <w:keepLines w:val="0"/>
              <w:suppressLineNumbers w:val="0"/>
              <w:tabs>
                <w:tab w:val="left" w:pos="1125"/>
              </w:tabs>
              <w:autoSpaceDE w:val="0"/>
              <w:autoSpaceDN w:val="0"/>
              <w:adjustRightIn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大气风险环境评价范围为距离源点5km的圆形范围；地表水风险评价范围为同地表水环境评价范围一致；地下水风险评价范围为同地下水环境评价范围一致</w:t>
            </w:r>
          </w:p>
        </w:tc>
      </w:tr>
      <w:tr w14:paraId="7423DA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76" w:type="pct"/>
            <w:vAlign w:val="center"/>
          </w:tcPr>
          <w:p w14:paraId="7F79DAC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w:t>
            </w:r>
          </w:p>
        </w:tc>
        <w:tc>
          <w:tcPr>
            <w:tcW w:w="793" w:type="pct"/>
            <w:vAlign w:val="center"/>
          </w:tcPr>
          <w:p w14:paraId="3CFB3CD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土壤环境</w:t>
            </w:r>
          </w:p>
        </w:tc>
        <w:tc>
          <w:tcPr>
            <w:tcW w:w="705" w:type="pct"/>
            <w:vAlign w:val="center"/>
          </w:tcPr>
          <w:p w14:paraId="42F93573">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二级</w:t>
            </w:r>
          </w:p>
        </w:tc>
        <w:tc>
          <w:tcPr>
            <w:tcW w:w="3125" w:type="pct"/>
            <w:vAlign w:val="center"/>
          </w:tcPr>
          <w:p w14:paraId="11557872">
            <w:pPr>
              <w:keepNext w:val="0"/>
              <w:keepLines w:val="0"/>
              <w:suppressLineNumbers w:val="0"/>
              <w:tabs>
                <w:tab w:val="left" w:pos="1125"/>
              </w:tabs>
              <w:autoSpaceDE w:val="0"/>
              <w:autoSpaceDN w:val="0"/>
              <w:adjustRightIn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占地范围内及厂界外0.2km范围内</w:t>
            </w:r>
          </w:p>
        </w:tc>
      </w:tr>
    </w:tbl>
    <w:p w14:paraId="62423FDD">
      <w:pPr>
        <w:pStyle w:val="4"/>
        <w:spacing w:before="0" w:after="0" w:line="360" w:lineRule="auto"/>
        <w:jc w:val="left"/>
        <w:rPr>
          <w:rFonts w:hint="default" w:ascii="Times New Roman" w:hAnsi="Times New Roman" w:eastAsia="宋体" w:cs="Times New Roman"/>
        </w:rPr>
      </w:pPr>
      <w:bookmarkStart w:id="185" w:name="_Toc34723864"/>
      <w:r>
        <w:rPr>
          <w:rFonts w:hint="default" w:ascii="Times New Roman" w:hAnsi="Times New Roman" w:eastAsia="宋体" w:cs="Times New Roman"/>
        </w:rPr>
        <w:t>2.3.3评价重点</w:t>
      </w:r>
      <w:bookmarkEnd w:id="185"/>
    </w:p>
    <w:p w14:paraId="08033E56">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本次评价重点包括：工程分析、环境影响预测及评价、风险评价和污染防治措施为本次评价重点。</w:t>
      </w:r>
    </w:p>
    <w:p w14:paraId="0ED5B45B">
      <w:pPr>
        <w:pStyle w:val="4"/>
        <w:spacing w:before="0" w:after="0" w:line="360" w:lineRule="auto"/>
        <w:jc w:val="left"/>
        <w:rPr>
          <w:rFonts w:hint="default" w:ascii="Times New Roman" w:hAnsi="Times New Roman" w:eastAsia="宋体" w:cs="Times New Roman"/>
        </w:rPr>
      </w:pPr>
      <w:bookmarkStart w:id="186" w:name="_Toc34723865"/>
      <w:r>
        <w:rPr>
          <w:rFonts w:hint="default" w:ascii="Times New Roman" w:hAnsi="Times New Roman" w:eastAsia="宋体" w:cs="Times New Roman"/>
        </w:rPr>
        <w:t>2.3.4评价时段</w:t>
      </w:r>
      <w:bookmarkEnd w:id="186"/>
    </w:p>
    <w:p w14:paraId="343DA62E">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本项目系</w:t>
      </w:r>
      <w:r>
        <w:rPr>
          <w:rFonts w:hint="default" w:ascii="Times New Roman" w:hAnsi="Times New Roman" w:eastAsia="宋体" w:cs="Times New Roman"/>
          <w:sz w:val="24"/>
          <w:szCs w:val="24"/>
          <w:lang w:val="en-US" w:eastAsia="zh-CN"/>
        </w:rPr>
        <w:t>异地搬迁</w:t>
      </w:r>
      <w:r>
        <w:rPr>
          <w:rFonts w:hint="default" w:ascii="Times New Roman" w:hAnsi="Times New Roman" w:eastAsia="宋体" w:cs="Times New Roman"/>
          <w:sz w:val="24"/>
          <w:szCs w:val="24"/>
        </w:rPr>
        <w:t>扩建项目，涉及土建施工，评价时段选取施工期和运营期。</w:t>
      </w:r>
    </w:p>
    <w:p w14:paraId="41321BB1">
      <w:pPr>
        <w:pStyle w:val="4"/>
        <w:spacing w:before="0" w:after="0" w:line="360" w:lineRule="auto"/>
        <w:jc w:val="left"/>
        <w:rPr>
          <w:rFonts w:hint="default" w:ascii="Times New Roman" w:hAnsi="Times New Roman" w:eastAsia="宋体" w:cs="Times New Roman"/>
        </w:rPr>
      </w:pPr>
      <w:r>
        <w:rPr>
          <w:rFonts w:hint="default" w:ascii="Times New Roman" w:hAnsi="Times New Roman" w:eastAsia="宋体" w:cs="Times New Roman"/>
        </w:rPr>
        <w:t>2.3.5</w:t>
      </w:r>
      <w:r>
        <w:rPr>
          <w:rFonts w:hint="default" w:ascii="Times New Roman" w:hAnsi="Times New Roman" w:eastAsia="宋体" w:cs="Times New Roman"/>
          <w:kern w:val="0"/>
          <w:sz w:val="30"/>
          <w:szCs w:val="28"/>
        </w:rPr>
        <w:t>环境功能区划</w:t>
      </w:r>
    </w:p>
    <w:p w14:paraId="4F69225B">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本项目所在区域环境功能区划详见表2.3-9。</w:t>
      </w:r>
    </w:p>
    <w:p w14:paraId="0A46D68B">
      <w:pPr>
        <w:pStyle w:val="8"/>
        <w:spacing w:line="360" w:lineRule="auto"/>
        <w:ind w:firstLine="42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表2.3-9  本区域环境功能区划</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51"/>
        <w:gridCol w:w="3142"/>
        <w:gridCol w:w="4729"/>
      </w:tblGrid>
      <w:tr w14:paraId="119FAD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1EB4FECE">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1843" w:type="pct"/>
            <w:vAlign w:val="center"/>
          </w:tcPr>
          <w:p w14:paraId="42003AD5">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2774" w:type="pct"/>
            <w:vAlign w:val="center"/>
          </w:tcPr>
          <w:p w14:paraId="238F0929">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功能属性及执行标准</w:t>
            </w:r>
          </w:p>
        </w:tc>
      </w:tr>
      <w:tr w14:paraId="1837A3C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3913BDC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843" w:type="pct"/>
            <w:vAlign w:val="center"/>
          </w:tcPr>
          <w:p w14:paraId="7E27F2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环境空气质量功能区</w:t>
            </w:r>
          </w:p>
        </w:tc>
        <w:tc>
          <w:tcPr>
            <w:tcW w:w="2774" w:type="pct"/>
            <w:vAlign w:val="center"/>
          </w:tcPr>
          <w:p w14:paraId="61C90FA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二类区，执行《环境空气质量标准》（GB3095-2012）中的二级标准</w:t>
            </w:r>
          </w:p>
        </w:tc>
      </w:tr>
      <w:tr w14:paraId="6C532B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73B009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843" w:type="pct"/>
            <w:vAlign w:val="center"/>
          </w:tcPr>
          <w:p w14:paraId="328C80C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声环境功能区</w:t>
            </w:r>
          </w:p>
        </w:tc>
        <w:tc>
          <w:tcPr>
            <w:tcW w:w="2774" w:type="pct"/>
            <w:vAlign w:val="center"/>
          </w:tcPr>
          <w:p w14:paraId="30B38F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3内区，执行《声环境质量标准》（GB3096—2008）3类环境噪声限值</w:t>
            </w:r>
          </w:p>
        </w:tc>
      </w:tr>
      <w:tr w14:paraId="586D5B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2AAC01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843" w:type="pct"/>
            <w:vAlign w:val="center"/>
          </w:tcPr>
          <w:p w14:paraId="2BACDA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水环境功能区</w:t>
            </w:r>
          </w:p>
        </w:tc>
        <w:tc>
          <w:tcPr>
            <w:tcW w:w="2774" w:type="pct"/>
            <w:vAlign w:val="center"/>
          </w:tcPr>
          <w:p w14:paraId="6B1E24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湘江蒸水口至大浦镇师塘村上游6000m江段，长度22.4km，为工业用水区，执行《地表水环境质量标准》中的（GB3838-2002）III类标准</w:t>
            </w:r>
          </w:p>
        </w:tc>
      </w:tr>
      <w:tr w14:paraId="496D4E4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0DDA6A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843" w:type="pct"/>
            <w:vAlign w:val="center"/>
          </w:tcPr>
          <w:p w14:paraId="1F78BDF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是否基本农田保护区</w:t>
            </w:r>
          </w:p>
        </w:tc>
        <w:tc>
          <w:tcPr>
            <w:tcW w:w="2774" w:type="pct"/>
            <w:vAlign w:val="center"/>
          </w:tcPr>
          <w:p w14:paraId="6083F1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否</w:t>
            </w:r>
          </w:p>
        </w:tc>
      </w:tr>
      <w:tr w14:paraId="44337A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517002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843" w:type="pct"/>
            <w:vAlign w:val="center"/>
          </w:tcPr>
          <w:p w14:paraId="1F7C9A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是否森林公园</w:t>
            </w:r>
          </w:p>
        </w:tc>
        <w:tc>
          <w:tcPr>
            <w:tcW w:w="2774" w:type="pct"/>
            <w:vAlign w:val="center"/>
          </w:tcPr>
          <w:p w14:paraId="5847EC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否</w:t>
            </w:r>
          </w:p>
        </w:tc>
      </w:tr>
      <w:tr w14:paraId="31BBBE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5B5D13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1843" w:type="pct"/>
            <w:vAlign w:val="center"/>
          </w:tcPr>
          <w:p w14:paraId="0C2A376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是否生态功能保护区</w:t>
            </w:r>
          </w:p>
        </w:tc>
        <w:tc>
          <w:tcPr>
            <w:tcW w:w="2774" w:type="pct"/>
            <w:vAlign w:val="center"/>
          </w:tcPr>
          <w:p w14:paraId="2CE498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否</w:t>
            </w:r>
          </w:p>
        </w:tc>
      </w:tr>
      <w:tr w14:paraId="6D18A08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97" w:hRule="atLeast"/>
          <w:jc w:val="center"/>
        </w:trPr>
        <w:tc>
          <w:tcPr>
            <w:tcW w:w="382" w:type="pct"/>
            <w:vAlign w:val="center"/>
          </w:tcPr>
          <w:p w14:paraId="438157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1843" w:type="pct"/>
            <w:vAlign w:val="center"/>
          </w:tcPr>
          <w:p w14:paraId="7A8F63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是否水土流失重点防治区</w:t>
            </w:r>
          </w:p>
        </w:tc>
        <w:tc>
          <w:tcPr>
            <w:tcW w:w="2774" w:type="pct"/>
            <w:vAlign w:val="center"/>
          </w:tcPr>
          <w:p w14:paraId="2992BB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否</w:t>
            </w:r>
          </w:p>
        </w:tc>
      </w:tr>
      <w:tr w14:paraId="141B98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448D46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1843" w:type="pct"/>
            <w:vAlign w:val="center"/>
          </w:tcPr>
          <w:p w14:paraId="4B86691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是否人口密集区</w:t>
            </w:r>
          </w:p>
        </w:tc>
        <w:tc>
          <w:tcPr>
            <w:tcW w:w="2774" w:type="pct"/>
            <w:vAlign w:val="center"/>
          </w:tcPr>
          <w:p w14:paraId="64F80D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否</w:t>
            </w:r>
          </w:p>
        </w:tc>
      </w:tr>
      <w:tr w14:paraId="1FC657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1D07D07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1843" w:type="pct"/>
            <w:vAlign w:val="center"/>
          </w:tcPr>
          <w:p w14:paraId="021143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是否重点文物保护单位</w:t>
            </w:r>
          </w:p>
        </w:tc>
        <w:tc>
          <w:tcPr>
            <w:tcW w:w="2774" w:type="pct"/>
            <w:vAlign w:val="center"/>
          </w:tcPr>
          <w:p w14:paraId="627206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否</w:t>
            </w:r>
          </w:p>
        </w:tc>
      </w:tr>
      <w:tr w14:paraId="5174DD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10794F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1843" w:type="pct"/>
            <w:vAlign w:val="center"/>
          </w:tcPr>
          <w:p w14:paraId="41751B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是否三河、三湖、两控区</w:t>
            </w:r>
          </w:p>
        </w:tc>
        <w:tc>
          <w:tcPr>
            <w:tcW w:w="2774" w:type="pct"/>
            <w:vAlign w:val="center"/>
          </w:tcPr>
          <w:p w14:paraId="728682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是，两控区</w:t>
            </w:r>
          </w:p>
        </w:tc>
      </w:tr>
      <w:tr w14:paraId="34A40D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6CFBB6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1843" w:type="pct"/>
            <w:vAlign w:val="center"/>
          </w:tcPr>
          <w:p w14:paraId="6FD616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是否水库库区</w:t>
            </w:r>
          </w:p>
        </w:tc>
        <w:tc>
          <w:tcPr>
            <w:tcW w:w="2774" w:type="pct"/>
            <w:vAlign w:val="center"/>
          </w:tcPr>
          <w:p w14:paraId="12FCF3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否</w:t>
            </w:r>
          </w:p>
        </w:tc>
      </w:tr>
      <w:tr w14:paraId="52FA1F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71477E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1843" w:type="pct"/>
            <w:vAlign w:val="center"/>
          </w:tcPr>
          <w:p w14:paraId="1233E47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是否污水处理厂集水范围</w:t>
            </w:r>
          </w:p>
        </w:tc>
        <w:tc>
          <w:tcPr>
            <w:tcW w:w="2774" w:type="pct"/>
            <w:vAlign w:val="center"/>
          </w:tcPr>
          <w:p w14:paraId="3D4370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w:t>
            </w:r>
          </w:p>
        </w:tc>
      </w:tr>
      <w:tr w14:paraId="4FA405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382" w:type="pct"/>
            <w:vAlign w:val="center"/>
          </w:tcPr>
          <w:p w14:paraId="55DD05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13</w:t>
            </w:r>
          </w:p>
        </w:tc>
        <w:tc>
          <w:tcPr>
            <w:tcW w:w="1843" w:type="pct"/>
            <w:vAlign w:val="center"/>
          </w:tcPr>
          <w:p w14:paraId="611925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是否属于生态敏感与脆弱区</w:t>
            </w:r>
          </w:p>
        </w:tc>
        <w:tc>
          <w:tcPr>
            <w:tcW w:w="2774" w:type="pct"/>
            <w:vAlign w:val="center"/>
          </w:tcPr>
          <w:p w14:paraId="3A953A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否</w:t>
            </w:r>
          </w:p>
        </w:tc>
      </w:tr>
    </w:tbl>
    <w:p w14:paraId="5667052B">
      <w:pPr>
        <w:pStyle w:val="3"/>
        <w:spacing w:before="0" w:after="0" w:line="360" w:lineRule="auto"/>
        <w:jc w:val="left"/>
        <w:rPr>
          <w:rFonts w:hint="default" w:ascii="Times New Roman" w:hAnsi="Times New Roman" w:eastAsia="宋体" w:cs="Times New Roman"/>
          <w:kern w:val="0"/>
          <w:sz w:val="30"/>
          <w:szCs w:val="28"/>
        </w:rPr>
      </w:pPr>
      <w:bookmarkStart w:id="187" w:name="_Toc123733073"/>
      <w:bookmarkStart w:id="188" w:name="_Toc87016971"/>
      <w:bookmarkStart w:id="189" w:name="_Toc18325"/>
      <w:bookmarkStart w:id="190" w:name="_Toc106961868"/>
      <w:r>
        <w:rPr>
          <w:rFonts w:hint="default" w:ascii="Times New Roman" w:hAnsi="Times New Roman" w:eastAsia="宋体" w:cs="Times New Roman"/>
          <w:kern w:val="0"/>
          <w:sz w:val="30"/>
          <w:szCs w:val="28"/>
        </w:rPr>
        <w:t>2.4评价标准</w:t>
      </w:r>
      <w:bookmarkEnd w:id="187"/>
      <w:bookmarkEnd w:id="188"/>
      <w:bookmarkEnd w:id="189"/>
      <w:bookmarkEnd w:id="190"/>
    </w:p>
    <w:p w14:paraId="2031462D">
      <w:pPr>
        <w:pStyle w:val="63"/>
        <w:spacing w:line="360" w:lineRule="auto"/>
        <w:ind w:firstLine="480"/>
        <w:rPr>
          <w:rFonts w:hint="default" w:ascii="Times New Roman" w:hAnsi="Times New Roman" w:eastAsia="宋体" w:cs="Times New Roman"/>
        </w:rPr>
      </w:pPr>
      <w:r>
        <w:rPr>
          <w:rFonts w:hint="default" w:ascii="Times New Roman" w:hAnsi="Times New Roman" w:eastAsia="宋体" w:cs="Times New Roman"/>
          <w:szCs w:val="24"/>
        </w:rPr>
        <w:t>项目执行如下评价标准：</w:t>
      </w:r>
    </w:p>
    <w:p w14:paraId="68F30D14">
      <w:pPr>
        <w:pStyle w:val="4"/>
        <w:tabs>
          <w:tab w:val="left" w:pos="900"/>
        </w:tabs>
        <w:spacing w:before="0" w:after="0" w:line="360" w:lineRule="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2.4.1环境质量标准</w:t>
      </w:r>
    </w:p>
    <w:p w14:paraId="0EB92548">
      <w:pPr>
        <w:pStyle w:val="63"/>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（1）环境空气质量标准</w:t>
      </w:r>
    </w:p>
    <w:p w14:paraId="3C2C3D89">
      <w:pPr>
        <w:pStyle w:val="65"/>
        <w:spacing w:line="360" w:lineRule="auto"/>
        <w:ind w:firstLine="48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项目属于二类区，环境空气中TSP、PM</w:t>
      </w:r>
      <w:r>
        <w:rPr>
          <w:rFonts w:hint="default" w:ascii="Times New Roman" w:hAnsi="Times New Roman" w:eastAsia="宋体" w:cs="Times New Roman"/>
          <w:sz w:val="24"/>
          <w:szCs w:val="24"/>
          <w:vertAlign w:val="subscript"/>
        </w:rPr>
        <w:t>10</w:t>
      </w:r>
      <w:r>
        <w:rPr>
          <w:rFonts w:hint="default" w:ascii="Times New Roman" w:hAnsi="Times New Roman" w:eastAsia="宋体" w:cs="Times New Roman"/>
          <w:sz w:val="24"/>
          <w:szCs w:val="24"/>
        </w:rPr>
        <w:t>、PM</w:t>
      </w:r>
      <w:r>
        <w:rPr>
          <w:rFonts w:hint="default" w:ascii="Times New Roman" w:hAnsi="Times New Roman" w:eastAsia="宋体" w:cs="Times New Roman"/>
          <w:sz w:val="24"/>
          <w:szCs w:val="24"/>
          <w:vertAlign w:val="subscript"/>
        </w:rPr>
        <w:t>2.5</w:t>
      </w:r>
      <w:r>
        <w:rPr>
          <w:rFonts w:hint="default" w:ascii="Times New Roman" w:hAnsi="Times New Roman" w:eastAsia="宋体" w:cs="Times New Roman"/>
          <w:sz w:val="24"/>
          <w:szCs w:val="24"/>
        </w:rPr>
        <w:t>、SO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、NO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、CO均执行《环境空气质量标准》（GB3095-2012）二级标准；氨、硫化氢、总挥发性有机物TVOC、苯、甲苯、二甲苯</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硫酸雾</w:t>
      </w:r>
      <w:r>
        <w:rPr>
          <w:rFonts w:hint="default" w:ascii="Times New Roman" w:hAnsi="Times New Roman" w:eastAsia="宋体" w:cs="Times New Roman"/>
          <w:sz w:val="24"/>
          <w:szCs w:val="24"/>
        </w:rPr>
        <w:t>参照《环境影响评价技术导则—大气环境》（HJ2.2-2018）附录D中空气质量浓度参考限值，相关污染物标准限值详见表2.4-1。</w:t>
      </w:r>
    </w:p>
    <w:p w14:paraId="540117BE">
      <w:pPr>
        <w:autoSpaceDE w:val="0"/>
        <w:autoSpaceDN w:val="0"/>
        <w:spacing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Cs w:val="21"/>
        </w:rPr>
        <w:t>表2.4-1   环境空气质量标准</w:t>
      </w:r>
    </w:p>
    <w:tbl>
      <w:tblPr>
        <w:tblStyle w:val="32"/>
        <w:tblW w:w="849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359"/>
        <w:gridCol w:w="2367"/>
        <w:gridCol w:w="1066"/>
        <w:gridCol w:w="3037"/>
      </w:tblGrid>
      <w:tr w14:paraId="1C06DB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Align w:val="center"/>
          </w:tcPr>
          <w:p w14:paraId="6DA8FA1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1359" w:type="dxa"/>
            <w:vAlign w:val="center"/>
          </w:tcPr>
          <w:p w14:paraId="6A6D364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污染物名称</w:t>
            </w:r>
          </w:p>
        </w:tc>
        <w:tc>
          <w:tcPr>
            <w:tcW w:w="3433" w:type="dxa"/>
            <w:gridSpan w:val="2"/>
            <w:vAlign w:val="center"/>
          </w:tcPr>
          <w:p w14:paraId="76A0ED8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标准限值，μg/m³</w:t>
            </w:r>
          </w:p>
        </w:tc>
        <w:tc>
          <w:tcPr>
            <w:tcW w:w="3037" w:type="dxa"/>
            <w:vAlign w:val="center"/>
          </w:tcPr>
          <w:p w14:paraId="0B2D7EB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标准来源</w:t>
            </w:r>
          </w:p>
        </w:tc>
      </w:tr>
      <w:tr w14:paraId="78E7A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restart"/>
            <w:vAlign w:val="center"/>
          </w:tcPr>
          <w:p w14:paraId="75FF1D4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p>
        </w:tc>
        <w:tc>
          <w:tcPr>
            <w:tcW w:w="1359" w:type="dxa"/>
            <w:vMerge w:val="restart"/>
            <w:vAlign w:val="center"/>
          </w:tcPr>
          <w:p w14:paraId="43828F8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SO</w:t>
            </w:r>
            <w:r>
              <w:rPr>
                <w:rFonts w:hint="default" w:ascii="Times New Roman" w:hAnsi="Times New Roman" w:eastAsia="宋体" w:cs="Times New Roman"/>
                <w:vertAlign w:val="subscript"/>
              </w:rPr>
              <w:t>2</w:t>
            </w:r>
          </w:p>
        </w:tc>
        <w:tc>
          <w:tcPr>
            <w:tcW w:w="2367" w:type="dxa"/>
            <w:vAlign w:val="center"/>
          </w:tcPr>
          <w:p w14:paraId="6D0C0D7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年平均</w:t>
            </w:r>
          </w:p>
        </w:tc>
        <w:tc>
          <w:tcPr>
            <w:tcW w:w="1066" w:type="dxa"/>
            <w:vAlign w:val="center"/>
          </w:tcPr>
          <w:p w14:paraId="1A41B19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60</w:t>
            </w:r>
          </w:p>
        </w:tc>
        <w:tc>
          <w:tcPr>
            <w:tcW w:w="3037" w:type="dxa"/>
            <w:vMerge w:val="restart"/>
            <w:vAlign w:val="center"/>
          </w:tcPr>
          <w:p w14:paraId="35A4602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《环境空气质量标准》（GB3095-2012）二级标准</w:t>
            </w:r>
          </w:p>
        </w:tc>
      </w:tr>
      <w:tr w14:paraId="63329B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14:paraId="5C76D33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1359" w:type="dxa"/>
            <w:vMerge w:val="continue"/>
            <w:vAlign w:val="center"/>
          </w:tcPr>
          <w:p w14:paraId="79C293B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2367" w:type="dxa"/>
            <w:vAlign w:val="center"/>
          </w:tcPr>
          <w:p w14:paraId="16BDF3D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24小时平均</w:t>
            </w:r>
          </w:p>
        </w:tc>
        <w:tc>
          <w:tcPr>
            <w:tcW w:w="1066" w:type="dxa"/>
            <w:vAlign w:val="center"/>
          </w:tcPr>
          <w:p w14:paraId="2AAF19F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150</w:t>
            </w:r>
          </w:p>
        </w:tc>
        <w:tc>
          <w:tcPr>
            <w:tcW w:w="3037" w:type="dxa"/>
            <w:vMerge w:val="continue"/>
            <w:vAlign w:val="center"/>
          </w:tcPr>
          <w:p w14:paraId="506E888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179A60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14:paraId="5F2906E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1359" w:type="dxa"/>
            <w:vMerge w:val="continue"/>
            <w:vAlign w:val="center"/>
          </w:tcPr>
          <w:p w14:paraId="69D2215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2367" w:type="dxa"/>
            <w:vAlign w:val="center"/>
          </w:tcPr>
          <w:p w14:paraId="5ECF8FE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vAlign w:val="center"/>
          </w:tcPr>
          <w:p w14:paraId="04A8A1E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500</w:t>
            </w:r>
          </w:p>
        </w:tc>
        <w:tc>
          <w:tcPr>
            <w:tcW w:w="3037" w:type="dxa"/>
            <w:vMerge w:val="continue"/>
            <w:vAlign w:val="center"/>
          </w:tcPr>
          <w:p w14:paraId="52D27B6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3FAEE5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restart"/>
            <w:vAlign w:val="center"/>
          </w:tcPr>
          <w:p w14:paraId="488D0F3B">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w:t>
            </w:r>
          </w:p>
        </w:tc>
        <w:tc>
          <w:tcPr>
            <w:tcW w:w="1359" w:type="dxa"/>
            <w:vMerge w:val="restart"/>
            <w:vAlign w:val="center"/>
          </w:tcPr>
          <w:p w14:paraId="5D07FFB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NO</w:t>
            </w:r>
            <w:r>
              <w:rPr>
                <w:rFonts w:hint="default" w:ascii="Times New Roman" w:hAnsi="Times New Roman" w:eastAsia="宋体" w:cs="Times New Roman"/>
                <w:vertAlign w:val="subscript"/>
              </w:rPr>
              <w:t>2</w:t>
            </w:r>
          </w:p>
        </w:tc>
        <w:tc>
          <w:tcPr>
            <w:tcW w:w="2367" w:type="dxa"/>
            <w:vAlign w:val="center"/>
          </w:tcPr>
          <w:p w14:paraId="023C56C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年平均</w:t>
            </w:r>
          </w:p>
        </w:tc>
        <w:tc>
          <w:tcPr>
            <w:tcW w:w="1066" w:type="dxa"/>
            <w:vAlign w:val="center"/>
          </w:tcPr>
          <w:p w14:paraId="5D91367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40</w:t>
            </w:r>
          </w:p>
        </w:tc>
        <w:tc>
          <w:tcPr>
            <w:tcW w:w="3037" w:type="dxa"/>
            <w:vMerge w:val="continue"/>
            <w:vAlign w:val="center"/>
          </w:tcPr>
          <w:p w14:paraId="5CF7745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5EB1C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14:paraId="6F15D9E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1359" w:type="dxa"/>
            <w:vMerge w:val="continue"/>
            <w:vAlign w:val="center"/>
          </w:tcPr>
          <w:p w14:paraId="4FDCA9E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2367" w:type="dxa"/>
            <w:vAlign w:val="center"/>
          </w:tcPr>
          <w:p w14:paraId="6AE9292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24小时平均</w:t>
            </w:r>
          </w:p>
        </w:tc>
        <w:tc>
          <w:tcPr>
            <w:tcW w:w="1066" w:type="dxa"/>
            <w:vAlign w:val="center"/>
          </w:tcPr>
          <w:p w14:paraId="39A7EB6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80</w:t>
            </w:r>
          </w:p>
        </w:tc>
        <w:tc>
          <w:tcPr>
            <w:tcW w:w="3037" w:type="dxa"/>
            <w:vMerge w:val="continue"/>
            <w:vAlign w:val="center"/>
          </w:tcPr>
          <w:p w14:paraId="6690337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7E300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14:paraId="017189C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1359" w:type="dxa"/>
            <w:vMerge w:val="continue"/>
            <w:vAlign w:val="center"/>
          </w:tcPr>
          <w:p w14:paraId="14F1163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2367" w:type="dxa"/>
            <w:vAlign w:val="center"/>
          </w:tcPr>
          <w:p w14:paraId="4EC2BFB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vAlign w:val="center"/>
          </w:tcPr>
          <w:p w14:paraId="1C08707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200</w:t>
            </w:r>
          </w:p>
        </w:tc>
        <w:tc>
          <w:tcPr>
            <w:tcW w:w="3037" w:type="dxa"/>
            <w:vMerge w:val="continue"/>
            <w:vAlign w:val="center"/>
          </w:tcPr>
          <w:p w14:paraId="7CCD70D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525FD4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restart"/>
            <w:vAlign w:val="center"/>
          </w:tcPr>
          <w:p w14:paraId="3B3FCF9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3</w:t>
            </w:r>
          </w:p>
        </w:tc>
        <w:tc>
          <w:tcPr>
            <w:tcW w:w="1359" w:type="dxa"/>
            <w:vMerge w:val="restart"/>
            <w:vAlign w:val="center"/>
          </w:tcPr>
          <w:p w14:paraId="290277B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PM</w:t>
            </w:r>
            <w:r>
              <w:rPr>
                <w:rFonts w:hint="default" w:ascii="Times New Roman" w:hAnsi="Times New Roman" w:eastAsia="宋体" w:cs="Times New Roman"/>
                <w:vertAlign w:val="subscript"/>
              </w:rPr>
              <w:t>10</w:t>
            </w:r>
          </w:p>
        </w:tc>
        <w:tc>
          <w:tcPr>
            <w:tcW w:w="2367" w:type="dxa"/>
            <w:vAlign w:val="center"/>
          </w:tcPr>
          <w:p w14:paraId="0012063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年平均</w:t>
            </w:r>
          </w:p>
        </w:tc>
        <w:tc>
          <w:tcPr>
            <w:tcW w:w="1066" w:type="dxa"/>
            <w:vAlign w:val="center"/>
          </w:tcPr>
          <w:p w14:paraId="23B239C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70</w:t>
            </w:r>
          </w:p>
        </w:tc>
        <w:tc>
          <w:tcPr>
            <w:tcW w:w="3037" w:type="dxa"/>
            <w:vMerge w:val="continue"/>
            <w:vAlign w:val="center"/>
          </w:tcPr>
          <w:p w14:paraId="6AFBEBC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3752FC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14:paraId="6F583F1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1359" w:type="dxa"/>
            <w:vMerge w:val="continue"/>
            <w:vAlign w:val="center"/>
          </w:tcPr>
          <w:p w14:paraId="76FFC33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2367" w:type="dxa"/>
            <w:vAlign w:val="center"/>
          </w:tcPr>
          <w:p w14:paraId="30CE7CB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24小时平均</w:t>
            </w:r>
          </w:p>
        </w:tc>
        <w:tc>
          <w:tcPr>
            <w:tcW w:w="1066" w:type="dxa"/>
            <w:vAlign w:val="center"/>
          </w:tcPr>
          <w:p w14:paraId="4B303C6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150</w:t>
            </w:r>
          </w:p>
        </w:tc>
        <w:tc>
          <w:tcPr>
            <w:tcW w:w="3037" w:type="dxa"/>
            <w:vMerge w:val="continue"/>
            <w:vAlign w:val="center"/>
          </w:tcPr>
          <w:p w14:paraId="378A78E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6DA88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restart"/>
            <w:vAlign w:val="center"/>
          </w:tcPr>
          <w:p w14:paraId="52BC10A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4</w:t>
            </w:r>
          </w:p>
        </w:tc>
        <w:tc>
          <w:tcPr>
            <w:tcW w:w="1359" w:type="dxa"/>
            <w:vMerge w:val="restart"/>
            <w:vAlign w:val="center"/>
          </w:tcPr>
          <w:p w14:paraId="3830D6F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PM</w:t>
            </w:r>
            <w:r>
              <w:rPr>
                <w:rFonts w:hint="default" w:ascii="Times New Roman" w:hAnsi="Times New Roman" w:eastAsia="宋体" w:cs="Times New Roman"/>
                <w:vertAlign w:val="subscript"/>
              </w:rPr>
              <w:t>2.5</w:t>
            </w:r>
          </w:p>
        </w:tc>
        <w:tc>
          <w:tcPr>
            <w:tcW w:w="2367" w:type="dxa"/>
            <w:vAlign w:val="center"/>
          </w:tcPr>
          <w:p w14:paraId="0781393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年平均</w:t>
            </w:r>
          </w:p>
        </w:tc>
        <w:tc>
          <w:tcPr>
            <w:tcW w:w="1066" w:type="dxa"/>
            <w:vAlign w:val="center"/>
          </w:tcPr>
          <w:p w14:paraId="1618D08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35</w:t>
            </w:r>
          </w:p>
        </w:tc>
        <w:tc>
          <w:tcPr>
            <w:tcW w:w="3037" w:type="dxa"/>
            <w:vMerge w:val="continue"/>
            <w:vAlign w:val="center"/>
          </w:tcPr>
          <w:p w14:paraId="2801849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377DC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14:paraId="75E927D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1359" w:type="dxa"/>
            <w:vMerge w:val="continue"/>
            <w:vAlign w:val="center"/>
          </w:tcPr>
          <w:p w14:paraId="5EC9FA4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2367" w:type="dxa"/>
            <w:vAlign w:val="center"/>
          </w:tcPr>
          <w:p w14:paraId="46ADF9D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24小时平均</w:t>
            </w:r>
          </w:p>
        </w:tc>
        <w:tc>
          <w:tcPr>
            <w:tcW w:w="1066" w:type="dxa"/>
            <w:vAlign w:val="center"/>
          </w:tcPr>
          <w:p w14:paraId="7854843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75</w:t>
            </w:r>
          </w:p>
        </w:tc>
        <w:tc>
          <w:tcPr>
            <w:tcW w:w="3037" w:type="dxa"/>
            <w:vMerge w:val="continue"/>
            <w:vAlign w:val="center"/>
          </w:tcPr>
          <w:p w14:paraId="22F55D8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3279A1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restart"/>
            <w:vAlign w:val="center"/>
          </w:tcPr>
          <w:p w14:paraId="2CE4F44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5</w:t>
            </w:r>
          </w:p>
        </w:tc>
        <w:tc>
          <w:tcPr>
            <w:tcW w:w="1359" w:type="dxa"/>
            <w:vMerge w:val="restart"/>
            <w:vAlign w:val="center"/>
          </w:tcPr>
          <w:p w14:paraId="0FC144B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CO</w:t>
            </w:r>
          </w:p>
        </w:tc>
        <w:tc>
          <w:tcPr>
            <w:tcW w:w="2367" w:type="dxa"/>
            <w:vAlign w:val="center"/>
          </w:tcPr>
          <w:p w14:paraId="7A8B277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24小时平均</w:t>
            </w:r>
          </w:p>
        </w:tc>
        <w:tc>
          <w:tcPr>
            <w:tcW w:w="1066" w:type="dxa"/>
            <w:vAlign w:val="center"/>
          </w:tcPr>
          <w:p w14:paraId="60918C0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4000</w:t>
            </w:r>
          </w:p>
        </w:tc>
        <w:tc>
          <w:tcPr>
            <w:tcW w:w="3037" w:type="dxa"/>
            <w:vMerge w:val="continue"/>
            <w:vAlign w:val="center"/>
          </w:tcPr>
          <w:p w14:paraId="45112FE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4FB27A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14:paraId="0798D5B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1359" w:type="dxa"/>
            <w:vMerge w:val="continue"/>
            <w:vAlign w:val="center"/>
          </w:tcPr>
          <w:p w14:paraId="483FD15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2367" w:type="dxa"/>
            <w:vAlign w:val="center"/>
          </w:tcPr>
          <w:p w14:paraId="7C7B13B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vAlign w:val="center"/>
          </w:tcPr>
          <w:p w14:paraId="335169E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10000</w:t>
            </w:r>
          </w:p>
        </w:tc>
        <w:tc>
          <w:tcPr>
            <w:tcW w:w="3037" w:type="dxa"/>
            <w:vMerge w:val="continue"/>
            <w:vAlign w:val="center"/>
          </w:tcPr>
          <w:p w14:paraId="7FB2E3A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75B620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restart"/>
            <w:vAlign w:val="center"/>
          </w:tcPr>
          <w:p w14:paraId="3957890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6</w:t>
            </w:r>
          </w:p>
        </w:tc>
        <w:tc>
          <w:tcPr>
            <w:tcW w:w="1359" w:type="dxa"/>
            <w:vMerge w:val="restart"/>
            <w:vAlign w:val="center"/>
          </w:tcPr>
          <w:p w14:paraId="30D226B1">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rPr>
              <w:t>O</w:t>
            </w:r>
            <w:r>
              <w:rPr>
                <w:rFonts w:hint="default" w:ascii="Times New Roman" w:hAnsi="Times New Roman" w:eastAsia="宋体" w:cs="Times New Roman"/>
                <w:vertAlign w:val="subscript"/>
              </w:rPr>
              <w:t>3</w:t>
            </w:r>
          </w:p>
        </w:tc>
        <w:tc>
          <w:tcPr>
            <w:tcW w:w="2367" w:type="dxa"/>
            <w:vAlign w:val="center"/>
          </w:tcPr>
          <w:p w14:paraId="6882638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日最大8小时平均</w:t>
            </w:r>
          </w:p>
        </w:tc>
        <w:tc>
          <w:tcPr>
            <w:tcW w:w="1066" w:type="dxa"/>
            <w:vAlign w:val="center"/>
          </w:tcPr>
          <w:p w14:paraId="4F4E03B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160</w:t>
            </w:r>
          </w:p>
        </w:tc>
        <w:tc>
          <w:tcPr>
            <w:tcW w:w="3037" w:type="dxa"/>
            <w:vMerge w:val="continue"/>
            <w:vAlign w:val="center"/>
          </w:tcPr>
          <w:p w14:paraId="5D96D42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001534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14:paraId="18507F7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1359" w:type="dxa"/>
            <w:vMerge w:val="continue"/>
            <w:vAlign w:val="center"/>
          </w:tcPr>
          <w:p w14:paraId="652549C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c>
          <w:tcPr>
            <w:tcW w:w="2367" w:type="dxa"/>
            <w:vAlign w:val="center"/>
          </w:tcPr>
          <w:p w14:paraId="1775F47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tcBorders>
              <w:bottom w:val="single" w:color="auto" w:sz="4" w:space="0"/>
            </w:tcBorders>
            <w:vAlign w:val="center"/>
          </w:tcPr>
          <w:p w14:paraId="46D5389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200</w:t>
            </w:r>
          </w:p>
        </w:tc>
        <w:tc>
          <w:tcPr>
            <w:tcW w:w="3037" w:type="dxa"/>
            <w:vMerge w:val="continue"/>
            <w:tcBorders>
              <w:bottom w:val="single" w:color="auto" w:sz="4" w:space="0"/>
            </w:tcBorders>
            <w:vAlign w:val="center"/>
          </w:tcPr>
          <w:p w14:paraId="38753EC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08F037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Align w:val="center"/>
          </w:tcPr>
          <w:p w14:paraId="717DEE3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7</w:t>
            </w:r>
          </w:p>
        </w:tc>
        <w:tc>
          <w:tcPr>
            <w:tcW w:w="1359" w:type="dxa"/>
            <w:vAlign w:val="center"/>
          </w:tcPr>
          <w:p w14:paraId="74C4505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氨</w:t>
            </w:r>
          </w:p>
        </w:tc>
        <w:tc>
          <w:tcPr>
            <w:tcW w:w="2367" w:type="dxa"/>
            <w:vAlign w:val="center"/>
          </w:tcPr>
          <w:p w14:paraId="71CA538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vAlign w:val="center"/>
          </w:tcPr>
          <w:p w14:paraId="25584B2B">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200</w:t>
            </w:r>
          </w:p>
        </w:tc>
        <w:tc>
          <w:tcPr>
            <w:tcW w:w="3037" w:type="dxa"/>
            <w:vMerge w:val="restart"/>
            <w:vAlign w:val="center"/>
          </w:tcPr>
          <w:p w14:paraId="676CC6C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《环境影响评价技术导则大气环境》（HJ2.2-2018）附录 D</w:t>
            </w:r>
          </w:p>
        </w:tc>
      </w:tr>
      <w:tr w14:paraId="156A6B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Align w:val="center"/>
          </w:tcPr>
          <w:p w14:paraId="3016DBB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8</w:t>
            </w:r>
          </w:p>
        </w:tc>
        <w:tc>
          <w:tcPr>
            <w:tcW w:w="1359" w:type="dxa"/>
            <w:vAlign w:val="center"/>
          </w:tcPr>
          <w:p w14:paraId="4153C64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硫化氢</w:t>
            </w:r>
          </w:p>
        </w:tc>
        <w:tc>
          <w:tcPr>
            <w:tcW w:w="2367" w:type="dxa"/>
            <w:vAlign w:val="center"/>
          </w:tcPr>
          <w:p w14:paraId="5528D77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vAlign w:val="center"/>
          </w:tcPr>
          <w:p w14:paraId="6C75C4C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w:t>
            </w:r>
          </w:p>
        </w:tc>
        <w:tc>
          <w:tcPr>
            <w:tcW w:w="3037" w:type="dxa"/>
            <w:vMerge w:val="continue"/>
            <w:vAlign w:val="center"/>
          </w:tcPr>
          <w:p w14:paraId="61DCA38B">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231C0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Align w:val="center"/>
          </w:tcPr>
          <w:p w14:paraId="35BFCE1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w:t>
            </w:r>
          </w:p>
        </w:tc>
        <w:tc>
          <w:tcPr>
            <w:tcW w:w="1359" w:type="dxa"/>
            <w:vAlign w:val="center"/>
          </w:tcPr>
          <w:p w14:paraId="78CBCC1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苯</w:t>
            </w:r>
          </w:p>
        </w:tc>
        <w:tc>
          <w:tcPr>
            <w:tcW w:w="2367" w:type="dxa"/>
            <w:vAlign w:val="center"/>
          </w:tcPr>
          <w:p w14:paraId="6F62FEF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vAlign w:val="center"/>
          </w:tcPr>
          <w:p w14:paraId="7B67EF9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110</w:t>
            </w:r>
          </w:p>
        </w:tc>
        <w:tc>
          <w:tcPr>
            <w:tcW w:w="3037" w:type="dxa"/>
            <w:vMerge w:val="continue"/>
            <w:vAlign w:val="center"/>
          </w:tcPr>
          <w:p w14:paraId="01E50EF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62CD35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Align w:val="center"/>
          </w:tcPr>
          <w:p w14:paraId="61EC250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w:t>
            </w:r>
          </w:p>
        </w:tc>
        <w:tc>
          <w:tcPr>
            <w:tcW w:w="1359" w:type="dxa"/>
            <w:vAlign w:val="center"/>
          </w:tcPr>
          <w:p w14:paraId="66926E4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甲苯</w:t>
            </w:r>
          </w:p>
        </w:tc>
        <w:tc>
          <w:tcPr>
            <w:tcW w:w="2367" w:type="dxa"/>
            <w:vAlign w:val="center"/>
          </w:tcPr>
          <w:p w14:paraId="069AC66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vAlign w:val="center"/>
          </w:tcPr>
          <w:p w14:paraId="442BF3F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200</w:t>
            </w:r>
          </w:p>
        </w:tc>
        <w:tc>
          <w:tcPr>
            <w:tcW w:w="3037" w:type="dxa"/>
            <w:vMerge w:val="continue"/>
            <w:vAlign w:val="center"/>
          </w:tcPr>
          <w:p w14:paraId="31316E2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3931C4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Align w:val="center"/>
          </w:tcPr>
          <w:p w14:paraId="591AC00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11</w:t>
            </w:r>
          </w:p>
        </w:tc>
        <w:tc>
          <w:tcPr>
            <w:tcW w:w="1359" w:type="dxa"/>
            <w:vAlign w:val="center"/>
          </w:tcPr>
          <w:p w14:paraId="6B0F2C6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二甲苯</w:t>
            </w:r>
          </w:p>
        </w:tc>
        <w:tc>
          <w:tcPr>
            <w:tcW w:w="2367" w:type="dxa"/>
            <w:vAlign w:val="center"/>
          </w:tcPr>
          <w:p w14:paraId="0ECF715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vAlign w:val="center"/>
          </w:tcPr>
          <w:p w14:paraId="50BCCA7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200</w:t>
            </w:r>
          </w:p>
        </w:tc>
        <w:tc>
          <w:tcPr>
            <w:tcW w:w="3037" w:type="dxa"/>
            <w:vMerge w:val="continue"/>
            <w:vAlign w:val="center"/>
          </w:tcPr>
          <w:p w14:paraId="3F2861A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4F1307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Align w:val="center"/>
          </w:tcPr>
          <w:p w14:paraId="7BD90A2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12</w:t>
            </w:r>
          </w:p>
        </w:tc>
        <w:tc>
          <w:tcPr>
            <w:tcW w:w="1359" w:type="dxa"/>
            <w:vAlign w:val="center"/>
          </w:tcPr>
          <w:p w14:paraId="64F96D2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总挥发性有机物TVOC</w:t>
            </w:r>
          </w:p>
        </w:tc>
        <w:tc>
          <w:tcPr>
            <w:tcW w:w="2367" w:type="dxa"/>
            <w:vAlign w:val="center"/>
          </w:tcPr>
          <w:p w14:paraId="369B2A5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8小时平均</w:t>
            </w:r>
          </w:p>
        </w:tc>
        <w:tc>
          <w:tcPr>
            <w:tcW w:w="1066" w:type="dxa"/>
            <w:vAlign w:val="center"/>
          </w:tcPr>
          <w:p w14:paraId="56380BD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600</w:t>
            </w:r>
          </w:p>
        </w:tc>
        <w:tc>
          <w:tcPr>
            <w:tcW w:w="3037" w:type="dxa"/>
            <w:vMerge w:val="continue"/>
            <w:vAlign w:val="center"/>
          </w:tcPr>
          <w:p w14:paraId="29CCCBE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0B1CD1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restart"/>
            <w:vAlign w:val="center"/>
          </w:tcPr>
          <w:p w14:paraId="1E7E86A8">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w:t>
            </w:r>
          </w:p>
        </w:tc>
        <w:tc>
          <w:tcPr>
            <w:tcW w:w="1359" w:type="dxa"/>
            <w:vMerge w:val="restart"/>
            <w:vAlign w:val="center"/>
          </w:tcPr>
          <w:p w14:paraId="2D31E269">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硫酸</w:t>
            </w:r>
          </w:p>
        </w:tc>
        <w:tc>
          <w:tcPr>
            <w:tcW w:w="2367" w:type="dxa"/>
            <w:vAlign w:val="center"/>
          </w:tcPr>
          <w:p w14:paraId="33700FB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1小时平均</w:t>
            </w:r>
          </w:p>
        </w:tc>
        <w:tc>
          <w:tcPr>
            <w:tcW w:w="1066" w:type="dxa"/>
            <w:vAlign w:val="center"/>
          </w:tcPr>
          <w:p w14:paraId="18CD10A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200</w:t>
            </w:r>
          </w:p>
        </w:tc>
        <w:tc>
          <w:tcPr>
            <w:tcW w:w="3037" w:type="dxa"/>
            <w:vMerge w:val="continue"/>
            <w:vAlign w:val="center"/>
          </w:tcPr>
          <w:p w14:paraId="0ADA913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r w14:paraId="2F3061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6" w:type="dxa"/>
            <w:vMerge w:val="continue"/>
            <w:vAlign w:val="center"/>
          </w:tcPr>
          <w:p w14:paraId="0791369C">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1359" w:type="dxa"/>
            <w:vMerge w:val="continue"/>
            <w:vAlign w:val="center"/>
          </w:tcPr>
          <w:p w14:paraId="16DCDC74">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p>
        </w:tc>
        <w:tc>
          <w:tcPr>
            <w:tcW w:w="2367" w:type="dxa"/>
            <w:vAlign w:val="center"/>
          </w:tcPr>
          <w:p w14:paraId="48D0F0D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24小时平均</w:t>
            </w:r>
          </w:p>
        </w:tc>
        <w:tc>
          <w:tcPr>
            <w:tcW w:w="1066" w:type="dxa"/>
            <w:vAlign w:val="center"/>
          </w:tcPr>
          <w:p w14:paraId="7988D64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w:t>
            </w:r>
          </w:p>
        </w:tc>
        <w:tc>
          <w:tcPr>
            <w:tcW w:w="3037" w:type="dxa"/>
            <w:vMerge w:val="continue"/>
            <w:vAlign w:val="center"/>
          </w:tcPr>
          <w:p w14:paraId="3548376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p>
        </w:tc>
      </w:tr>
    </w:tbl>
    <w:p w14:paraId="16C6933C">
      <w:pPr>
        <w:pStyle w:val="63"/>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（2）水环境质量评价标准</w:t>
      </w:r>
    </w:p>
    <w:p w14:paraId="73D49C3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周边主要地表水为湘江，根据《湖南省主要水系地表水环境功能区划》（DB43/023-2005），蒸水口至大浦镇师塘村上游6000m段，长度22.4km，为工业用水区，执行《地表水环境质量标准》中的（GB3838-2002）III类标准，具体标准值详见下表：</w:t>
      </w:r>
    </w:p>
    <w:p w14:paraId="3FAAFD82">
      <w:pPr>
        <w:spacing w:line="360" w:lineRule="auto"/>
        <w:ind w:firstLine="422" w:firstLineChars="20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表2.4-2 地表水环境质量主要指标单位：mg/L，pH值无量纲</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43"/>
        <w:gridCol w:w="1227"/>
        <w:gridCol w:w="1227"/>
        <w:gridCol w:w="1340"/>
        <w:gridCol w:w="1162"/>
        <w:gridCol w:w="1162"/>
        <w:gridCol w:w="1161"/>
      </w:tblGrid>
      <w:tr w14:paraId="1213D0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9" w:type="pct"/>
            <w:vAlign w:val="center"/>
          </w:tcPr>
          <w:p w14:paraId="4B97F60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项目</w:t>
            </w:r>
          </w:p>
        </w:tc>
        <w:tc>
          <w:tcPr>
            <w:tcW w:w="720" w:type="pct"/>
            <w:vAlign w:val="center"/>
          </w:tcPr>
          <w:p w14:paraId="45CCAD8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pH值</w:t>
            </w:r>
          </w:p>
        </w:tc>
        <w:tc>
          <w:tcPr>
            <w:tcW w:w="720" w:type="pct"/>
            <w:vAlign w:val="center"/>
          </w:tcPr>
          <w:p w14:paraId="65972A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COD</w:t>
            </w:r>
          </w:p>
        </w:tc>
        <w:tc>
          <w:tcPr>
            <w:tcW w:w="786" w:type="pct"/>
            <w:vAlign w:val="center"/>
          </w:tcPr>
          <w:p w14:paraId="44AE447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BOD</w:t>
            </w:r>
            <w:r>
              <w:rPr>
                <w:rFonts w:hint="default" w:ascii="Times New Roman" w:hAnsi="Times New Roman" w:eastAsia="宋体" w:cs="Times New Roman"/>
                <w:kern w:val="0"/>
                <w:szCs w:val="21"/>
                <w:vertAlign w:val="subscript"/>
              </w:rPr>
              <w:t>5</w:t>
            </w:r>
          </w:p>
        </w:tc>
        <w:tc>
          <w:tcPr>
            <w:tcW w:w="682" w:type="pct"/>
            <w:vAlign w:val="center"/>
          </w:tcPr>
          <w:p w14:paraId="3AC4B6E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氨氮</w:t>
            </w:r>
          </w:p>
        </w:tc>
        <w:tc>
          <w:tcPr>
            <w:tcW w:w="682" w:type="pct"/>
            <w:vAlign w:val="center"/>
          </w:tcPr>
          <w:p w14:paraId="7F4B8E1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总磷</w:t>
            </w:r>
          </w:p>
        </w:tc>
        <w:tc>
          <w:tcPr>
            <w:tcW w:w="681" w:type="pct"/>
            <w:vAlign w:val="center"/>
          </w:tcPr>
          <w:p w14:paraId="42D8616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石油类</w:t>
            </w:r>
          </w:p>
        </w:tc>
      </w:tr>
      <w:tr w14:paraId="424184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9" w:type="pct"/>
            <w:vAlign w:val="center"/>
          </w:tcPr>
          <w:p w14:paraId="7DF874B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Ⅲ类标准</w:t>
            </w:r>
          </w:p>
        </w:tc>
        <w:tc>
          <w:tcPr>
            <w:tcW w:w="720" w:type="pct"/>
            <w:vAlign w:val="center"/>
          </w:tcPr>
          <w:p w14:paraId="68846DE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6-9</w:t>
            </w:r>
          </w:p>
        </w:tc>
        <w:tc>
          <w:tcPr>
            <w:tcW w:w="720" w:type="pct"/>
            <w:vAlign w:val="center"/>
          </w:tcPr>
          <w:p w14:paraId="3C21335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786" w:type="pct"/>
            <w:vAlign w:val="center"/>
          </w:tcPr>
          <w:p w14:paraId="7EF35F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682" w:type="pct"/>
            <w:vAlign w:val="center"/>
          </w:tcPr>
          <w:p w14:paraId="0DF88F7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682" w:type="pct"/>
            <w:vAlign w:val="center"/>
          </w:tcPr>
          <w:p w14:paraId="30027CF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w:t>
            </w:r>
          </w:p>
        </w:tc>
        <w:tc>
          <w:tcPr>
            <w:tcW w:w="681" w:type="pct"/>
            <w:vAlign w:val="center"/>
          </w:tcPr>
          <w:p w14:paraId="2B48B29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w:t>
            </w:r>
          </w:p>
        </w:tc>
      </w:tr>
      <w:tr w14:paraId="4FE8D7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9" w:type="pct"/>
            <w:vAlign w:val="center"/>
          </w:tcPr>
          <w:p w14:paraId="2EBA918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项目</w:t>
            </w:r>
          </w:p>
        </w:tc>
        <w:tc>
          <w:tcPr>
            <w:tcW w:w="720" w:type="pct"/>
            <w:vAlign w:val="center"/>
          </w:tcPr>
          <w:p w14:paraId="170D247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铜</w:t>
            </w:r>
          </w:p>
        </w:tc>
        <w:tc>
          <w:tcPr>
            <w:tcW w:w="720" w:type="pct"/>
            <w:vAlign w:val="center"/>
          </w:tcPr>
          <w:p w14:paraId="2D61376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锌</w:t>
            </w:r>
          </w:p>
        </w:tc>
        <w:tc>
          <w:tcPr>
            <w:tcW w:w="786" w:type="pct"/>
            <w:vAlign w:val="center"/>
          </w:tcPr>
          <w:p w14:paraId="6DF30BB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六价铬</w:t>
            </w:r>
          </w:p>
        </w:tc>
        <w:tc>
          <w:tcPr>
            <w:tcW w:w="682" w:type="pct"/>
            <w:vAlign w:val="center"/>
          </w:tcPr>
          <w:p w14:paraId="38EC4E8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镍</w:t>
            </w:r>
          </w:p>
        </w:tc>
        <w:tc>
          <w:tcPr>
            <w:tcW w:w="682" w:type="pct"/>
            <w:vAlign w:val="center"/>
          </w:tcPr>
          <w:p w14:paraId="1B7A738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镉</w:t>
            </w:r>
          </w:p>
        </w:tc>
        <w:tc>
          <w:tcPr>
            <w:tcW w:w="681" w:type="pct"/>
            <w:vAlign w:val="center"/>
          </w:tcPr>
          <w:p w14:paraId="31A39EF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氰化物</w:t>
            </w:r>
          </w:p>
        </w:tc>
      </w:tr>
      <w:tr w14:paraId="4D941C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729" w:type="pct"/>
            <w:vAlign w:val="center"/>
          </w:tcPr>
          <w:p w14:paraId="2D43E43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Ⅲ类标准</w:t>
            </w:r>
          </w:p>
        </w:tc>
        <w:tc>
          <w:tcPr>
            <w:tcW w:w="720" w:type="pct"/>
            <w:vAlign w:val="center"/>
          </w:tcPr>
          <w:p w14:paraId="240408A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720" w:type="pct"/>
            <w:vAlign w:val="center"/>
          </w:tcPr>
          <w:p w14:paraId="0E93FAA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786" w:type="pct"/>
            <w:vAlign w:val="center"/>
          </w:tcPr>
          <w:p w14:paraId="2F3C4D8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w:t>
            </w:r>
          </w:p>
        </w:tc>
        <w:tc>
          <w:tcPr>
            <w:tcW w:w="682" w:type="pct"/>
            <w:vAlign w:val="center"/>
          </w:tcPr>
          <w:p w14:paraId="31B6C3D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0.02</w:t>
            </w:r>
          </w:p>
        </w:tc>
        <w:tc>
          <w:tcPr>
            <w:tcW w:w="682" w:type="pct"/>
            <w:vAlign w:val="center"/>
          </w:tcPr>
          <w:p w14:paraId="3C0FB92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0.005</w:t>
            </w:r>
          </w:p>
        </w:tc>
        <w:tc>
          <w:tcPr>
            <w:tcW w:w="681" w:type="pct"/>
            <w:vAlign w:val="center"/>
          </w:tcPr>
          <w:p w14:paraId="4432D74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w:t>
            </w:r>
          </w:p>
        </w:tc>
      </w:tr>
      <w:tr w14:paraId="2A7D7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2" w:hRule="atLeast"/>
        </w:trPr>
        <w:tc>
          <w:tcPr>
            <w:tcW w:w="5000" w:type="pct"/>
            <w:gridSpan w:val="7"/>
            <w:vAlign w:val="center"/>
          </w:tcPr>
          <w:p w14:paraId="4CC3754D">
            <w:pPr>
              <w:keepNext w:val="0"/>
              <w:keepLines w:val="0"/>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备注：考虑到项目纳污水体为湘江蒸水口至大浦镇师塘村上游6000m江段，不涉及饮用水水源保护区，故镍参照执行《渔业水质标准》（GB11607-89）</w:t>
            </w:r>
          </w:p>
        </w:tc>
      </w:tr>
    </w:tbl>
    <w:p w14:paraId="4733E4B7">
      <w:pPr>
        <w:autoSpaceDE w:val="0"/>
        <w:autoSpaceDN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（3）地下水</w:t>
      </w:r>
    </w:p>
    <w:p w14:paraId="4B009D9E">
      <w:pPr>
        <w:autoSpaceDE w:val="0"/>
        <w:autoSpaceDN w:val="0"/>
        <w:spacing w:line="360" w:lineRule="auto"/>
        <w:ind w:firstLine="480" w:firstLineChars="20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地下水环境执行《地下水质量标准》（GB/T14848-2017）Ⅲ类标准。</w:t>
      </w:r>
    </w:p>
    <w:p w14:paraId="789AF631">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b/>
        </w:rPr>
        <w:t>表2.4-3   地下水质量标准（GB/T14848-2017）(摘录)</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672"/>
        <w:gridCol w:w="3958"/>
        <w:gridCol w:w="2892"/>
      </w:tblGrid>
      <w:tr w14:paraId="44DFA4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81" w:type="pct"/>
            <w:vAlign w:val="center"/>
          </w:tcPr>
          <w:p w14:paraId="463F83F9">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序号</w:t>
            </w:r>
          </w:p>
        </w:tc>
        <w:tc>
          <w:tcPr>
            <w:tcW w:w="2322" w:type="pct"/>
            <w:vAlign w:val="center"/>
          </w:tcPr>
          <w:p w14:paraId="606DB803">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污染物名称</w:t>
            </w:r>
          </w:p>
        </w:tc>
        <w:tc>
          <w:tcPr>
            <w:tcW w:w="1697" w:type="pct"/>
            <w:vAlign w:val="center"/>
          </w:tcPr>
          <w:p w14:paraId="00DA962D">
            <w:pPr>
              <w:keepNext w:val="0"/>
              <w:keepLines w:val="0"/>
              <w:suppressLineNumbers w:val="0"/>
              <w:spacing w:before="0" w:beforeAutospacing="0" w:after="0" w:afterAutospacing="0"/>
              <w:ind w:left="0" w:right="0"/>
              <w:jc w:val="center"/>
              <w:rPr>
                <w:rFonts w:hint="default" w:ascii="Times New Roman" w:hAnsi="Times New Roman" w:eastAsia="宋体" w:cs="Times New Roman"/>
                <w:b/>
              </w:rPr>
            </w:pPr>
            <w:r>
              <w:rPr>
                <w:rFonts w:hint="default" w:ascii="Times New Roman" w:hAnsi="Times New Roman" w:eastAsia="宋体" w:cs="Times New Roman"/>
                <w:b/>
              </w:rPr>
              <w:t>标准值mg/L</w:t>
            </w:r>
          </w:p>
        </w:tc>
      </w:tr>
      <w:tr w14:paraId="1A09F2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0349173B">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p>
        </w:tc>
        <w:tc>
          <w:tcPr>
            <w:tcW w:w="2322" w:type="pct"/>
            <w:vAlign w:val="center"/>
          </w:tcPr>
          <w:p w14:paraId="077E33E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pH值</w:t>
            </w:r>
          </w:p>
        </w:tc>
        <w:tc>
          <w:tcPr>
            <w:tcW w:w="1697" w:type="pct"/>
            <w:vAlign w:val="center"/>
          </w:tcPr>
          <w:p w14:paraId="7345E25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6.5～8.5</w:t>
            </w:r>
          </w:p>
        </w:tc>
      </w:tr>
      <w:tr w14:paraId="269379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5986825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w:t>
            </w:r>
          </w:p>
        </w:tc>
        <w:tc>
          <w:tcPr>
            <w:tcW w:w="2322" w:type="pct"/>
            <w:vAlign w:val="center"/>
          </w:tcPr>
          <w:p w14:paraId="19C3056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氨氮</w:t>
            </w:r>
          </w:p>
        </w:tc>
        <w:tc>
          <w:tcPr>
            <w:tcW w:w="1697" w:type="pct"/>
            <w:vAlign w:val="center"/>
          </w:tcPr>
          <w:p w14:paraId="7B0740D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≤0.5</w:t>
            </w:r>
          </w:p>
        </w:tc>
      </w:tr>
      <w:tr w14:paraId="1DF015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1CA9BB7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3</w:t>
            </w:r>
          </w:p>
        </w:tc>
        <w:tc>
          <w:tcPr>
            <w:tcW w:w="2322" w:type="pct"/>
            <w:vAlign w:val="center"/>
          </w:tcPr>
          <w:p w14:paraId="404C8DF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六价铬</w:t>
            </w:r>
          </w:p>
        </w:tc>
        <w:tc>
          <w:tcPr>
            <w:tcW w:w="1697" w:type="pct"/>
            <w:vAlign w:val="center"/>
          </w:tcPr>
          <w:p w14:paraId="30C6642B">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≤0.05</w:t>
            </w:r>
          </w:p>
        </w:tc>
      </w:tr>
      <w:tr w14:paraId="5BAC8F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5341254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4</w:t>
            </w:r>
          </w:p>
        </w:tc>
        <w:tc>
          <w:tcPr>
            <w:tcW w:w="2322" w:type="pct"/>
            <w:vAlign w:val="center"/>
          </w:tcPr>
          <w:p w14:paraId="4CAD50E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氟化物</w:t>
            </w:r>
          </w:p>
        </w:tc>
        <w:tc>
          <w:tcPr>
            <w:tcW w:w="1697" w:type="pct"/>
            <w:vAlign w:val="center"/>
          </w:tcPr>
          <w:p w14:paraId="075D0B3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w:t>
            </w:r>
          </w:p>
        </w:tc>
      </w:tr>
      <w:tr w14:paraId="25D864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76B2C67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5</w:t>
            </w:r>
          </w:p>
        </w:tc>
        <w:tc>
          <w:tcPr>
            <w:tcW w:w="2322" w:type="pct"/>
            <w:vAlign w:val="center"/>
          </w:tcPr>
          <w:p w14:paraId="309F133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铁</w:t>
            </w:r>
          </w:p>
        </w:tc>
        <w:tc>
          <w:tcPr>
            <w:tcW w:w="1697" w:type="pct"/>
            <w:vAlign w:val="center"/>
          </w:tcPr>
          <w:p w14:paraId="41EC457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≤0.3</w:t>
            </w:r>
          </w:p>
        </w:tc>
      </w:tr>
      <w:tr w14:paraId="347CF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5A85F61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6</w:t>
            </w:r>
          </w:p>
        </w:tc>
        <w:tc>
          <w:tcPr>
            <w:tcW w:w="2322" w:type="pct"/>
            <w:vAlign w:val="center"/>
          </w:tcPr>
          <w:p w14:paraId="1DEF7F7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锰</w:t>
            </w:r>
          </w:p>
        </w:tc>
        <w:tc>
          <w:tcPr>
            <w:tcW w:w="1697" w:type="pct"/>
            <w:vAlign w:val="center"/>
          </w:tcPr>
          <w:p w14:paraId="448F8C3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≤0.1</w:t>
            </w:r>
          </w:p>
        </w:tc>
      </w:tr>
      <w:tr w14:paraId="25FEBF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477BEFE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7</w:t>
            </w:r>
          </w:p>
        </w:tc>
        <w:tc>
          <w:tcPr>
            <w:tcW w:w="2322" w:type="pct"/>
            <w:vAlign w:val="center"/>
          </w:tcPr>
          <w:p w14:paraId="169CDBC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镍</w:t>
            </w:r>
          </w:p>
        </w:tc>
        <w:tc>
          <w:tcPr>
            <w:tcW w:w="1697" w:type="pct"/>
            <w:vAlign w:val="center"/>
          </w:tcPr>
          <w:p w14:paraId="55DB3F3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≤0.02</w:t>
            </w:r>
          </w:p>
        </w:tc>
      </w:tr>
      <w:tr w14:paraId="054482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6A21BC8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8</w:t>
            </w:r>
          </w:p>
        </w:tc>
        <w:tc>
          <w:tcPr>
            <w:tcW w:w="2322" w:type="pct"/>
            <w:vAlign w:val="center"/>
          </w:tcPr>
          <w:p w14:paraId="14ACC54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铜</w:t>
            </w:r>
          </w:p>
        </w:tc>
        <w:tc>
          <w:tcPr>
            <w:tcW w:w="1697" w:type="pct"/>
            <w:vAlign w:val="center"/>
          </w:tcPr>
          <w:p w14:paraId="6D09DD0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p>
        </w:tc>
      </w:tr>
      <w:tr w14:paraId="1C0C8E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24CA10E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w:t>
            </w:r>
          </w:p>
        </w:tc>
        <w:tc>
          <w:tcPr>
            <w:tcW w:w="2322" w:type="pct"/>
            <w:vAlign w:val="center"/>
          </w:tcPr>
          <w:p w14:paraId="31C4435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锌</w:t>
            </w:r>
          </w:p>
        </w:tc>
        <w:tc>
          <w:tcPr>
            <w:tcW w:w="1697" w:type="pct"/>
            <w:vAlign w:val="center"/>
          </w:tcPr>
          <w:p w14:paraId="7D27DA6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p>
        </w:tc>
      </w:tr>
      <w:tr w14:paraId="3B705A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71C4388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w:t>
            </w:r>
          </w:p>
        </w:tc>
        <w:tc>
          <w:tcPr>
            <w:tcW w:w="2322" w:type="pct"/>
            <w:vAlign w:val="center"/>
          </w:tcPr>
          <w:p w14:paraId="5A9EB3E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耗氧量</w:t>
            </w:r>
          </w:p>
        </w:tc>
        <w:tc>
          <w:tcPr>
            <w:tcW w:w="1697" w:type="pct"/>
            <w:vAlign w:val="center"/>
          </w:tcPr>
          <w:p w14:paraId="4FB6019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≤3</w:t>
            </w:r>
          </w:p>
        </w:tc>
      </w:tr>
      <w:tr w14:paraId="584F87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26461D5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11</w:t>
            </w:r>
          </w:p>
        </w:tc>
        <w:tc>
          <w:tcPr>
            <w:tcW w:w="2322" w:type="pct"/>
            <w:vAlign w:val="center"/>
          </w:tcPr>
          <w:p w14:paraId="5E74FBC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硫酸盐</w:t>
            </w:r>
          </w:p>
        </w:tc>
        <w:tc>
          <w:tcPr>
            <w:tcW w:w="1697" w:type="pct"/>
            <w:vAlign w:val="center"/>
          </w:tcPr>
          <w:p w14:paraId="6506AF9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≤250</w:t>
            </w:r>
          </w:p>
        </w:tc>
      </w:tr>
      <w:tr w14:paraId="7D5759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6691596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12</w:t>
            </w:r>
          </w:p>
        </w:tc>
        <w:tc>
          <w:tcPr>
            <w:tcW w:w="2322" w:type="pct"/>
            <w:vAlign w:val="center"/>
          </w:tcPr>
          <w:p w14:paraId="67C79F5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氯化物</w:t>
            </w:r>
          </w:p>
        </w:tc>
        <w:tc>
          <w:tcPr>
            <w:tcW w:w="1697" w:type="pct"/>
            <w:vAlign w:val="center"/>
          </w:tcPr>
          <w:p w14:paraId="133E022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≤250</w:t>
            </w:r>
          </w:p>
        </w:tc>
      </w:tr>
      <w:tr w14:paraId="1738EE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64D3226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13</w:t>
            </w:r>
          </w:p>
        </w:tc>
        <w:tc>
          <w:tcPr>
            <w:tcW w:w="2322" w:type="pct"/>
            <w:vAlign w:val="center"/>
          </w:tcPr>
          <w:p w14:paraId="7DBEEC4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挥发性酚类</w:t>
            </w:r>
          </w:p>
        </w:tc>
        <w:tc>
          <w:tcPr>
            <w:tcW w:w="1697" w:type="pct"/>
            <w:vAlign w:val="center"/>
          </w:tcPr>
          <w:p w14:paraId="59193A2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≤0.002</w:t>
            </w:r>
          </w:p>
        </w:tc>
      </w:tr>
      <w:tr w14:paraId="6FC431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161E048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14</w:t>
            </w:r>
          </w:p>
        </w:tc>
        <w:tc>
          <w:tcPr>
            <w:tcW w:w="2322" w:type="pct"/>
            <w:vAlign w:val="center"/>
          </w:tcPr>
          <w:p w14:paraId="26048D9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硝酸盐</w:t>
            </w:r>
          </w:p>
        </w:tc>
        <w:tc>
          <w:tcPr>
            <w:tcW w:w="1697" w:type="pct"/>
            <w:vAlign w:val="center"/>
          </w:tcPr>
          <w:p w14:paraId="25DF5E2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≤20</w:t>
            </w:r>
          </w:p>
        </w:tc>
      </w:tr>
      <w:tr w14:paraId="5A505C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3897D9D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15</w:t>
            </w:r>
          </w:p>
        </w:tc>
        <w:tc>
          <w:tcPr>
            <w:tcW w:w="2322" w:type="pct"/>
            <w:vAlign w:val="center"/>
          </w:tcPr>
          <w:p w14:paraId="64CB8F9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亚硝酸盐</w:t>
            </w:r>
          </w:p>
        </w:tc>
        <w:tc>
          <w:tcPr>
            <w:tcW w:w="1697" w:type="pct"/>
            <w:vAlign w:val="center"/>
          </w:tcPr>
          <w:p w14:paraId="59B3349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p>
        </w:tc>
      </w:tr>
      <w:tr w14:paraId="7A114B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21B1E60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16</w:t>
            </w:r>
          </w:p>
        </w:tc>
        <w:tc>
          <w:tcPr>
            <w:tcW w:w="2322" w:type="pct"/>
            <w:vAlign w:val="center"/>
          </w:tcPr>
          <w:p w14:paraId="0E0F394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氰化物</w:t>
            </w:r>
          </w:p>
        </w:tc>
        <w:tc>
          <w:tcPr>
            <w:tcW w:w="1697" w:type="pct"/>
            <w:vAlign w:val="center"/>
          </w:tcPr>
          <w:p w14:paraId="054D9EE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≤0.05</w:t>
            </w:r>
          </w:p>
        </w:tc>
      </w:tr>
      <w:tr w14:paraId="0344D8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4E97E2F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17</w:t>
            </w:r>
          </w:p>
        </w:tc>
        <w:tc>
          <w:tcPr>
            <w:tcW w:w="2322" w:type="pct"/>
            <w:vAlign w:val="center"/>
          </w:tcPr>
          <w:p w14:paraId="2595410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砷</w:t>
            </w:r>
          </w:p>
        </w:tc>
        <w:tc>
          <w:tcPr>
            <w:tcW w:w="1697" w:type="pct"/>
            <w:vAlign w:val="center"/>
          </w:tcPr>
          <w:p w14:paraId="67E4491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≤0.01</w:t>
            </w:r>
          </w:p>
        </w:tc>
      </w:tr>
      <w:tr w14:paraId="660139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3CDA9DB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18</w:t>
            </w:r>
          </w:p>
        </w:tc>
        <w:tc>
          <w:tcPr>
            <w:tcW w:w="2322" w:type="pct"/>
            <w:vAlign w:val="center"/>
          </w:tcPr>
          <w:p w14:paraId="72F79D2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汞</w:t>
            </w:r>
          </w:p>
        </w:tc>
        <w:tc>
          <w:tcPr>
            <w:tcW w:w="1697" w:type="pct"/>
            <w:vAlign w:val="center"/>
          </w:tcPr>
          <w:p w14:paraId="5297413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≤0.001</w:t>
            </w:r>
          </w:p>
        </w:tc>
      </w:tr>
      <w:tr w14:paraId="230626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20A5C4F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19</w:t>
            </w:r>
          </w:p>
        </w:tc>
        <w:tc>
          <w:tcPr>
            <w:tcW w:w="2322" w:type="pct"/>
            <w:vAlign w:val="center"/>
          </w:tcPr>
          <w:p w14:paraId="634CE92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总硬度</w:t>
            </w:r>
          </w:p>
        </w:tc>
        <w:tc>
          <w:tcPr>
            <w:tcW w:w="1697" w:type="pct"/>
            <w:vAlign w:val="center"/>
          </w:tcPr>
          <w:p w14:paraId="08CF147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≤450</w:t>
            </w:r>
          </w:p>
        </w:tc>
      </w:tr>
      <w:tr w14:paraId="16824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2E316A0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20</w:t>
            </w:r>
          </w:p>
        </w:tc>
        <w:tc>
          <w:tcPr>
            <w:tcW w:w="2322" w:type="pct"/>
            <w:vAlign w:val="center"/>
          </w:tcPr>
          <w:p w14:paraId="1CFD4B9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铅</w:t>
            </w:r>
          </w:p>
        </w:tc>
        <w:tc>
          <w:tcPr>
            <w:tcW w:w="1697" w:type="pct"/>
            <w:vAlign w:val="center"/>
          </w:tcPr>
          <w:p w14:paraId="49069D4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≤0.01</w:t>
            </w:r>
          </w:p>
        </w:tc>
      </w:tr>
      <w:tr w14:paraId="09510B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2471971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21</w:t>
            </w:r>
          </w:p>
        </w:tc>
        <w:tc>
          <w:tcPr>
            <w:tcW w:w="2322" w:type="pct"/>
            <w:vAlign w:val="center"/>
          </w:tcPr>
          <w:p w14:paraId="445CE58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总大肠菌群</w:t>
            </w:r>
          </w:p>
        </w:tc>
        <w:tc>
          <w:tcPr>
            <w:tcW w:w="1697" w:type="pct"/>
            <w:vAlign w:val="center"/>
          </w:tcPr>
          <w:p w14:paraId="78B89CC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≤3</w:t>
            </w:r>
          </w:p>
        </w:tc>
      </w:tr>
      <w:tr w14:paraId="086B0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7A3612F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22</w:t>
            </w:r>
          </w:p>
        </w:tc>
        <w:tc>
          <w:tcPr>
            <w:tcW w:w="2322" w:type="pct"/>
            <w:vAlign w:val="center"/>
          </w:tcPr>
          <w:p w14:paraId="5BFACAE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细菌总数</w:t>
            </w:r>
          </w:p>
        </w:tc>
        <w:tc>
          <w:tcPr>
            <w:tcW w:w="1697" w:type="pct"/>
            <w:vAlign w:val="center"/>
          </w:tcPr>
          <w:p w14:paraId="2B8E7BA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≤100</w:t>
            </w:r>
          </w:p>
        </w:tc>
      </w:tr>
      <w:tr w14:paraId="61D89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81" w:type="pct"/>
            <w:vAlign w:val="center"/>
          </w:tcPr>
          <w:p w14:paraId="385315DF">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23</w:t>
            </w:r>
          </w:p>
        </w:tc>
        <w:tc>
          <w:tcPr>
            <w:tcW w:w="2322" w:type="pct"/>
            <w:vAlign w:val="center"/>
          </w:tcPr>
          <w:p w14:paraId="6F849EA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溶解性总固体</w:t>
            </w:r>
          </w:p>
        </w:tc>
        <w:tc>
          <w:tcPr>
            <w:tcW w:w="1697" w:type="pct"/>
            <w:vAlign w:val="center"/>
          </w:tcPr>
          <w:p w14:paraId="1F7DCD1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≤1000</w:t>
            </w:r>
          </w:p>
        </w:tc>
      </w:tr>
    </w:tbl>
    <w:p w14:paraId="7F68C004">
      <w:pPr>
        <w:pStyle w:val="63"/>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（4）声环境质量标准</w:t>
      </w:r>
    </w:p>
    <w:p w14:paraId="49FD7315">
      <w:pPr>
        <w:autoSpaceDE w:val="0"/>
        <w:autoSpaceDN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kern w:val="0"/>
          <w:sz w:val="24"/>
          <w:szCs w:val="24"/>
        </w:rPr>
        <w:t>评价范围内执行《声环境质量标准》（GB3096-2008）中的3类标准</w:t>
      </w:r>
      <w:r>
        <w:rPr>
          <w:rFonts w:hint="default" w:ascii="Times New Roman" w:hAnsi="Times New Roman" w:eastAsia="宋体" w:cs="Times New Roman"/>
          <w:sz w:val="24"/>
        </w:rPr>
        <w:t>，具体见表2.4-4。</w:t>
      </w:r>
    </w:p>
    <w:p w14:paraId="09BF9536">
      <w:pPr>
        <w:spacing w:line="360" w:lineRule="auto"/>
        <w:jc w:val="center"/>
        <w:rPr>
          <w:rFonts w:hint="default" w:ascii="Times New Roman" w:hAnsi="Times New Roman" w:eastAsia="宋体" w:cs="Times New Roman"/>
          <w:b/>
        </w:rPr>
      </w:pPr>
      <w:r>
        <w:rPr>
          <w:rFonts w:hint="default" w:ascii="Times New Roman" w:hAnsi="Times New Roman" w:eastAsia="宋体" w:cs="Times New Roman"/>
          <w:b/>
        </w:rPr>
        <w:t>表2.4-4  声环境质量标准（GB3096-2008）（摘录）  L</w:t>
      </w:r>
      <w:r>
        <w:rPr>
          <w:rFonts w:hint="default" w:ascii="Times New Roman" w:hAnsi="Times New Roman" w:eastAsia="宋体" w:cs="Times New Roman"/>
          <w:b/>
          <w:bCs/>
          <w:vertAlign w:val="subscript"/>
        </w:rPr>
        <w:t>eq</w:t>
      </w:r>
      <w:r>
        <w:rPr>
          <w:rFonts w:hint="default" w:ascii="Times New Roman" w:hAnsi="Times New Roman" w:eastAsia="宋体" w:cs="Times New Roman"/>
          <w:b/>
          <w:bCs/>
        </w:rPr>
        <w:t>：</w:t>
      </w:r>
      <w:r>
        <w:rPr>
          <w:rFonts w:hint="default" w:ascii="Times New Roman" w:hAnsi="Times New Roman" w:eastAsia="宋体" w:cs="Times New Roman"/>
          <w:b/>
        </w:rPr>
        <w:t>dB（A）</w:t>
      </w:r>
    </w:p>
    <w:tbl>
      <w:tblPr>
        <w:tblStyle w:val="32"/>
        <w:tblW w:w="8505"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108" w:type="dxa"/>
          <w:bottom w:w="0" w:type="dxa"/>
          <w:right w:w="108" w:type="dxa"/>
        </w:tblCellMar>
      </w:tblPr>
      <w:tblGrid>
        <w:gridCol w:w="2731"/>
        <w:gridCol w:w="2731"/>
        <w:gridCol w:w="3043"/>
      </w:tblGrid>
      <w:tr w14:paraId="0F547AE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tblHeader/>
          <w:jc w:val="center"/>
        </w:trPr>
        <w:tc>
          <w:tcPr>
            <w:tcW w:w="2731" w:type="dxa"/>
            <w:vAlign w:val="center"/>
          </w:tcPr>
          <w:p w14:paraId="5C3308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声环境功能区</w:t>
            </w:r>
          </w:p>
        </w:tc>
        <w:tc>
          <w:tcPr>
            <w:tcW w:w="2731" w:type="dxa"/>
            <w:vAlign w:val="center"/>
          </w:tcPr>
          <w:p w14:paraId="4ED61D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昼间</w:t>
            </w:r>
          </w:p>
        </w:tc>
        <w:tc>
          <w:tcPr>
            <w:tcW w:w="3043" w:type="dxa"/>
            <w:vAlign w:val="center"/>
          </w:tcPr>
          <w:p w14:paraId="056C43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夜间</w:t>
            </w:r>
          </w:p>
        </w:tc>
      </w:tr>
      <w:tr w14:paraId="1B1A48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exact"/>
          <w:tblHeader/>
          <w:jc w:val="center"/>
        </w:trPr>
        <w:tc>
          <w:tcPr>
            <w:tcW w:w="2731" w:type="dxa"/>
            <w:vAlign w:val="center"/>
          </w:tcPr>
          <w:p w14:paraId="798CBB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3类</w:t>
            </w:r>
          </w:p>
        </w:tc>
        <w:tc>
          <w:tcPr>
            <w:tcW w:w="2731" w:type="dxa"/>
            <w:vAlign w:val="center"/>
          </w:tcPr>
          <w:p w14:paraId="275EB9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65</w:t>
            </w:r>
          </w:p>
        </w:tc>
        <w:tc>
          <w:tcPr>
            <w:tcW w:w="3043" w:type="dxa"/>
            <w:vAlign w:val="center"/>
          </w:tcPr>
          <w:p w14:paraId="78BCA9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55</w:t>
            </w:r>
          </w:p>
        </w:tc>
      </w:tr>
    </w:tbl>
    <w:p w14:paraId="6ABA81FB">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（5）土壤环境</w:t>
      </w:r>
    </w:p>
    <w:p w14:paraId="27E28F9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项目用地及周边主要为工业用地，建设用地执行《土壤环境质量建设用地土壤污染风险管控标准(试行)》（GB36600-2018）二类用地-筛选值。</w:t>
      </w:r>
    </w:p>
    <w:p w14:paraId="795FE934">
      <w:pPr>
        <w:spacing w:line="360" w:lineRule="auto"/>
        <w:jc w:val="center"/>
        <w:rPr>
          <w:rFonts w:hint="default" w:ascii="Times New Roman" w:hAnsi="Times New Roman" w:eastAsia="宋体" w:cs="Times New Roman"/>
          <w:b/>
          <w:bCs/>
        </w:rPr>
      </w:pPr>
      <w:r>
        <w:rPr>
          <w:rFonts w:hint="default" w:ascii="Times New Roman" w:hAnsi="Times New Roman" w:eastAsia="宋体" w:cs="Times New Roman"/>
          <w:b/>
          <w:bCs/>
        </w:rPr>
        <w:t>表2.4-5  土壤环境质量标准限值 (mg/kg)</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78"/>
        <w:gridCol w:w="1616"/>
        <w:gridCol w:w="2083"/>
        <w:gridCol w:w="1081"/>
        <w:gridCol w:w="1077"/>
        <w:gridCol w:w="1006"/>
        <w:gridCol w:w="1081"/>
      </w:tblGrid>
      <w:tr w14:paraId="6DECC2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vAlign w:val="center"/>
          </w:tcPr>
          <w:p w14:paraId="2149B332">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rPr>
            </w:pPr>
            <w:r>
              <w:rPr>
                <w:rFonts w:hint="default" w:ascii="Times New Roman" w:hAnsi="Times New Roman" w:eastAsia="宋体" w:cs="Times New Roman"/>
                <w:b/>
                <w:kern w:val="0"/>
              </w:rPr>
              <w:t>建设用地土壤污染风险管控标准</w:t>
            </w:r>
          </w:p>
        </w:tc>
      </w:tr>
      <w:tr w14:paraId="7D7281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vMerge w:val="restart"/>
            <w:shd w:val="clear" w:color="auto" w:fill="FFFFFF"/>
            <w:vAlign w:val="center"/>
          </w:tcPr>
          <w:p w14:paraId="5E3BF23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序号</w:t>
            </w:r>
          </w:p>
        </w:tc>
        <w:tc>
          <w:tcPr>
            <w:tcW w:w="948" w:type="pct"/>
            <w:vMerge w:val="restart"/>
            <w:shd w:val="clear" w:color="auto" w:fill="FFFFFF"/>
            <w:vAlign w:val="center"/>
          </w:tcPr>
          <w:p w14:paraId="7BC42D5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污染物项目</w:t>
            </w:r>
          </w:p>
        </w:tc>
        <w:tc>
          <w:tcPr>
            <w:tcW w:w="1222" w:type="pct"/>
            <w:vMerge w:val="restart"/>
            <w:shd w:val="clear" w:color="auto" w:fill="FFFFFF"/>
            <w:vAlign w:val="center"/>
          </w:tcPr>
          <w:p w14:paraId="3B2C26F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CAS 编号</w:t>
            </w:r>
          </w:p>
        </w:tc>
        <w:tc>
          <w:tcPr>
            <w:tcW w:w="1266" w:type="pct"/>
            <w:gridSpan w:val="2"/>
            <w:shd w:val="clear" w:color="auto" w:fill="FFFFFF"/>
            <w:vAlign w:val="center"/>
          </w:tcPr>
          <w:p w14:paraId="27AC5D0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筛选值</w:t>
            </w:r>
          </w:p>
        </w:tc>
        <w:tc>
          <w:tcPr>
            <w:tcW w:w="1224" w:type="pct"/>
            <w:gridSpan w:val="2"/>
            <w:shd w:val="clear" w:color="auto" w:fill="FFFFFF"/>
            <w:vAlign w:val="center"/>
          </w:tcPr>
          <w:p w14:paraId="3092487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管制值</w:t>
            </w:r>
          </w:p>
        </w:tc>
      </w:tr>
      <w:tr w14:paraId="184023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vMerge w:val="continue"/>
            <w:shd w:val="clear" w:color="auto" w:fill="FFFFFF"/>
            <w:vAlign w:val="center"/>
          </w:tcPr>
          <w:p w14:paraId="31CC5DCB">
            <w:pPr>
              <w:keepNext w:val="0"/>
              <w:keepLines w:val="0"/>
              <w:suppressLineNumbers w:val="0"/>
              <w:spacing w:before="0" w:beforeAutospacing="0" w:after="0" w:afterAutospacing="0"/>
              <w:ind w:left="0" w:right="0"/>
              <w:rPr>
                <w:rFonts w:hint="default" w:ascii="Times New Roman" w:hAnsi="Times New Roman" w:eastAsia="宋体" w:cs="Times New Roman"/>
                <w:kern w:val="0"/>
              </w:rPr>
            </w:pPr>
          </w:p>
        </w:tc>
        <w:tc>
          <w:tcPr>
            <w:tcW w:w="948" w:type="pct"/>
            <w:vMerge w:val="continue"/>
            <w:shd w:val="clear" w:color="auto" w:fill="FFFFFF"/>
            <w:vAlign w:val="center"/>
          </w:tcPr>
          <w:p w14:paraId="7AF5F028">
            <w:pPr>
              <w:keepNext w:val="0"/>
              <w:keepLines w:val="0"/>
              <w:suppressLineNumbers w:val="0"/>
              <w:spacing w:before="0" w:beforeAutospacing="0" w:after="0" w:afterAutospacing="0"/>
              <w:ind w:left="0" w:right="0"/>
              <w:rPr>
                <w:rFonts w:hint="default" w:ascii="Times New Roman" w:hAnsi="Times New Roman" w:eastAsia="宋体" w:cs="Times New Roman"/>
                <w:kern w:val="0"/>
              </w:rPr>
            </w:pPr>
          </w:p>
        </w:tc>
        <w:tc>
          <w:tcPr>
            <w:tcW w:w="1222" w:type="pct"/>
            <w:vMerge w:val="continue"/>
            <w:shd w:val="clear" w:color="auto" w:fill="FFFFFF"/>
            <w:vAlign w:val="center"/>
          </w:tcPr>
          <w:p w14:paraId="728486F3">
            <w:pPr>
              <w:keepNext w:val="0"/>
              <w:keepLines w:val="0"/>
              <w:suppressLineNumbers w:val="0"/>
              <w:spacing w:before="0" w:beforeAutospacing="0" w:after="0" w:afterAutospacing="0"/>
              <w:ind w:left="0" w:right="0"/>
              <w:rPr>
                <w:rFonts w:hint="default" w:ascii="Times New Roman" w:hAnsi="Times New Roman" w:eastAsia="宋体" w:cs="Times New Roman"/>
                <w:kern w:val="0"/>
              </w:rPr>
            </w:pPr>
          </w:p>
        </w:tc>
        <w:tc>
          <w:tcPr>
            <w:tcW w:w="634" w:type="pct"/>
            <w:shd w:val="clear" w:color="auto" w:fill="FFFFFF"/>
            <w:vAlign w:val="center"/>
          </w:tcPr>
          <w:p w14:paraId="009B57D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第一类用地</w:t>
            </w:r>
          </w:p>
        </w:tc>
        <w:tc>
          <w:tcPr>
            <w:tcW w:w="632" w:type="pct"/>
            <w:shd w:val="clear" w:color="auto" w:fill="FFFFFF"/>
            <w:vAlign w:val="center"/>
          </w:tcPr>
          <w:p w14:paraId="79F87E7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第二类用地</w:t>
            </w:r>
          </w:p>
        </w:tc>
        <w:tc>
          <w:tcPr>
            <w:tcW w:w="590" w:type="pct"/>
            <w:shd w:val="clear" w:color="auto" w:fill="FFFFFF"/>
            <w:vAlign w:val="center"/>
          </w:tcPr>
          <w:p w14:paraId="0C97B70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第一类用地</w:t>
            </w:r>
          </w:p>
        </w:tc>
        <w:tc>
          <w:tcPr>
            <w:tcW w:w="634" w:type="pct"/>
            <w:shd w:val="clear" w:color="auto" w:fill="FFFFFF"/>
            <w:vAlign w:val="center"/>
          </w:tcPr>
          <w:p w14:paraId="4B1DF2E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第二类用地</w:t>
            </w:r>
          </w:p>
        </w:tc>
      </w:tr>
      <w:tr w14:paraId="470689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shd w:val="clear" w:color="auto" w:fill="FFFFFF"/>
            <w:vAlign w:val="center"/>
          </w:tcPr>
          <w:p w14:paraId="1657F1E6">
            <w:pPr>
              <w:keepNext w:val="0"/>
              <w:keepLines w:val="0"/>
              <w:suppressLineNumbers w:val="0"/>
              <w:spacing w:before="0" w:beforeAutospacing="0" w:after="0" w:afterAutospacing="0"/>
              <w:ind w:left="0" w:right="0"/>
              <w:rPr>
                <w:rFonts w:hint="default" w:ascii="Times New Roman" w:hAnsi="Times New Roman" w:eastAsia="宋体" w:cs="Times New Roman"/>
                <w:kern w:val="0"/>
              </w:rPr>
            </w:pPr>
            <w:r>
              <w:rPr>
                <w:rFonts w:hint="default" w:ascii="Times New Roman" w:hAnsi="Times New Roman" w:eastAsia="宋体" w:cs="Times New Roman"/>
                <w:kern w:val="0"/>
              </w:rPr>
              <w:t>重金属和无机物</w:t>
            </w:r>
          </w:p>
        </w:tc>
      </w:tr>
      <w:tr w14:paraId="2FA324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2CDDAC4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w:t>
            </w:r>
          </w:p>
        </w:tc>
        <w:tc>
          <w:tcPr>
            <w:tcW w:w="948" w:type="pct"/>
            <w:shd w:val="clear" w:color="auto" w:fill="FFFFFF"/>
            <w:vAlign w:val="center"/>
          </w:tcPr>
          <w:p w14:paraId="3682680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砷</w:t>
            </w:r>
          </w:p>
        </w:tc>
        <w:tc>
          <w:tcPr>
            <w:tcW w:w="1222" w:type="pct"/>
            <w:shd w:val="clear" w:color="auto" w:fill="FFFFFF"/>
            <w:vAlign w:val="center"/>
          </w:tcPr>
          <w:p w14:paraId="3942E0B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7440-38-2</w:t>
            </w:r>
          </w:p>
        </w:tc>
        <w:tc>
          <w:tcPr>
            <w:tcW w:w="634" w:type="pct"/>
            <w:shd w:val="clear" w:color="auto" w:fill="FFFFFF"/>
            <w:vAlign w:val="center"/>
          </w:tcPr>
          <w:p w14:paraId="426F02B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w:t>
            </w:r>
            <w:r>
              <w:rPr>
                <w:rFonts w:hint="default" w:ascii="Times New Roman" w:hAnsi="Times New Roman" w:eastAsia="宋体" w:cs="Times New Roman"/>
                <w:kern w:val="0"/>
                <w:vertAlign w:val="superscript"/>
              </w:rPr>
              <w:t>①</w:t>
            </w:r>
          </w:p>
        </w:tc>
        <w:tc>
          <w:tcPr>
            <w:tcW w:w="632" w:type="pct"/>
            <w:shd w:val="clear" w:color="auto" w:fill="FFFFFF"/>
            <w:vAlign w:val="center"/>
          </w:tcPr>
          <w:p w14:paraId="6D327AA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60</w:t>
            </w:r>
            <w:r>
              <w:rPr>
                <w:rFonts w:hint="default" w:ascii="Times New Roman" w:hAnsi="Times New Roman" w:eastAsia="宋体" w:cs="Times New Roman"/>
                <w:kern w:val="0"/>
                <w:vertAlign w:val="superscript"/>
              </w:rPr>
              <w:t>①</w:t>
            </w:r>
          </w:p>
        </w:tc>
        <w:tc>
          <w:tcPr>
            <w:tcW w:w="590" w:type="pct"/>
            <w:shd w:val="clear" w:color="auto" w:fill="FFFFFF"/>
            <w:vAlign w:val="center"/>
          </w:tcPr>
          <w:p w14:paraId="608307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120</w:t>
            </w:r>
          </w:p>
        </w:tc>
        <w:tc>
          <w:tcPr>
            <w:tcW w:w="634" w:type="pct"/>
            <w:shd w:val="clear" w:color="auto" w:fill="FFFFFF"/>
            <w:vAlign w:val="center"/>
          </w:tcPr>
          <w:p w14:paraId="70A6FAB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140</w:t>
            </w:r>
          </w:p>
        </w:tc>
      </w:tr>
      <w:tr w14:paraId="275BD9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0382F3D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w:t>
            </w:r>
          </w:p>
        </w:tc>
        <w:tc>
          <w:tcPr>
            <w:tcW w:w="948" w:type="pct"/>
            <w:shd w:val="clear" w:color="auto" w:fill="FFFFFF"/>
            <w:vAlign w:val="center"/>
          </w:tcPr>
          <w:p w14:paraId="626D08F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镉</w:t>
            </w:r>
          </w:p>
        </w:tc>
        <w:tc>
          <w:tcPr>
            <w:tcW w:w="1222" w:type="pct"/>
            <w:shd w:val="clear" w:color="auto" w:fill="FFFFFF"/>
            <w:vAlign w:val="center"/>
          </w:tcPr>
          <w:p w14:paraId="24F82E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7440-43-9</w:t>
            </w:r>
          </w:p>
        </w:tc>
        <w:tc>
          <w:tcPr>
            <w:tcW w:w="634" w:type="pct"/>
            <w:shd w:val="clear" w:color="auto" w:fill="FFFFFF"/>
            <w:vAlign w:val="center"/>
          </w:tcPr>
          <w:p w14:paraId="0A290F2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w:t>
            </w:r>
          </w:p>
        </w:tc>
        <w:tc>
          <w:tcPr>
            <w:tcW w:w="632" w:type="pct"/>
            <w:shd w:val="clear" w:color="auto" w:fill="FFFFFF"/>
            <w:vAlign w:val="center"/>
          </w:tcPr>
          <w:p w14:paraId="5F4CB51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65</w:t>
            </w:r>
          </w:p>
        </w:tc>
        <w:tc>
          <w:tcPr>
            <w:tcW w:w="590" w:type="pct"/>
            <w:shd w:val="clear" w:color="auto" w:fill="FFFFFF"/>
            <w:vAlign w:val="center"/>
          </w:tcPr>
          <w:p w14:paraId="15028D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47</w:t>
            </w:r>
          </w:p>
        </w:tc>
        <w:tc>
          <w:tcPr>
            <w:tcW w:w="634" w:type="pct"/>
            <w:shd w:val="clear" w:color="auto" w:fill="FFFFFF"/>
            <w:vAlign w:val="center"/>
          </w:tcPr>
          <w:p w14:paraId="5030679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172</w:t>
            </w:r>
          </w:p>
        </w:tc>
      </w:tr>
      <w:tr w14:paraId="10BB6B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059A366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w:t>
            </w:r>
          </w:p>
        </w:tc>
        <w:tc>
          <w:tcPr>
            <w:tcW w:w="948" w:type="pct"/>
            <w:shd w:val="clear" w:color="auto" w:fill="FFFFFF"/>
            <w:vAlign w:val="center"/>
          </w:tcPr>
          <w:p w14:paraId="3CCF5F5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铬（六价）</w:t>
            </w:r>
          </w:p>
        </w:tc>
        <w:tc>
          <w:tcPr>
            <w:tcW w:w="1222" w:type="pct"/>
            <w:shd w:val="clear" w:color="auto" w:fill="FFFFFF"/>
            <w:vAlign w:val="center"/>
          </w:tcPr>
          <w:p w14:paraId="14571DF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18540-29-9</w:t>
            </w:r>
          </w:p>
        </w:tc>
        <w:tc>
          <w:tcPr>
            <w:tcW w:w="634" w:type="pct"/>
            <w:shd w:val="clear" w:color="auto" w:fill="FFFFFF"/>
            <w:vAlign w:val="center"/>
          </w:tcPr>
          <w:p w14:paraId="16FFD7A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w:t>
            </w:r>
          </w:p>
        </w:tc>
        <w:tc>
          <w:tcPr>
            <w:tcW w:w="632" w:type="pct"/>
            <w:shd w:val="clear" w:color="auto" w:fill="FFFFFF"/>
            <w:vAlign w:val="center"/>
          </w:tcPr>
          <w:p w14:paraId="71492B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5.7</w:t>
            </w:r>
          </w:p>
        </w:tc>
        <w:tc>
          <w:tcPr>
            <w:tcW w:w="590" w:type="pct"/>
            <w:shd w:val="clear" w:color="auto" w:fill="FFFFFF"/>
            <w:vAlign w:val="center"/>
          </w:tcPr>
          <w:p w14:paraId="57F45AC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30</w:t>
            </w:r>
          </w:p>
        </w:tc>
        <w:tc>
          <w:tcPr>
            <w:tcW w:w="634" w:type="pct"/>
            <w:shd w:val="clear" w:color="auto" w:fill="FFFFFF"/>
            <w:vAlign w:val="center"/>
          </w:tcPr>
          <w:p w14:paraId="028AF6E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78</w:t>
            </w:r>
          </w:p>
        </w:tc>
      </w:tr>
      <w:tr w14:paraId="69502D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695279E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w:t>
            </w:r>
          </w:p>
        </w:tc>
        <w:tc>
          <w:tcPr>
            <w:tcW w:w="948" w:type="pct"/>
            <w:shd w:val="clear" w:color="auto" w:fill="FFFFFF"/>
            <w:vAlign w:val="center"/>
          </w:tcPr>
          <w:p w14:paraId="216D27A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铜</w:t>
            </w:r>
          </w:p>
        </w:tc>
        <w:tc>
          <w:tcPr>
            <w:tcW w:w="1222" w:type="pct"/>
            <w:shd w:val="clear" w:color="auto" w:fill="FFFFFF"/>
            <w:vAlign w:val="center"/>
          </w:tcPr>
          <w:p w14:paraId="0DC04A2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7440-50-8</w:t>
            </w:r>
          </w:p>
        </w:tc>
        <w:tc>
          <w:tcPr>
            <w:tcW w:w="634" w:type="pct"/>
            <w:shd w:val="clear" w:color="auto" w:fill="FFFFFF"/>
            <w:vAlign w:val="center"/>
          </w:tcPr>
          <w:p w14:paraId="3450C96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2000</w:t>
            </w:r>
          </w:p>
        </w:tc>
        <w:tc>
          <w:tcPr>
            <w:tcW w:w="632" w:type="pct"/>
            <w:shd w:val="clear" w:color="auto" w:fill="FFFFFF"/>
            <w:vAlign w:val="center"/>
          </w:tcPr>
          <w:p w14:paraId="1865E7F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18000</w:t>
            </w:r>
          </w:p>
        </w:tc>
        <w:tc>
          <w:tcPr>
            <w:tcW w:w="590" w:type="pct"/>
            <w:shd w:val="clear" w:color="auto" w:fill="FFFFFF"/>
            <w:vAlign w:val="center"/>
          </w:tcPr>
          <w:p w14:paraId="15C9420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8000</w:t>
            </w:r>
          </w:p>
        </w:tc>
        <w:tc>
          <w:tcPr>
            <w:tcW w:w="634" w:type="pct"/>
            <w:shd w:val="clear" w:color="auto" w:fill="FFFFFF"/>
            <w:vAlign w:val="center"/>
          </w:tcPr>
          <w:p w14:paraId="031340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36000</w:t>
            </w:r>
          </w:p>
        </w:tc>
      </w:tr>
      <w:tr w14:paraId="5A2B29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177296A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w:t>
            </w:r>
          </w:p>
        </w:tc>
        <w:tc>
          <w:tcPr>
            <w:tcW w:w="948" w:type="pct"/>
            <w:shd w:val="clear" w:color="auto" w:fill="FFFFFF"/>
            <w:vAlign w:val="center"/>
          </w:tcPr>
          <w:p w14:paraId="31B163A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铅</w:t>
            </w:r>
          </w:p>
        </w:tc>
        <w:tc>
          <w:tcPr>
            <w:tcW w:w="1222" w:type="pct"/>
            <w:shd w:val="clear" w:color="auto" w:fill="FFFFFF"/>
            <w:vAlign w:val="center"/>
          </w:tcPr>
          <w:p w14:paraId="3D3EA97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7439-92-1</w:t>
            </w:r>
          </w:p>
        </w:tc>
        <w:tc>
          <w:tcPr>
            <w:tcW w:w="634" w:type="pct"/>
            <w:shd w:val="clear" w:color="auto" w:fill="FFFFFF"/>
            <w:vAlign w:val="center"/>
          </w:tcPr>
          <w:p w14:paraId="7764157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400</w:t>
            </w:r>
          </w:p>
        </w:tc>
        <w:tc>
          <w:tcPr>
            <w:tcW w:w="632" w:type="pct"/>
            <w:shd w:val="clear" w:color="auto" w:fill="FFFFFF"/>
            <w:vAlign w:val="center"/>
          </w:tcPr>
          <w:p w14:paraId="462800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800</w:t>
            </w:r>
          </w:p>
        </w:tc>
        <w:tc>
          <w:tcPr>
            <w:tcW w:w="590" w:type="pct"/>
            <w:shd w:val="clear" w:color="auto" w:fill="FFFFFF"/>
            <w:vAlign w:val="center"/>
          </w:tcPr>
          <w:p w14:paraId="1C28D0D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800</w:t>
            </w:r>
          </w:p>
        </w:tc>
        <w:tc>
          <w:tcPr>
            <w:tcW w:w="634" w:type="pct"/>
            <w:shd w:val="clear" w:color="auto" w:fill="FFFFFF"/>
            <w:vAlign w:val="center"/>
          </w:tcPr>
          <w:p w14:paraId="1BFD761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2500</w:t>
            </w:r>
          </w:p>
        </w:tc>
      </w:tr>
      <w:tr w14:paraId="114B80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6528CBF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w:t>
            </w:r>
          </w:p>
        </w:tc>
        <w:tc>
          <w:tcPr>
            <w:tcW w:w="948" w:type="pct"/>
            <w:shd w:val="clear" w:color="auto" w:fill="FFFFFF"/>
            <w:vAlign w:val="center"/>
          </w:tcPr>
          <w:p w14:paraId="504D5A6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汞</w:t>
            </w:r>
          </w:p>
        </w:tc>
        <w:tc>
          <w:tcPr>
            <w:tcW w:w="1222" w:type="pct"/>
            <w:shd w:val="clear" w:color="auto" w:fill="FFFFFF"/>
            <w:vAlign w:val="center"/>
          </w:tcPr>
          <w:p w14:paraId="711BE66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7439-97-6</w:t>
            </w:r>
          </w:p>
        </w:tc>
        <w:tc>
          <w:tcPr>
            <w:tcW w:w="634" w:type="pct"/>
            <w:shd w:val="clear" w:color="auto" w:fill="FFFFFF"/>
            <w:vAlign w:val="center"/>
          </w:tcPr>
          <w:p w14:paraId="3F1E28B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8</w:t>
            </w:r>
          </w:p>
        </w:tc>
        <w:tc>
          <w:tcPr>
            <w:tcW w:w="632" w:type="pct"/>
            <w:shd w:val="clear" w:color="auto" w:fill="FFFFFF"/>
            <w:vAlign w:val="center"/>
          </w:tcPr>
          <w:p w14:paraId="15FFBD2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38</w:t>
            </w:r>
          </w:p>
        </w:tc>
        <w:tc>
          <w:tcPr>
            <w:tcW w:w="590" w:type="pct"/>
            <w:shd w:val="clear" w:color="auto" w:fill="FFFFFF"/>
            <w:vAlign w:val="center"/>
          </w:tcPr>
          <w:p w14:paraId="68D3C2D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33</w:t>
            </w:r>
          </w:p>
        </w:tc>
        <w:tc>
          <w:tcPr>
            <w:tcW w:w="634" w:type="pct"/>
            <w:shd w:val="clear" w:color="auto" w:fill="FFFFFF"/>
            <w:vAlign w:val="center"/>
          </w:tcPr>
          <w:p w14:paraId="4EF2B82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82</w:t>
            </w:r>
          </w:p>
        </w:tc>
      </w:tr>
      <w:tr w14:paraId="5CD3E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7F6E695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w:t>
            </w:r>
          </w:p>
        </w:tc>
        <w:tc>
          <w:tcPr>
            <w:tcW w:w="948" w:type="pct"/>
            <w:shd w:val="clear" w:color="auto" w:fill="FFFFFF"/>
            <w:vAlign w:val="center"/>
          </w:tcPr>
          <w:p w14:paraId="49BE33E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镍</w:t>
            </w:r>
          </w:p>
        </w:tc>
        <w:tc>
          <w:tcPr>
            <w:tcW w:w="1222" w:type="pct"/>
            <w:shd w:val="clear" w:color="auto" w:fill="FFFFFF"/>
            <w:vAlign w:val="center"/>
          </w:tcPr>
          <w:p w14:paraId="0074AFE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7440-02-0</w:t>
            </w:r>
          </w:p>
        </w:tc>
        <w:tc>
          <w:tcPr>
            <w:tcW w:w="634" w:type="pct"/>
            <w:shd w:val="clear" w:color="auto" w:fill="FFFFFF"/>
            <w:vAlign w:val="center"/>
          </w:tcPr>
          <w:p w14:paraId="512D38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150</w:t>
            </w:r>
          </w:p>
        </w:tc>
        <w:tc>
          <w:tcPr>
            <w:tcW w:w="632" w:type="pct"/>
            <w:shd w:val="clear" w:color="auto" w:fill="FFFFFF"/>
            <w:vAlign w:val="center"/>
          </w:tcPr>
          <w:p w14:paraId="66DF0D8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900</w:t>
            </w:r>
          </w:p>
        </w:tc>
        <w:tc>
          <w:tcPr>
            <w:tcW w:w="590" w:type="pct"/>
            <w:shd w:val="clear" w:color="auto" w:fill="FFFFFF"/>
            <w:vAlign w:val="center"/>
          </w:tcPr>
          <w:p w14:paraId="50FC764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600</w:t>
            </w:r>
          </w:p>
        </w:tc>
        <w:tc>
          <w:tcPr>
            <w:tcW w:w="634" w:type="pct"/>
            <w:shd w:val="clear" w:color="auto" w:fill="FFFFFF"/>
            <w:vAlign w:val="center"/>
          </w:tcPr>
          <w:p w14:paraId="4EA66D8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2000</w:t>
            </w:r>
          </w:p>
        </w:tc>
      </w:tr>
      <w:tr w14:paraId="2C8F9D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shd w:val="clear" w:color="auto" w:fill="FFFFFF"/>
            <w:vAlign w:val="center"/>
          </w:tcPr>
          <w:p w14:paraId="4EE289AF">
            <w:pPr>
              <w:keepNext w:val="0"/>
              <w:keepLines w:val="0"/>
              <w:suppressLineNumbers w:val="0"/>
              <w:spacing w:before="0" w:beforeAutospacing="0" w:after="0" w:afterAutospacing="0"/>
              <w:ind w:left="0" w:right="0"/>
              <w:rPr>
                <w:rFonts w:hint="default" w:ascii="Times New Roman" w:hAnsi="Times New Roman" w:eastAsia="宋体" w:cs="Times New Roman"/>
                <w:kern w:val="0"/>
              </w:rPr>
            </w:pPr>
            <w:r>
              <w:rPr>
                <w:rFonts w:hint="default" w:ascii="Times New Roman" w:hAnsi="Times New Roman" w:eastAsia="宋体" w:cs="Times New Roman"/>
                <w:kern w:val="0"/>
              </w:rPr>
              <w:t>挥发性有机物</w:t>
            </w:r>
          </w:p>
        </w:tc>
      </w:tr>
      <w:tr w14:paraId="4AA3F7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264439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8</w:t>
            </w:r>
          </w:p>
        </w:tc>
        <w:tc>
          <w:tcPr>
            <w:tcW w:w="948" w:type="pct"/>
            <w:shd w:val="clear" w:color="auto" w:fill="FFFFFF"/>
            <w:vAlign w:val="center"/>
          </w:tcPr>
          <w:p w14:paraId="7F4039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四氯化碳</w:t>
            </w:r>
          </w:p>
        </w:tc>
        <w:tc>
          <w:tcPr>
            <w:tcW w:w="1222" w:type="pct"/>
            <w:shd w:val="clear" w:color="auto" w:fill="FFFFFF"/>
            <w:vAlign w:val="center"/>
          </w:tcPr>
          <w:p w14:paraId="01A539A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56-23-5</w:t>
            </w:r>
          </w:p>
        </w:tc>
        <w:tc>
          <w:tcPr>
            <w:tcW w:w="634" w:type="pct"/>
            <w:shd w:val="clear" w:color="auto" w:fill="FFFFFF"/>
            <w:vAlign w:val="center"/>
          </w:tcPr>
          <w:p w14:paraId="3AFF52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0.9</w:t>
            </w:r>
          </w:p>
        </w:tc>
        <w:tc>
          <w:tcPr>
            <w:tcW w:w="632" w:type="pct"/>
            <w:shd w:val="clear" w:color="auto" w:fill="FFFFFF"/>
            <w:vAlign w:val="center"/>
          </w:tcPr>
          <w:p w14:paraId="3C8FACE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2.8</w:t>
            </w:r>
          </w:p>
        </w:tc>
        <w:tc>
          <w:tcPr>
            <w:tcW w:w="590" w:type="pct"/>
            <w:shd w:val="clear" w:color="auto" w:fill="FFFFFF"/>
            <w:vAlign w:val="center"/>
          </w:tcPr>
          <w:p w14:paraId="5C80D56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w:t>
            </w:r>
          </w:p>
        </w:tc>
        <w:tc>
          <w:tcPr>
            <w:tcW w:w="634" w:type="pct"/>
            <w:shd w:val="clear" w:color="auto" w:fill="FFFFFF"/>
            <w:vAlign w:val="center"/>
          </w:tcPr>
          <w:p w14:paraId="5816234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36</w:t>
            </w:r>
          </w:p>
        </w:tc>
      </w:tr>
      <w:tr w14:paraId="6E0133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2BE9974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w:t>
            </w:r>
          </w:p>
        </w:tc>
        <w:tc>
          <w:tcPr>
            <w:tcW w:w="948" w:type="pct"/>
            <w:shd w:val="clear" w:color="auto" w:fill="FFFFFF"/>
            <w:vAlign w:val="center"/>
          </w:tcPr>
          <w:p w14:paraId="1C9FB54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氯仿</w:t>
            </w:r>
          </w:p>
        </w:tc>
        <w:tc>
          <w:tcPr>
            <w:tcW w:w="1222" w:type="pct"/>
            <w:shd w:val="clear" w:color="auto" w:fill="FFFFFF"/>
            <w:vAlign w:val="center"/>
          </w:tcPr>
          <w:p w14:paraId="4A7BD45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67-66-3</w:t>
            </w:r>
          </w:p>
        </w:tc>
        <w:tc>
          <w:tcPr>
            <w:tcW w:w="634" w:type="pct"/>
            <w:shd w:val="clear" w:color="auto" w:fill="FFFFFF"/>
            <w:vAlign w:val="center"/>
          </w:tcPr>
          <w:p w14:paraId="5D4001E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0.3</w:t>
            </w:r>
          </w:p>
        </w:tc>
        <w:tc>
          <w:tcPr>
            <w:tcW w:w="632" w:type="pct"/>
            <w:shd w:val="clear" w:color="auto" w:fill="FFFFFF"/>
            <w:vAlign w:val="center"/>
          </w:tcPr>
          <w:p w14:paraId="09E71B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0.9</w:t>
            </w:r>
          </w:p>
        </w:tc>
        <w:tc>
          <w:tcPr>
            <w:tcW w:w="590" w:type="pct"/>
            <w:shd w:val="clear" w:color="auto" w:fill="FFFFFF"/>
            <w:vAlign w:val="center"/>
          </w:tcPr>
          <w:p w14:paraId="62465B7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w:t>
            </w:r>
          </w:p>
        </w:tc>
        <w:tc>
          <w:tcPr>
            <w:tcW w:w="634" w:type="pct"/>
            <w:shd w:val="clear" w:color="auto" w:fill="FFFFFF"/>
            <w:vAlign w:val="center"/>
          </w:tcPr>
          <w:p w14:paraId="6F511E2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w:t>
            </w:r>
          </w:p>
        </w:tc>
      </w:tr>
      <w:tr w14:paraId="361D6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524E528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w:t>
            </w:r>
          </w:p>
        </w:tc>
        <w:tc>
          <w:tcPr>
            <w:tcW w:w="948" w:type="pct"/>
            <w:shd w:val="clear" w:color="auto" w:fill="FFFFFF"/>
            <w:vAlign w:val="center"/>
          </w:tcPr>
          <w:p w14:paraId="70A6D02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氯甲烷</w:t>
            </w:r>
          </w:p>
        </w:tc>
        <w:tc>
          <w:tcPr>
            <w:tcW w:w="1222" w:type="pct"/>
            <w:shd w:val="clear" w:color="auto" w:fill="FFFFFF"/>
            <w:vAlign w:val="center"/>
          </w:tcPr>
          <w:p w14:paraId="5A2C951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74-87-3</w:t>
            </w:r>
          </w:p>
        </w:tc>
        <w:tc>
          <w:tcPr>
            <w:tcW w:w="634" w:type="pct"/>
            <w:shd w:val="clear" w:color="auto" w:fill="FFFFFF"/>
            <w:vAlign w:val="center"/>
          </w:tcPr>
          <w:p w14:paraId="4E58E1F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w:t>
            </w:r>
          </w:p>
        </w:tc>
        <w:tc>
          <w:tcPr>
            <w:tcW w:w="632" w:type="pct"/>
            <w:shd w:val="clear" w:color="auto" w:fill="FFFFFF"/>
            <w:vAlign w:val="center"/>
          </w:tcPr>
          <w:p w14:paraId="762F61A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37</w:t>
            </w:r>
          </w:p>
        </w:tc>
        <w:tc>
          <w:tcPr>
            <w:tcW w:w="590" w:type="pct"/>
            <w:shd w:val="clear" w:color="auto" w:fill="FFFFFF"/>
            <w:vAlign w:val="center"/>
          </w:tcPr>
          <w:p w14:paraId="5579124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21</w:t>
            </w:r>
          </w:p>
        </w:tc>
        <w:tc>
          <w:tcPr>
            <w:tcW w:w="634" w:type="pct"/>
            <w:shd w:val="clear" w:color="auto" w:fill="FFFFFF"/>
            <w:vAlign w:val="center"/>
          </w:tcPr>
          <w:p w14:paraId="08811C5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120</w:t>
            </w:r>
          </w:p>
        </w:tc>
      </w:tr>
      <w:tr w14:paraId="29C599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4B00E30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11</w:t>
            </w:r>
          </w:p>
        </w:tc>
        <w:tc>
          <w:tcPr>
            <w:tcW w:w="948" w:type="pct"/>
            <w:shd w:val="clear" w:color="auto" w:fill="FFFFFF"/>
            <w:vAlign w:val="center"/>
          </w:tcPr>
          <w:p w14:paraId="0FE563D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1,1-二氯乙烷</w:t>
            </w:r>
          </w:p>
        </w:tc>
        <w:tc>
          <w:tcPr>
            <w:tcW w:w="1222" w:type="pct"/>
            <w:shd w:val="clear" w:color="auto" w:fill="FFFFFF"/>
            <w:vAlign w:val="center"/>
          </w:tcPr>
          <w:p w14:paraId="5874ABA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75-34-3</w:t>
            </w:r>
          </w:p>
        </w:tc>
        <w:tc>
          <w:tcPr>
            <w:tcW w:w="634" w:type="pct"/>
            <w:shd w:val="clear" w:color="auto" w:fill="FFFFFF"/>
            <w:vAlign w:val="center"/>
          </w:tcPr>
          <w:p w14:paraId="5E6422D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w:t>
            </w:r>
          </w:p>
        </w:tc>
        <w:tc>
          <w:tcPr>
            <w:tcW w:w="632" w:type="pct"/>
            <w:shd w:val="clear" w:color="auto" w:fill="FFFFFF"/>
            <w:vAlign w:val="center"/>
          </w:tcPr>
          <w:p w14:paraId="586BA2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w:t>
            </w:r>
          </w:p>
        </w:tc>
        <w:tc>
          <w:tcPr>
            <w:tcW w:w="590" w:type="pct"/>
            <w:shd w:val="clear" w:color="auto" w:fill="FFFFFF"/>
            <w:vAlign w:val="center"/>
          </w:tcPr>
          <w:p w14:paraId="6D0157A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w:t>
            </w:r>
          </w:p>
        </w:tc>
        <w:tc>
          <w:tcPr>
            <w:tcW w:w="634" w:type="pct"/>
            <w:shd w:val="clear" w:color="auto" w:fill="FFFFFF"/>
            <w:vAlign w:val="center"/>
          </w:tcPr>
          <w:p w14:paraId="1D84EBE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100</w:t>
            </w:r>
          </w:p>
        </w:tc>
      </w:tr>
      <w:tr w14:paraId="5FE676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1A01019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w:t>
            </w:r>
          </w:p>
        </w:tc>
        <w:tc>
          <w:tcPr>
            <w:tcW w:w="948" w:type="pct"/>
            <w:shd w:val="clear" w:color="auto" w:fill="FFFFFF"/>
            <w:vAlign w:val="center"/>
          </w:tcPr>
          <w:p w14:paraId="4DB3F58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1,2-二氯乙烷</w:t>
            </w:r>
          </w:p>
        </w:tc>
        <w:tc>
          <w:tcPr>
            <w:tcW w:w="1222" w:type="pct"/>
            <w:shd w:val="clear" w:color="auto" w:fill="FFFFFF"/>
            <w:vAlign w:val="center"/>
          </w:tcPr>
          <w:p w14:paraId="50FDCE1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107-06-2</w:t>
            </w:r>
          </w:p>
        </w:tc>
        <w:tc>
          <w:tcPr>
            <w:tcW w:w="634" w:type="pct"/>
            <w:shd w:val="clear" w:color="auto" w:fill="FFFFFF"/>
            <w:vAlign w:val="center"/>
          </w:tcPr>
          <w:p w14:paraId="48D0F6A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0.52</w:t>
            </w:r>
          </w:p>
        </w:tc>
        <w:tc>
          <w:tcPr>
            <w:tcW w:w="632" w:type="pct"/>
            <w:shd w:val="clear" w:color="auto" w:fill="FFFFFF"/>
            <w:vAlign w:val="center"/>
          </w:tcPr>
          <w:p w14:paraId="64959F3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w:t>
            </w:r>
          </w:p>
        </w:tc>
        <w:tc>
          <w:tcPr>
            <w:tcW w:w="590" w:type="pct"/>
            <w:shd w:val="clear" w:color="auto" w:fill="FFFFFF"/>
            <w:vAlign w:val="center"/>
          </w:tcPr>
          <w:p w14:paraId="76BB0E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w:t>
            </w:r>
          </w:p>
        </w:tc>
        <w:tc>
          <w:tcPr>
            <w:tcW w:w="634" w:type="pct"/>
            <w:shd w:val="clear" w:color="auto" w:fill="FFFFFF"/>
            <w:vAlign w:val="center"/>
          </w:tcPr>
          <w:p w14:paraId="779E2FF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21</w:t>
            </w:r>
          </w:p>
        </w:tc>
      </w:tr>
      <w:tr w14:paraId="1D4E0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0399BFB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13</w:t>
            </w:r>
          </w:p>
        </w:tc>
        <w:tc>
          <w:tcPr>
            <w:tcW w:w="948" w:type="pct"/>
            <w:shd w:val="clear" w:color="auto" w:fill="FFFFFF"/>
            <w:vAlign w:val="center"/>
          </w:tcPr>
          <w:p w14:paraId="6C09CF3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1,1-二氯乙烯</w:t>
            </w:r>
          </w:p>
        </w:tc>
        <w:tc>
          <w:tcPr>
            <w:tcW w:w="1222" w:type="pct"/>
            <w:shd w:val="clear" w:color="auto" w:fill="FFFFFF"/>
            <w:vAlign w:val="center"/>
          </w:tcPr>
          <w:p w14:paraId="6B41BA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75-35-4</w:t>
            </w:r>
          </w:p>
        </w:tc>
        <w:tc>
          <w:tcPr>
            <w:tcW w:w="634" w:type="pct"/>
            <w:shd w:val="clear" w:color="auto" w:fill="FFFFFF"/>
            <w:vAlign w:val="center"/>
          </w:tcPr>
          <w:p w14:paraId="18D953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w:t>
            </w:r>
          </w:p>
        </w:tc>
        <w:tc>
          <w:tcPr>
            <w:tcW w:w="632" w:type="pct"/>
            <w:shd w:val="clear" w:color="auto" w:fill="FFFFFF"/>
            <w:vAlign w:val="center"/>
          </w:tcPr>
          <w:p w14:paraId="21BE626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66</w:t>
            </w:r>
          </w:p>
        </w:tc>
        <w:tc>
          <w:tcPr>
            <w:tcW w:w="590" w:type="pct"/>
            <w:shd w:val="clear" w:color="auto" w:fill="FFFFFF"/>
            <w:vAlign w:val="center"/>
          </w:tcPr>
          <w:p w14:paraId="3D0FB38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40</w:t>
            </w:r>
          </w:p>
        </w:tc>
        <w:tc>
          <w:tcPr>
            <w:tcW w:w="634" w:type="pct"/>
            <w:shd w:val="clear" w:color="auto" w:fill="FFFFFF"/>
            <w:vAlign w:val="center"/>
          </w:tcPr>
          <w:p w14:paraId="468AF3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200</w:t>
            </w:r>
          </w:p>
        </w:tc>
      </w:tr>
      <w:tr w14:paraId="670AD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218ABBD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14</w:t>
            </w:r>
          </w:p>
        </w:tc>
        <w:tc>
          <w:tcPr>
            <w:tcW w:w="948" w:type="pct"/>
            <w:shd w:val="clear" w:color="auto" w:fill="FFFFFF"/>
            <w:vAlign w:val="center"/>
          </w:tcPr>
          <w:p w14:paraId="413569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顺-1,2-二氯乙烯</w:t>
            </w:r>
          </w:p>
        </w:tc>
        <w:tc>
          <w:tcPr>
            <w:tcW w:w="1222" w:type="pct"/>
            <w:shd w:val="clear" w:color="auto" w:fill="FFFFFF"/>
            <w:vAlign w:val="center"/>
          </w:tcPr>
          <w:p w14:paraId="1BC2C1C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156-59-2</w:t>
            </w:r>
          </w:p>
        </w:tc>
        <w:tc>
          <w:tcPr>
            <w:tcW w:w="634" w:type="pct"/>
            <w:shd w:val="clear" w:color="auto" w:fill="FFFFFF"/>
            <w:vAlign w:val="center"/>
          </w:tcPr>
          <w:p w14:paraId="4A1C12B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66</w:t>
            </w:r>
          </w:p>
        </w:tc>
        <w:tc>
          <w:tcPr>
            <w:tcW w:w="632" w:type="pct"/>
            <w:shd w:val="clear" w:color="auto" w:fill="FFFFFF"/>
            <w:vAlign w:val="center"/>
          </w:tcPr>
          <w:p w14:paraId="5CFF912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596</w:t>
            </w:r>
          </w:p>
        </w:tc>
        <w:tc>
          <w:tcPr>
            <w:tcW w:w="590" w:type="pct"/>
            <w:shd w:val="clear" w:color="auto" w:fill="FFFFFF"/>
            <w:vAlign w:val="center"/>
          </w:tcPr>
          <w:p w14:paraId="43BDAD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200</w:t>
            </w:r>
          </w:p>
        </w:tc>
        <w:tc>
          <w:tcPr>
            <w:tcW w:w="634" w:type="pct"/>
            <w:shd w:val="clear" w:color="auto" w:fill="FFFFFF"/>
            <w:vAlign w:val="center"/>
          </w:tcPr>
          <w:p w14:paraId="0DA2AF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2000</w:t>
            </w:r>
          </w:p>
        </w:tc>
      </w:tr>
      <w:tr w14:paraId="2D3BFC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7967753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w:t>
            </w:r>
          </w:p>
        </w:tc>
        <w:tc>
          <w:tcPr>
            <w:tcW w:w="948" w:type="pct"/>
            <w:shd w:val="clear" w:color="auto" w:fill="FFFFFF"/>
            <w:vAlign w:val="center"/>
          </w:tcPr>
          <w:p w14:paraId="09E665F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反-1,2-二氯乙烯</w:t>
            </w:r>
          </w:p>
        </w:tc>
        <w:tc>
          <w:tcPr>
            <w:tcW w:w="1222" w:type="pct"/>
            <w:shd w:val="clear" w:color="auto" w:fill="FFFFFF"/>
            <w:vAlign w:val="center"/>
          </w:tcPr>
          <w:p w14:paraId="0E8D181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156-60-5</w:t>
            </w:r>
          </w:p>
        </w:tc>
        <w:tc>
          <w:tcPr>
            <w:tcW w:w="634" w:type="pct"/>
            <w:shd w:val="clear" w:color="auto" w:fill="FFFFFF"/>
            <w:vAlign w:val="center"/>
          </w:tcPr>
          <w:p w14:paraId="16B6436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w:t>
            </w:r>
          </w:p>
        </w:tc>
        <w:tc>
          <w:tcPr>
            <w:tcW w:w="632" w:type="pct"/>
            <w:shd w:val="clear" w:color="auto" w:fill="FFFFFF"/>
            <w:vAlign w:val="center"/>
          </w:tcPr>
          <w:p w14:paraId="4B920E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54</w:t>
            </w:r>
          </w:p>
        </w:tc>
        <w:tc>
          <w:tcPr>
            <w:tcW w:w="590" w:type="pct"/>
            <w:shd w:val="clear" w:color="auto" w:fill="FFFFFF"/>
            <w:vAlign w:val="center"/>
          </w:tcPr>
          <w:p w14:paraId="4D39139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31</w:t>
            </w:r>
          </w:p>
        </w:tc>
        <w:tc>
          <w:tcPr>
            <w:tcW w:w="634" w:type="pct"/>
            <w:shd w:val="clear" w:color="auto" w:fill="FFFFFF"/>
            <w:vAlign w:val="center"/>
          </w:tcPr>
          <w:p w14:paraId="28757A7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163</w:t>
            </w:r>
          </w:p>
        </w:tc>
      </w:tr>
      <w:tr w14:paraId="16685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54DE21C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16</w:t>
            </w:r>
          </w:p>
        </w:tc>
        <w:tc>
          <w:tcPr>
            <w:tcW w:w="948" w:type="pct"/>
            <w:shd w:val="clear" w:color="auto" w:fill="FFFFFF"/>
            <w:vAlign w:val="center"/>
          </w:tcPr>
          <w:p w14:paraId="74CFD3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二氯甲烷</w:t>
            </w:r>
          </w:p>
        </w:tc>
        <w:tc>
          <w:tcPr>
            <w:tcW w:w="1222" w:type="pct"/>
            <w:shd w:val="clear" w:color="auto" w:fill="FFFFFF"/>
            <w:vAlign w:val="center"/>
          </w:tcPr>
          <w:p w14:paraId="18DE792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1975/9/2</w:t>
            </w:r>
          </w:p>
        </w:tc>
        <w:tc>
          <w:tcPr>
            <w:tcW w:w="634" w:type="pct"/>
            <w:shd w:val="clear" w:color="auto" w:fill="FFFFFF"/>
            <w:vAlign w:val="center"/>
          </w:tcPr>
          <w:p w14:paraId="5E3539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94</w:t>
            </w:r>
          </w:p>
        </w:tc>
        <w:tc>
          <w:tcPr>
            <w:tcW w:w="632" w:type="pct"/>
            <w:shd w:val="clear" w:color="auto" w:fill="FFFFFF"/>
            <w:vAlign w:val="center"/>
          </w:tcPr>
          <w:p w14:paraId="721814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616</w:t>
            </w:r>
          </w:p>
        </w:tc>
        <w:tc>
          <w:tcPr>
            <w:tcW w:w="590" w:type="pct"/>
            <w:shd w:val="clear" w:color="auto" w:fill="FFFFFF"/>
            <w:vAlign w:val="center"/>
          </w:tcPr>
          <w:p w14:paraId="5DAF323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300</w:t>
            </w:r>
          </w:p>
        </w:tc>
        <w:tc>
          <w:tcPr>
            <w:tcW w:w="634" w:type="pct"/>
            <w:shd w:val="clear" w:color="auto" w:fill="FFFFFF"/>
            <w:vAlign w:val="center"/>
          </w:tcPr>
          <w:p w14:paraId="14BB89F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2000</w:t>
            </w:r>
          </w:p>
        </w:tc>
      </w:tr>
      <w:tr w14:paraId="03AF2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080A451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17</w:t>
            </w:r>
          </w:p>
        </w:tc>
        <w:tc>
          <w:tcPr>
            <w:tcW w:w="948" w:type="pct"/>
            <w:shd w:val="clear" w:color="auto" w:fill="FFFFFF"/>
            <w:vAlign w:val="center"/>
          </w:tcPr>
          <w:p w14:paraId="0C340E7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1,2-二氯丙烷</w:t>
            </w:r>
          </w:p>
        </w:tc>
        <w:tc>
          <w:tcPr>
            <w:tcW w:w="1222" w:type="pct"/>
            <w:shd w:val="clear" w:color="auto" w:fill="FFFFFF"/>
            <w:vAlign w:val="center"/>
          </w:tcPr>
          <w:p w14:paraId="46A71D4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78-87-5</w:t>
            </w:r>
          </w:p>
        </w:tc>
        <w:tc>
          <w:tcPr>
            <w:tcW w:w="634" w:type="pct"/>
            <w:shd w:val="clear" w:color="auto" w:fill="FFFFFF"/>
            <w:vAlign w:val="center"/>
          </w:tcPr>
          <w:p w14:paraId="460DD1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w:t>
            </w:r>
          </w:p>
        </w:tc>
        <w:tc>
          <w:tcPr>
            <w:tcW w:w="632" w:type="pct"/>
            <w:shd w:val="clear" w:color="auto" w:fill="FFFFFF"/>
            <w:vAlign w:val="center"/>
          </w:tcPr>
          <w:p w14:paraId="7F07EA3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w:t>
            </w:r>
          </w:p>
        </w:tc>
        <w:tc>
          <w:tcPr>
            <w:tcW w:w="590" w:type="pct"/>
            <w:shd w:val="clear" w:color="auto" w:fill="FFFFFF"/>
            <w:vAlign w:val="center"/>
          </w:tcPr>
          <w:p w14:paraId="72A8A6A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w:t>
            </w:r>
          </w:p>
        </w:tc>
        <w:tc>
          <w:tcPr>
            <w:tcW w:w="634" w:type="pct"/>
            <w:shd w:val="clear" w:color="auto" w:fill="FFFFFF"/>
            <w:vAlign w:val="center"/>
          </w:tcPr>
          <w:p w14:paraId="5BD6CDB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47</w:t>
            </w:r>
          </w:p>
        </w:tc>
      </w:tr>
      <w:tr w14:paraId="3B1C9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6C8CDBA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18</w:t>
            </w:r>
          </w:p>
        </w:tc>
        <w:tc>
          <w:tcPr>
            <w:tcW w:w="948" w:type="pct"/>
            <w:shd w:val="clear" w:color="auto" w:fill="FFFFFF"/>
            <w:vAlign w:val="center"/>
          </w:tcPr>
          <w:p w14:paraId="5027B0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1,1,1,2-四氯乙烷</w:t>
            </w:r>
          </w:p>
        </w:tc>
        <w:tc>
          <w:tcPr>
            <w:tcW w:w="1222" w:type="pct"/>
            <w:shd w:val="clear" w:color="auto" w:fill="FFFFFF"/>
            <w:vAlign w:val="center"/>
          </w:tcPr>
          <w:p w14:paraId="508C638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630-20-6</w:t>
            </w:r>
          </w:p>
        </w:tc>
        <w:tc>
          <w:tcPr>
            <w:tcW w:w="634" w:type="pct"/>
            <w:shd w:val="clear" w:color="auto" w:fill="FFFFFF"/>
            <w:vAlign w:val="center"/>
          </w:tcPr>
          <w:p w14:paraId="01280EF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2.6</w:t>
            </w:r>
          </w:p>
        </w:tc>
        <w:tc>
          <w:tcPr>
            <w:tcW w:w="632" w:type="pct"/>
            <w:shd w:val="clear" w:color="auto" w:fill="FFFFFF"/>
            <w:vAlign w:val="center"/>
          </w:tcPr>
          <w:p w14:paraId="1FD562F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w:t>
            </w:r>
          </w:p>
        </w:tc>
        <w:tc>
          <w:tcPr>
            <w:tcW w:w="590" w:type="pct"/>
            <w:shd w:val="clear" w:color="auto" w:fill="FFFFFF"/>
            <w:vAlign w:val="center"/>
          </w:tcPr>
          <w:p w14:paraId="3A2254D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26</w:t>
            </w:r>
          </w:p>
        </w:tc>
        <w:tc>
          <w:tcPr>
            <w:tcW w:w="634" w:type="pct"/>
            <w:shd w:val="clear" w:color="auto" w:fill="FFFFFF"/>
            <w:vAlign w:val="center"/>
          </w:tcPr>
          <w:p w14:paraId="51AF1DA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100</w:t>
            </w:r>
          </w:p>
        </w:tc>
      </w:tr>
      <w:tr w14:paraId="338A9A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1F5CA2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19</w:t>
            </w:r>
          </w:p>
        </w:tc>
        <w:tc>
          <w:tcPr>
            <w:tcW w:w="948" w:type="pct"/>
            <w:shd w:val="clear" w:color="auto" w:fill="FFFFFF"/>
            <w:vAlign w:val="center"/>
          </w:tcPr>
          <w:p w14:paraId="7E297C5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1,1,2,2-四氯乙烷</w:t>
            </w:r>
          </w:p>
        </w:tc>
        <w:tc>
          <w:tcPr>
            <w:tcW w:w="1222" w:type="pct"/>
            <w:shd w:val="clear" w:color="auto" w:fill="FFFFFF"/>
            <w:vAlign w:val="center"/>
          </w:tcPr>
          <w:p w14:paraId="08C590A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79-34-5</w:t>
            </w:r>
          </w:p>
        </w:tc>
        <w:tc>
          <w:tcPr>
            <w:tcW w:w="634" w:type="pct"/>
            <w:shd w:val="clear" w:color="auto" w:fill="FFFFFF"/>
            <w:vAlign w:val="center"/>
          </w:tcPr>
          <w:p w14:paraId="7F0DE6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1.6</w:t>
            </w:r>
          </w:p>
        </w:tc>
        <w:tc>
          <w:tcPr>
            <w:tcW w:w="632" w:type="pct"/>
            <w:shd w:val="clear" w:color="auto" w:fill="FFFFFF"/>
            <w:vAlign w:val="center"/>
          </w:tcPr>
          <w:p w14:paraId="680E619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6.8</w:t>
            </w:r>
          </w:p>
        </w:tc>
        <w:tc>
          <w:tcPr>
            <w:tcW w:w="590" w:type="pct"/>
            <w:shd w:val="clear" w:color="auto" w:fill="FFFFFF"/>
            <w:vAlign w:val="center"/>
          </w:tcPr>
          <w:p w14:paraId="0741740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14</w:t>
            </w:r>
          </w:p>
        </w:tc>
        <w:tc>
          <w:tcPr>
            <w:tcW w:w="634" w:type="pct"/>
            <w:shd w:val="clear" w:color="auto" w:fill="FFFFFF"/>
            <w:vAlign w:val="center"/>
          </w:tcPr>
          <w:p w14:paraId="794215C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50</w:t>
            </w:r>
          </w:p>
        </w:tc>
      </w:tr>
      <w:tr w14:paraId="196461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597873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w:t>
            </w:r>
          </w:p>
        </w:tc>
        <w:tc>
          <w:tcPr>
            <w:tcW w:w="948" w:type="pct"/>
            <w:shd w:val="clear" w:color="auto" w:fill="FFFFFF"/>
            <w:vAlign w:val="center"/>
          </w:tcPr>
          <w:p w14:paraId="3F57950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四氯乙烯</w:t>
            </w:r>
          </w:p>
        </w:tc>
        <w:tc>
          <w:tcPr>
            <w:tcW w:w="1222" w:type="pct"/>
            <w:shd w:val="clear" w:color="auto" w:fill="FFFFFF"/>
            <w:vAlign w:val="center"/>
          </w:tcPr>
          <w:p w14:paraId="4A35A66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127-18-4</w:t>
            </w:r>
          </w:p>
        </w:tc>
        <w:tc>
          <w:tcPr>
            <w:tcW w:w="634" w:type="pct"/>
            <w:shd w:val="clear" w:color="auto" w:fill="FFFFFF"/>
            <w:vAlign w:val="center"/>
          </w:tcPr>
          <w:p w14:paraId="29D3336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11</w:t>
            </w:r>
          </w:p>
        </w:tc>
        <w:tc>
          <w:tcPr>
            <w:tcW w:w="632" w:type="pct"/>
            <w:shd w:val="clear" w:color="auto" w:fill="FFFFFF"/>
            <w:vAlign w:val="center"/>
          </w:tcPr>
          <w:p w14:paraId="69C6C6F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53</w:t>
            </w:r>
          </w:p>
        </w:tc>
        <w:tc>
          <w:tcPr>
            <w:tcW w:w="590" w:type="pct"/>
            <w:shd w:val="clear" w:color="auto" w:fill="FFFFFF"/>
            <w:vAlign w:val="center"/>
          </w:tcPr>
          <w:p w14:paraId="5A91635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34</w:t>
            </w:r>
          </w:p>
        </w:tc>
        <w:tc>
          <w:tcPr>
            <w:tcW w:w="634" w:type="pct"/>
            <w:shd w:val="clear" w:color="auto" w:fill="FFFFFF"/>
            <w:vAlign w:val="center"/>
          </w:tcPr>
          <w:p w14:paraId="6F4963D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183</w:t>
            </w:r>
          </w:p>
        </w:tc>
      </w:tr>
      <w:tr w14:paraId="03A42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179CAE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21</w:t>
            </w:r>
          </w:p>
        </w:tc>
        <w:tc>
          <w:tcPr>
            <w:tcW w:w="948" w:type="pct"/>
            <w:shd w:val="clear" w:color="auto" w:fill="FFFFFF"/>
            <w:vAlign w:val="center"/>
          </w:tcPr>
          <w:p w14:paraId="0C48B83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1,1,1-三氯乙烷</w:t>
            </w:r>
          </w:p>
        </w:tc>
        <w:tc>
          <w:tcPr>
            <w:tcW w:w="1222" w:type="pct"/>
            <w:shd w:val="clear" w:color="auto" w:fill="FFFFFF"/>
            <w:vAlign w:val="center"/>
          </w:tcPr>
          <w:p w14:paraId="1388BF9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71-55-6</w:t>
            </w:r>
          </w:p>
        </w:tc>
        <w:tc>
          <w:tcPr>
            <w:tcW w:w="634" w:type="pct"/>
            <w:shd w:val="clear" w:color="auto" w:fill="FFFFFF"/>
            <w:vAlign w:val="center"/>
          </w:tcPr>
          <w:p w14:paraId="7FFA01D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701</w:t>
            </w:r>
          </w:p>
        </w:tc>
        <w:tc>
          <w:tcPr>
            <w:tcW w:w="632" w:type="pct"/>
            <w:shd w:val="clear" w:color="auto" w:fill="FFFFFF"/>
            <w:vAlign w:val="center"/>
          </w:tcPr>
          <w:p w14:paraId="61E4973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840</w:t>
            </w:r>
          </w:p>
        </w:tc>
        <w:tc>
          <w:tcPr>
            <w:tcW w:w="590" w:type="pct"/>
            <w:shd w:val="clear" w:color="auto" w:fill="FFFFFF"/>
            <w:vAlign w:val="center"/>
          </w:tcPr>
          <w:p w14:paraId="62645DE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840</w:t>
            </w:r>
          </w:p>
        </w:tc>
        <w:tc>
          <w:tcPr>
            <w:tcW w:w="634" w:type="pct"/>
            <w:shd w:val="clear" w:color="auto" w:fill="FFFFFF"/>
            <w:vAlign w:val="center"/>
          </w:tcPr>
          <w:p w14:paraId="24DF47E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840</w:t>
            </w:r>
          </w:p>
        </w:tc>
      </w:tr>
      <w:tr w14:paraId="5F8474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0C91A1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22</w:t>
            </w:r>
          </w:p>
        </w:tc>
        <w:tc>
          <w:tcPr>
            <w:tcW w:w="948" w:type="pct"/>
            <w:shd w:val="clear" w:color="auto" w:fill="FFFFFF"/>
            <w:vAlign w:val="center"/>
          </w:tcPr>
          <w:p w14:paraId="46F2322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1,1,2-三氯乙烷</w:t>
            </w:r>
          </w:p>
        </w:tc>
        <w:tc>
          <w:tcPr>
            <w:tcW w:w="1222" w:type="pct"/>
            <w:shd w:val="clear" w:color="auto" w:fill="FFFFFF"/>
            <w:vAlign w:val="center"/>
          </w:tcPr>
          <w:p w14:paraId="52BF39D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79-00-5</w:t>
            </w:r>
          </w:p>
        </w:tc>
        <w:tc>
          <w:tcPr>
            <w:tcW w:w="634" w:type="pct"/>
            <w:shd w:val="clear" w:color="auto" w:fill="FFFFFF"/>
            <w:vAlign w:val="center"/>
          </w:tcPr>
          <w:p w14:paraId="08DE006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0.6</w:t>
            </w:r>
          </w:p>
        </w:tc>
        <w:tc>
          <w:tcPr>
            <w:tcW w:w="632" w:type="pct"/>
            <w:shd w:val="clear" w:color="auto" w:fill="FFFFFF"/>
            <w:vAlign w:val="center"/>
          </w:tcPr>
          <w:p w14:paraId="2FC0537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2.8</w:t>
            </w:r>
          </w:p>
        </w:tc>
        <w:tc>
          <w:tcPr>
            <w:tcW w:w="590" w:type="pct"/>
            <w:shd w:val="clear" w:color="auto" w:fill="FFFFFF"/>
            <w:vAlign w:val="center"/>
          </w:tcPr>
          <w:p w14:paraId="00A14F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w:t>
            </w:r>
          </w:p>
        </w:tc>
        <w:tc>
          <w:tcPr>
            <w:tcW w:w="634" w:type="pct"/>
            <w:shd w:val="clear" w:color="auto" w:fill="FFFFFF"/>
            <w:vAlign w:val="center"/>
          </w:tcPr>
          <w:p w14:paraId="3485B3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w:t>
            </w:r>
          </w:p>
        </w:tc>
      </w:tr>
      <w:tr w14:paraId="26403A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027D43E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23</w:t>
            </w:r>
          </w:p>
        </w:tc>
        <w:tc>
          <w:tcPr>
            <w:tcW w:w="948" w:type="pct"/>
            <w:shd w:val="clear" w:color="auto" w:fill="FFFFFF"/>
            <w:vAlign w:val="center"/>
          </w:tcPr>
          <w:p w14:paraId="65B7DE0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三氯乙烯</w:t>
            </w:r>
          </w:p>
        </w:tc>
        <w:tc>
          <w:tcPr>
            <w:tcW w:w="1222" w:type="pct"/>
            <w:shd w:val="clear" w:color="auto" w:fill="FFFFFF"/>
            <w:vAlign w:val="center"/>
          </w:tcPr>
          <w:p w14:paraId="09BB3C6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1979/1/6</w:t>
            </w:r>
          </w:p>
        </w:tc>
        <w:tc>
          <w:tcPr>
            <w:tcW w:w="634" w:type="pct"/>
            <w:shd w:val="clear" w:color="auto" w:fill="FFFFFF"/>
            <w:vAlign w:val="center"/>
          </w:tcPr>
          <w:p w14:paraId="6E5C39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0.7</w:t>
            </w:r>
          </w:p>
        </w:tc>
        <w:tc>
          <w:tcPr>
            <w:tcW w:w="632" w:type="pct"/>
            <w:shd w:val="clear" w:color="auto" w:fill="FFFFFF"/>
            <w:vAlign w:val="center"/>
          </w:tcPr>
          <w:p w14:paraId="35E7612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2.8</w:t>
            </w:r>
          </w:p>
        </w:tc>
        <w:tc>
          <w:tcPr>
            <w:tcW w:w="590" w:type="pct"/>
            <w:shd w:val="clear" w:color="auto" w:fill="FFFFFF"/>
            <w:vAlign w:val="center"/>
          </w:tcPr>
          <w:p w14:paraId="06B4CA0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w:t>
            </w:r>
          </w:p>
        </w:tc>
        <w:tc>
          <w:tcPr>
            <w:tcW w:w="634" w:type="pct"/>
            <w:shd w:val="clear" w:color="auto" w:fill="FFFFFF"/>
            <w:vAlign w:val="center"/>
          </w:tcPr>
          <w:p w14:paraId="756E86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w:t>
            </w:r>
          </w:p>
        </w:tc>
      </w:tr>
      <w:tr w14:paraId="78DEBE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0732A63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24</w:t>
            </w:r>
          </w:p>
        </w:tc>
        <w:tc>
          <w:tcPr>
            <w:tcW w:w="948" w:type="pct"/>
            <w:shd w:val="clear" w:color="auto" w:fill="FFFFFF"/>
            <w:vAlign w:val="center"/>
          </w:tcPr>
          <w:p w14:paraId="7E6092F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1,2,3-三氯丙烷</w:t>
            </w:r>
          </w:p>
        </w:tc>
        <w:tc>
          <w:tcPr>
            <w:tcW w:w="1222" w:type="pct"/>
            <w:shd w:val="clear" w:color="auto" w:fill="FFFFFF"/>
            <w:vAlign w:val="center"/>
          </w:tcPr>
          <w:p w14:paraId="761F8C6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96-18-4</w:t>
            </w:r>
          </w:p>
        </w:tc>
        <w:tc>
          <w:tcPr>
            <w:tcW w:w="634" w:type="pct"/>
            <w:shd w:val="clear" w:color="auto" w:fill="FFFFFF"/>
            <w:vAlign w:val="center"/>
          </w:tcPr>
          <w:p w14:paraId="74A1594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0.05</w:t>
            </w:r>
          </w:p>
        </w:tc>
        <w:tc>
          <w:tcPr>
            <w:tcW w:w="632" w:type="pct"/>
            <w:shd w:val="clear" w:color="auto" w:fill="FFFFFF"/>
            <w:vAlign w:val="center"/>
          </w:tcPr>
          <w:p w14:paraId="0E3835F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0.5</w:t>
            </w:r>
          </w:p>
        </w:tc>
        <w:tc>
          <w:tcPr>
            <w:tcW w:w="590" w:type="pct"/>
            <w:shd w:val="clear" w:color="auto" w:fill="FFFFFF"/>
            <w:vAlign w:val="center"/>
          </w:tcPr>
          <w:p w14:paraId="0119E9E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0.5</w:t>
            </w:r>
          </w:p>
        </w:tc>
        <w:tc>
          <w:tcPr>
            <w:tcW w:w="634" w:type="pct"/>
            <w:shd w:val="clear" w:color="auto" w:fill="FFFFFF"/>
            <w:vAlign w:val="center"/>
          </w:tcPr>
          <w:p w14:paraId="5DE310D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w:t>
            </w:r>
          </w:p>
        </w:tc>
      </w:tr>
      <w:tr w14:paraId="3DBC5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1A199B0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25</w:t>
            </w:r>
          </w:p>
        </w:tc>
        <w:tc>
          <w:tcPr>
            <w:tcW w:w="948" w:type="pct"/>
            <w:shd w:val="clear" w:color="auto" w:fill="FFFFFF"/>
            <w:vAlign w:val="center"/>
          </w:tcPr>
          <w:p w14:paraId="08752AD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氯乙烯</w:t>
            </w:r>
          </w:p>
        </w:tc>
        <w:tc>
          <w:tcPr>
            <w:tcW w:w="1222" w:type="pct"/>
            <w:shd w:val="clear" w:color="auto" w:fill="FFFFFF"/>
            <w:vAlign w:val="center"/>
          </w:tcPr>
          <w:p w14:paraId="0EE8496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1975/1/4</w:t>
            </w:r>
          </w:p>
        </w:tc>
        <w:tc>
          <w:tcPr>
            <w:tcW w:w="634" w:type="pct"/>
            <w:shd w:val="clear" w:color="auto" w:fill="FFFFFF"/>
            <w:vAlign w:val="center"/>
          </w:tcPr>
          <w:p w14:paraId="109C9DB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0.12</w:t>
            </w:r>
          </w:p>
        </w:tc>
        <w:tc>
          <w:tcPr>
            <w:tcW w:w="632" w:type="pct"/>
            <w:shd w:val="clear" w:color="auto" w:fill="FFFFFF"/>
            <w:vAlign w:val="center"/>
          </w:tcPr>
          <w:p w14:paraId="6AFFECA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0.43</w:t>
            </w:r>
          </w:p>
        </w:tc>
        <w:tc>
          <w:tcPr>
            <w:tcW w:w="590" w:type="pct"/>
            <w:shd w:val="clear" w:color="auto" w:fill="FFFFFF"/>
            <w:vAlign w:val="center"/>
          </w:tcPr>
          <w:p w14:paraId="58CB4D2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w:t>
            </w:r>
          </w:p>
        </w:tc>
        <w:tc>
          <w:tcPr>
            <w:tcW w:w="634" w:type="pct"/>
            <w:shd w:val="clear" w:color="auto" w:fill="FFFFFF"/>
            <w:vAlign w:val="center"/>
          </w:tcPr>
          <w:p w14:paraId="671E58D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4.3</w:t>
            </w:r>
          </w:p>
        </w:tc>
      </w:tr>
      <w:tr w14:paraId="1FD17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600E7F6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26</w:t>
            </w:r>
          </w:p>
        </w:tc>
        <w:tc>
          <w:tcPr>
            <w:tcW w:w="948" w:type="pct"/>
            <w:shd w:val="clear" w:color="auto" w:fill="FFFFFF"/>
            <w:vAlign w:val="center"/>
          </w:tcPr>
          <w:p w14:paraId="0A260C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苯</w:t>
            </w:r>
          </w:p>
        </w:tc>
        <w:tc>
          <w:tcPr>
            <w:tcW w:w="1222" w:type="pct"/>
            <w:shd w:val="clear" w:color="auto" w:fill="FFFFFF"/>
            <w:vAlign w:val="center"/>
          </w:tcPr>
          <w:p w14:paraId="3D5DBB0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71-43-2</w:t>
            </w:r>
          </w:p>
        </w:tc>
        <w:tc>
          <w:tcPr>
            <w:tcW w:w="634" w:type="pct"/>
            <w:shd w:val="clear" w:color="auto" w:fill="FFFFFF"/>
            <w:vAlign w:val="center"/>
          </w:tcPr>
          <w:p w14:paraId="49FE3FD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w:t>
            </w:r>
          </w:p>
        </w:tc>
        <w:tc>
          <w:tcPr>
            <w:tcW w:w="632" w:type="pct"/>
            <w:shd w:val="clear" w:color="auto" w:fill="FFFFFF"/>
            <w:vAlign w:val="center"/>
          </w:tcPr>
          <w:p w14:paraId="1AF999B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w:t>
            </w:r>
          </w:p>
        </w:tc>
        <w:tc>
          <w:tcPr>
            <w:tcW w:w="590" w:type="pct"/>
            <w:shd w:val="clear" w:color="auto" w:fill="FFFFFF"/>
            <w:vAlign w:val="center"/>
          </w:tcPr>
          <w:p w14:paraId="039FC2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w:t>
            </w:r>
          </w:p>
        </w:tc>
        <w:tc>
          <w:tcPr>
            <w:tcW w:w="634" w:type="pct"/>
            <w:shd w:val="clear" w:color="auto" w:fill="FFFFFF"/>
            <w:vAlign w:val="center"/>
          </w:tcPr>
          <w:p w14:paraId="21A9415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40</w:t>
            </w:r>
          </w:p>
        </w:tc>
      </w:tr>
      <w:tr w14:paraId="46BE76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34FC67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27</w:t>
            </w:r>
          </w:p>
        </w:tc>
        <w:tc>
          <w:tcPr>
            <w:tcW w:w="948" w:type="pct"/>
            <w:shd w:val="clear" w:color="auto" w:fill="FFFFFF"/>
            <w:vAlign w:val="center"/>
          </w:tcPr>
          <w:p w14:paraId="74A90A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氯苯</w:t>
            </w:r>
          </w:p>
        </w:tc>
        <w:tc>
          <w:tcPr>
            <w:tcW w:w="1222" w:type="pct"/>
            <w:shd w:val="clear" w:color="auto" w:fill="FFFFFF"/>
            <w:vAlign w:val="center"/>
          </w:tcPr>
          <w:p w14:paraId="4E714D2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108-90-7</w:t>
            </w:r>
          </w:p>
        </w:tc>
        <w:tc>
          <w:tcPr>
            <w:tcW w:w="634" w:type="pct"/>
            <w:shd w:val="clear" w:color="auto" w:fill="FFFFFF"/>
            <w:vAlign w:val="center"/>
          </w:tcPr>
          <w:p w14:paraId="2193684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68</w:t>
            </w:r>
          </w:p>
        </w:tc>
        <w:tc>
          <w:tcPr>
            <w:tcW w:w="632" w:type="pct"/>
            <w:shd w:val="clear" w:color="auto" w:fill="FFFFFF"/>
            <w:vAlign w:val="center"/>
          </w:tcPr>
          <w:p w14:paraId="286E1A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270</w:t>
            </w:r>
          </w:p>
        </w:tc>
        <w:tc>
          <w:tcPr>
            <w:tcW w:w="590" w:type="pct"/>
            <w:shd w:val="clear" w:color="auto" w:fill="FFFFFF"/>
            <w:vAlign w:val="center"/>
          </w:tcPr>
          <w:p w14:paraId="0BAB16B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200</w:t>
            </w:r>
          </w:p>
        </w:tc>
        <w:tc>
          <w:tcPr>
            <w:tcW w:w="634" w:type="pct"/>
            <w:shd w:val="clear" w:color="auto" w:fill="FFFFFF"/>
            <w:vAlign w:val="center"/>
          </w:tcPr>
          <w:p w14:paraId="3414C61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1000</w:t>
            </w:r>
          </w:p>
        </w:tc>
      </w:tr>
      <w:tr w14:paraId="296CB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50B92DF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28</w:t>
            </w:r>
          </w:p>
        </w:tc>
        <w:tc>
          <w:tcPr>
            <w:tcW w:w="948" w:type="pct"/>
            <w:shd w:val="clear" w:color="auto" w:fill="FFFFFF"/>
            <w:vAlign w:val="center"/>
          </w:tcPr>
          <w:p w14:paraId="0DDF577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1,2-二氯苯</w:t>
            </w:r>
          </w:p>
        </w:tc>
        <w:tc>
          <w:tcPr>
            <w:tcW w:w="1222" w:type="pct"/>
            <w:shd w:val="clear" w:color="auto" w:fill="FFFFFF"/>
            <w:vAlign w:val="center"/>
          </w:tcPr>
          <w:p w14:paraId="41FA4C8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95-50-1</w:t>
            </w:r>
          </w:p>
        </w:tc>
        <w:tc>
          <w:tcPr>
            <w:tcW w:w="634" w:type="pct"/>
            <w:shd w:val="clear" w:color="auto" w:fill="FFFFFF"/>
            <w:vAlign w:val="center"/>
          </w:tcPr>
          <w:p w14:paraId="4EB1BD7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560</w:t>
            </w:r>
          </w:p>
        </w:tc>
        <w:tc>
          <w:tcPr>
            <w:tcW w:w="632" w:type="pct"/>
            <w:shd w:val="clear" w:color="auto" w:fill="FFFFFF"/>
            <w:vAlign w:val="center"/>
          </w:tcPr>
          <w:p w14:paraId="3F7589A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560</w:t>
            </w:r>
          </w:p>
        </w:tc>
        <w:tc>
          <w:tcPr>
            <w:tcW w:w="590" w:type="pct"/>
            <w:shd w:val="clear" w:color="auto" w:fill="FFFFFF"/>
            <w:vAlign w:val="center"/>
          </w:tcPr>
          <w:p w14:paraId="2B3355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560</w:t>
            </w:r>
          </w:p>
        </w:tc>
        <w:tc>
          <w:tcPr>
            <w:tcW w:w="634" w:type="pct"/>
            <w:shd w:val="clear" w:color="auto" w:fill="FFFFFF"/>
            <w:vAlign w:val="center"/>
          </w:tcPr>
          <w:p w14:paraId="489E62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560</w:t>
            </w:r>
          </w:p>
        </w:tc>
      </w:tr>
      <w:tr w14:paraId="2FC38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63CC397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29</w:t>
            </w:r>
          </w:p>
        </w:tc>
        <w:tc>
          <w:tcPr>
            <w:tcW w:w="948" w:type="pct"/>
            <w:shd w:val="clear" w:color="auto" w:fill="FFFFFF"/>
            <w:vAlign w:val="center"/>
          </w:tcPr>
          <w:p w14:paraId="35B8DC1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1,4-二氯苯</w:t>
            </w:r>
          </w:p>
        </w:tc>
        <w:tc>
          <w:tcPr>
            <w:tcW w:w="1222" w:type="pct"/>
            <w:shd w:val="clear" w:color="auto" w:fill="FFFFFF"/>
            <w:vAlign w:val="center"/>
          </w:tcPr>
          <w:p w14:paraId="3854A40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106-46-7</w:t>
            </w:r>
          </w:p>
        </w:tc>
        <w:tc>
          <w:tcPr>
            <w:tcW w:w="634" w:type="pct"/>
            <w:shd w:val="clear" w:color="auto" w:fill="FFFFFF"/>
            <w:vAlign w:val="center"/>
          </w:tcPr>
          <w:p w14:paraId="0C743B0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5.6</w:t>
            </w:r>
          </w:p>
        </w:tc>
        <w:tc>
          <w:tcPr>
            <w:tcW w:w="632" w:type="pct"/>
            <w:shd w:val="clear" w:color="auto" w:fill="FFFFFF"/>
            <w:vAlign w:val="center"/>
          </w:tcPr>
          <w:p w14:paraId="21A42B2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w:t>
            </w:r>
          </w:p>
        </w:tc>
        <w:tc>
          <w:tcPr>
            <w:tcW w:w="590" w:type="pct"/>
            <w:shd w:val="clear" w:color="auto" w:fill="FFFFFF"/>
            <w:vAlign w:val="center"/>
          </w:tcPr>
          <w:p w14:paraId="207F852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56</w:t>
            </w:r>
          </w:p>
        </w:tc>
        <w:tc>
          <w:tcPr>
            <w:tcW w:w="634" w:type="pct"/>
            <w:shd w:val="clear" w:color="auto" w:fill="FFFFFF"/>
            <w:vAlign w:val="center"/>
          </w:tcPr>
          <w:p w14:paraId="1C79D1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200</w:t>
            </w:r>
          </w:p>
        </w:tc>
      </w:tr>
      <w:tr w14:paraId="509672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28A44B4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30</w:t>
            </w:r>
          </w:p>
        </w:tc>
        <w:tc>
          <w:tcPr>
            <w:tcW w:w="948" w:type="pct"/>
            <w:shd w:val="clear" w:color="auto" w:fill="FFFFFF"/>
            <w:vAlign w:val="center"/>
          </w:tcPr>
          <w:p w14:paraId="397020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乙苯</w:t>
            </w:r>
          </w:p>
        </w:tc>
        <w:tc>
          <w:tcPr>
            <w:tcW w:w="1222" w:type="pct"/>
            <w:shd w:val="clear" w:color="auto" w:fill="FFFFFF"/>
            <w:vAlign w:val="center"/>
          </w:tcPr>
          <w:p w14:paraId="186EABD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100-41-4</w:t>
            </w:r>
          </w:p>
        </w:tc>
        <w:tc>
          <w:tcPr>
            <w:tcW w:w="634" w:type="pct"/>
            <w:shd w:val="clear" w:color="auto" w:fill="FFFFFF"/>
            <w:vAlign w:val="center"/>
          </w:tcPr>
          <w:p w14:paraId="7E6EC66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7.2</w:t>
            </w:r>
          </w:p>
        </w:tc>
        <w:tc>
          <w:tcPr>
            <w:tcW w:w="632" w:type="pct"/>
            <w:shd w:val="clear" w:color="auto" w:fill="FFFFFF"/>
            <w:vAlign w:val="center"/>
          </w:tcPr>
          <w:p w14:paraId="1878238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28</w:t>
            </w:r>
          </w:p>
        </w:tc>
        <w:tc>
          <w:tcPr>
            <w:tcW w:w="590" w:type="pct"/>
            <w:shd w:val="clear" w:color="auto" w:fill="FFFFFF"/>
            <w:vAlign w:val="center"/>
          </w:tcPr>
          <w:p w14:paraId="4F1306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72</w:t>
            </w:r>
          </w:p>
        </w:tc>
        <w:tc>
          <w:tcPr>
            <w:tcW w:w="634" w:type="pct"/>
            <w:shd w:val="clear" w:color="auto" w:fill="FFFFFF"/>
            <w:vAlign w:val="center"/>
          </w:tcPr>
          <w:p w14:paraId="7224EF9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280</w:t>
            </w:r>
          </w:p>
        </w:tc>
      </w:tr>
      <w:tr w14:paraId="02B21B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506D28F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31</w:t>
            </w:r>
          </w:p>
        </w:tc>
        <w:tc>
          <w:tcPr>
            <w:tcW w:w="948" w:type="pct"/>
            <w:shd w:val="clear" w:color="auto" w:fill="FFFFFF"/>
            <w:vAlign w:val="center"/>
          </w:tcPr>
          <w:p w14:paraId="00F412A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苯乙烯</w:t>
            </w:r>
          </w:p>
        </w:tc>
        <w:tc>
          <w:tcPr>
            <w:tcW w:w="1222" w:type="pct"/>
            <w:shd w:val="clear" w:color="auto" w:fill="FFFFFF"/>
            <w:vAlign w:val="center"/>
          </w:tcPr>
          <w:p w14:paraId="6490DF7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100-42-5</w:t>
            </w:r>
          </w:p>
        </w:tc>
        <w:tc>
          <w:tcPr>
            <w:tcW w:w="634" w:type="pct"/>
            <w:shd w:val="clear" w:color="auto" w:fill="FFFFFF"/>
            <w:vAlign w:val="center"/>
          </w:tcPr>
          <w:p w14:paraId="6A0F31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1290</w:t>
            </w:r>
          </w:p>
        </w:tc>
        <w:tc>
          <w:tcPr>
            <w:tcW w:w="632" w:type="pct"/>
            <w:shd w:val="clear" w:color="auto" w:fill="FFFFFF"/>
            <w:vAlign w:val="center"/>
          </w:tcPr>
          <w:p w14:paraId="6FA874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1290</w:t>
            </w:r>
          </w:p>
        </w:tc>
        <w:tc>
          <w:tcPr>
            <w:tcW w:w="590" w:type="pct"/>
            <w:shd w:val="clear" w:color="auto" w:fill="FFFFFF"/>
            <w:vAlign w:val="center"/>
          </w:tcPr>
          <w:p w14:paraId="49FB061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1290</w:t>
            </w:r>
          </w:p>
        </w:tc>
        <w:tc>
          <w:tcPr>
            <w:tcW w:w="634" w:type="pct"/>
            <w:shd w:val="clear" w:color="auto" w:fill="FFFFFF"/>
            <w:vAlign w:val="center"/>
          </w:tcPr>
          <w:p w14:paraId="1B2AD21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1290</w:t>
            </w:r>
          </w:p>
        </w:tc>
      </w:tr>
      <w:tr w14:paraId="32FB47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32D39E4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32</w:t>
            </w:r>
          </w:p>
        </w:tc>
        <w:tc>
          <w:tcPr>
            <w:tcW w:w="948" w:type="pct"/>
            <w:shd w:val="clear" w:color="auto" w:fill="FFFFFF"/>
            <w:vAlign w:val="center"/>
          </w:tcPr>
          <w:p w14:paraId="5922242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甲苯</w:t>
            </w:r>
          </w:p>
        </w:tc>
        <w:tc>
          <w:tcPr>
            <w:tcW w:w="1222" w:type="pct"/>
            <w:shd w:val="clear" w:color="auto" w:fill="FFFFFF"/>
            <w:vAlign w:val="center"/>
          </w:tcPr>
          <w:p w14:paraId="17AA928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108-88-3</w:t>
            </w:r>
          </w:p>
        </w:tc>
        <w:tc>
          <w:tcPr>
            <w:tcW w:w="634" w:type="pct"/>
            <w:shd w:val="clear" w:color="auto" w:fill="FFFFFF"/>
            <w:vAlign w:val="center"/>
          </w:tcPr>
          <w:p w14:paraId="53BD608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1200</w:t>
            </w:r>
          </w:p>
        </w:tc>
        <w:tc>
          <w:tcPr>
            <w:tcW w:w="632" w:type="pct"/>
            <w:shd w:val="clear" w:color="auto" w:fill="FFFFFF"/>
            <w:vAlign w:val="center"/>
          </w:tcPr>
          <w:p w14:paraId="32D8E0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1200</w:t>
            </w:r>
          </w:p>
        </w:tc>
        <w:tc>
          <w:tcPr>
            <w:tcW w:w="590" w:type="pct"/>
            <w:shd w:val="clear" w:color="auto" w:fill="FFFFFF"/>
            <w:vAlign w:val="center"/>
          </w:tcPr>
          <w:p w14:paraId="4A79900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1200</w:t>
            </w:r>
          </w:p>
        </w:tc>
        <w:tc>
          <w:tcPr>
            <w:tcW w:w="634" w:type="pct"/>
            <w:shd w:val="clear" w:color="auto" w:fill="FFFFFF"/>
            <w:vAlign w:val="center"/>
          </w:tcPr>
          <w:p w14:paraId="128568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1200</w:t>
            </w:r>
          </w:p>
        </w:tc>
      </w:tr>
      <w:tr w14:paraId="5DE4D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26F8D4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33</w:t>
            </w:r>
          </w:p>
        </w:tc>
        <w:tc>
          <w:tcPr>
            <w:tcW w:w="948" w:type="pct"/>
            <w:shd w:val="clear" w:color="auto" w:fill="FFFFFF"/>
            <w:vAlign w:val="center"/>
          </w:tcPr>
          <w:p w14:paraId="349AB5B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间二甲苯+对二甲苯</w:t>
            </w:r>
          </w:p>
        </w:tc>
        <w:tc>
          <w:tcPr>
            <w:tcW w:w="1222" w:type="pct"/>
            <w:shd w:val="clear" w:color="auto" w:fill="FFFFFF"/>
            <w:vAlign w:val="center"/>
          </w:tcPr>
          <w:p w14:paraId="172E4EA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108-38-3,106-42-3</w:t>
            </w:r>
          </w:p>
        </w:tc>
        <w:tc>
          <w:tcPr>
            <w:tcW w:w="634" w:type="pct"/>
            <w:shd w:val="clear" w:color="auto" w:fill="FFFFFF"/>
            <w:vAlign w:val="center"/>
          </w:tcPr>
          <w:p w14:paraId="4D1E297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163</w:t>
            </w:r>
          </w:p>
        </w:tc>
        <w:tc>
          <w:tcPr>
            <w:tcW w:w="632" w:type="pct"/>
            <w:shd w:val="clear" w:color="auto" w:fill="FFFFFF"/>
            <w:vAlign w:val="center"/>
          </w:tcPr>
          <w:p w14:paraId="1A98A36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570</w:t>
            </w:r>
          </w:p>
        </w:tc>
        <w:tc>
          <w:tcPr>
            <w:tcW w:w="590" w:type="pct"/>
            <w:shd w:val="clear" w:color="auto" w:fill="FFFFFF"/>
            <w:vAlign w:val="center"/>
          </w:tcPr>
          <w:p w14:paraId="3EA4EE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500</w:t>
            </w:r>
          </w:p>
        </w:tc>
        <w:tc>
          <w:tcPr>
            <w:tcW w:w="634" w:type="pct"/>
            <w:shd w:val="clear" w:color="auto" w:fill="FFFFFF"/>
            <w:vAlign w:val="center"/>
          </w:tcPr>
          <w:p w14:paraId="57A2278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570</w:t>
            </w:r>
          </w:p>
        </w:tc>
      </w:tr>
      <w:tr w14:paraId="6514E8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4866C99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34</w:t>
            </w:r>
          </w:p>
        </w:tc>
        <w:tc>
          <w:tcPr>
            <w:tcW w:w="948" w:type="pct"/>
            <w:shd w:val="clear" w:color="auto" w:fill="FFFFFF"/>
            <w:vAlign w:val="center"/>
          </w:tcPr>
          <w:p w14:paraId="74163D5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邻二甲苯</w:t>
            </w:r>
          </w:p>
        </w:tc>
        <w:tc>
          <w:tcPr>
            <w:tcW w:w="1222" w:type="pct"/>
            <w:shd w:val="clear" w:color="auto" w:fill="FFFFFF"/>
            <w:vAlign w:val="center"/>
          </w:tcPr>
          <w:p w14:paraId="4B6ECB7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95-47-6</w:t>
            </w:r>
          </w:p>
        </w:tc>
        <w:tc>
          <w:tcPr>
            <w:tcW w:w="634" w:type="pct"/>
            <w:shd w:val="clear" w:color="auto" w:fill="FFFFFF"/>
            <w:vAlign w:val="center"/>
          </w:tcPr>
          <w:p w14:paraId="3D67B2B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222</w:t>
            </w:r>
          </w:p>
        </w:tc>
        <w:tc>
          <w:tcPr>
            <w:tcW w:w="632" w:type="pct"/>
            <w:shd w:val="clear" w:color="auto" w:fill="FFFFFF"/>
            <w:vAlign w:val="center"/>
          </w:tcPr>
          <w:p w14:paraId="41D639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640</w:t>
            </w:r>
          </w:p>
        </w:tc>
        <w:tc>
          <w:tcPr>
            <w:tcW w:w="590" w:type="pct"/>
            <w:shd w:val="clear" w:color="auto" w:fill="FFFFFF"/>
            <w:vAlign w:val="center"/>
          </w:tcPr>
          <w:p w14:paraId="0BB3777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640</w:t>
            </w:r>
          </w:p>
        </w:tc>
        <w:tc>
          <w:tcPr>
            <w:tcW w:w="634" w:type="pct"/>
            <w:shd w:val="clear" w:color="auto" w:fill="FFFFFF"/>
            <w:vAlign w:val="center"/>
          </w:tcPr>
          <w:p w14:paraId="09CD02A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640</w:t>
            </w:r>
          </w:p>
        </w:tc>
      </w:tr>
      <w:tr w14:paraId="6750C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shd w:val="clear" w:color="auto" w:fill="FFFFFF"/>
            <w:vAlign w:val="center"/>
          </w:tcPr>
          <w:p w14:paraId="64BE9248">
            <w:pPr>
              <w:keepNext w:val="0"/>
              <w:keepLines w:val="0"/>
              <w:suppressLineNumbers w:val="0"/>
              <w:spacing w:before="0" w:beforeAutospacing="0" w:after="0" w:afterAutospacing="0"/>
              <w:ind w:left="0" w:right="0"/>
              <w:rPr>
                <w:rFonts w:hint="default" w:ascii="Times New Roman" w:hAnsi="Times New Roman" w:eastAsia="宋体" w:cs="Times New Roman"/>
                <w:kern w:val="0"/>
              </w:rPr>
            </w:pPr>
            <w:r>
              <w:rPr>
                <w:rFonts w:hint="default" w:ascii="Times New Roman" w:hAnsi="Times New Roman" w:eastAsia="宋体" w:cs="Times New Roman"/>
                <w:kern w:val="0"/>
              </w:rPr>
              <w:t>半挥发性有机物</w:t>
            </w:r>
          </w:p>
        </w:tc>
      </w:tr>
      <w:tr w14:paraId="67F131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17ECDF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35</w:t>
            </w:r>
          </w:p>
        </w:tc>
        <w:tc>
          <w:tcPr>
            <w:tcW w:w="948" w:type="pct"/>
            <w:shd w:val="clear" w:color="auto" w:fill="FFFFFF"/>
            <w:vAlign w:val="center"/>
          </w:tcPr>
          <w:p w14:paraId="158944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硝基苯</w:t>
            </w:r>
          </w:p>
        </w:tc>
        <w:tc>
          <w:tcPr>
            <w:tcW w:w="1222" w:type="pct"/>
            <w:shd w:val="clear" w:color="auto" w:fill="FFFFFF"/>
            <w:vAlign w:val="center"/>
          </w:tcPr>
          <w:p w14:paraId="280C862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98-95-3</w:t>
            </w:r>
          </w:p>
        </w:tc>
        <w:tc>
          <w:tcPr>
            <w:tcW w:w="634" w:type="pct"/>
            <w:shd w:val="clear" w:color="auto" w:fill="FFFFFF"/>
            <w:vAlign w:val="center"/>
          </w:tcPr>
          <w:p w14:paraId="65E4ECA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34</w:t>
            </w:r>
          </w:p>
        </w:tc>
        <w:tc>
          <w:tcPr>
            <w:tcW w:w="632" w:type="pct"/>
            <w:shd w:val="clear" w:color="auto" w:fill="FFFFFF"/>
            <w:vAlign w:val="center"/>
          </w:tcPr>
          <w:p w14:paraId="08EFA8F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76</w:t>
            </w:r>
          </w:p>
        </w:tc>
        <w:tc>
          <w:tcPr>
            <w:tcW w:w="590" w:type="pct"/>
            <w:shd w:val="clear" w:color="auto" w:fill="FFFFFF"/>
            <w:vAlign w:val="center"/>
          </w:tcPr>
          <w:p w14:paraId="77313D7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190</w:t>
            </w:r>
          </w:p>
        </w:tc>
        <w:tc>
          <w:tcPr>
            <w:tcW w:w="634" w:type="pct"/>
            <w:shd w:val="clear" w:color="auto" w:fill="FFFFFF"/>
            <w:vAlign w:val="center"/>
          </w:tcPr>
          <w:p w14:paraId="33EEC25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760</w:t>
            </w:r>
          </w:p>
        </w:tc>
      </w:tr>
      <w:tr w14:paraId="0E0877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7B39E54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36</w:t>
            </w:r>
          </w:p>
        </w:tc>
        <w:tc>
          <w:tcPr>
            <w:tcW w:w="948" w:type="pct"/>
            <w:shd w:val="clear" w:color="auto" w:fill="FFFFFF"/>
            <w:vAlign w:val="center"/>
          </w:tcPr>
          <w:p w14:paraId="6CC323B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苯胺</w:t>
            </w:r>
          </w:p>
        </w:tc>
        <w:tc>
          <w:tcPr>
            <w:tcW w:w="1222" w:type="pct"/>
            <w:shd w:val="clear" w:color="auto" w:fill="FFFFFF"/>
            <w:vAlign w:val="center"/>
          </w:tcPr>
          <w:p w14:paraId="7954D7C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62-53-3</w:t>
            </w:r>
          </w:p>
        </w:tc>
        <w:tc>
          <w:tcPr>
            <w:tcW w:w="634" w:type="pct"/>
            <w:shd w:val="clear" w:color="auto" w:fill="FFFFFF"/>
            <w:vAlign w:val="center"/>
          </w:tcPr>
          <w:p w14:paraId="27C810F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92</w:t>
            </w:r>
          </w:p>
        </w:tc>
        <w:tc>
          <w:tcPr>
            <w:tcW w:w="632" w:type="pct"/>
            <w:shd w:val="clear" w:color="auto" w:fill="FFFFFF"/>
            <w:vAlign w:val="center"/>
          </w:tcPr>
          <w:p w14:paraId="3C0DEBC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260</w:t>
            </w:r>
          </w:p>
        </w:tc>
        <w:tc>
          <w:tcPr>
            <w:tcW w:w="590" w:type="pct"/>
            <w:shd w:val="clear" w:color="auto" w:fill="FFFFFF"/>
            <w:vAlign w:val="center"/>
          </w:tcPr>
          <w:p w14:paraId="57C1BF6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211</w:t>
            </w:r>
          </w:p>
        </w:tc>
        <w:tc>
          <w:tcPr>
            <w:tcW w:w="634" w:type="pct"/>
            <w:shd w:val="clear" w:color="auto" w:fill="FFFFFF"/>
            <w:vAlign w:val="center"/>
          </w:tcPr>
          <w:p w14:paraId="2461DFE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663</w:t>
            </w:r>
          </w:p>
        </w:tc>
      </w:tr>
      <w:tr w14:paraId="0CC8EB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02953D9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37</w:t>
            </w:r>
          </w:p>
        </w:tc>
        <w:tc>
          <w:tcPr>
            <w:tcW w:w="948" w:type="pct"/>
            <w:shd w:val="clear" w:color="auto" w:fill="FFFFFF"/>
            <w:vAlign w:val="center"/>
          </w:tcPr>
          <w:p w14:paraId="09862A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2-氯酚</w:t>
            </w:r>
          </w:p>
        </w:tc>
        <w:tc>
          <w:tcPr>
            <w:tcW w:w="1222" w:type="pct"/>
            <w:shd w:val="clear" w:color="auto" w:fill="FFFFFF"/>
            <w:vAlign w:val="center"/>
          </w:tcPr>
          <w:p w14:paraId="4826471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95-57-8</w:t>
            </w:r>
          </w:p>
        </w:tc>
        <w:tc>
          <w:tcPr>
            <w:tcW w:w="634" w:type="pct"/>
            <w:shd w:val="clear" w:color="auto" w:fill="FFFFFF"/>
            <w:vAlign w:val="center"/>
          </w:tcPr>
          <w:p w14:paraId="4BF5C5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250</w:t>
            </w:r>
          </w:p>
        </w:tc>
        <w:tc>
          <w:tcPr>
            <w:tcW w:w="632" w:type="pct"/>
            <w:shd w:val="clear" w:color="auto" w:fill="FFFFFF"/>
            <w:vAlign w:val="center"/>
          </w:tcPr>
          <w:p w14:paraId="4616DF9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2256</w:t>
            </w:r>
          </w:p>
        </w:tc>
        <w:tc>
          <w:tcPr>
            <w:tcW w:w="590" w:type="pct"/>
            <w:shd w:val="clear" w:color="auto" w:fill="FFFFFF"/>
            <w:vAlign w:val="center"/>
          </w:tcPr>
          <w:p w14:paraId="1CC66A0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500</w:t>
            </w:r>
          </w:p>
        </w:tc>
        <w:tc>
          <w:tcPr>
            <w:tcW w:w="634" w:type="pct"/>
            <w:shd w:val="clear" w:color="auto" w:fill="FFFFFF"/>
            <w:vAlign w:val="center"/>
          </w:tcPr>
          <w:p w14:paraId="0A3412D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4500</w:t>
            </w:r>
          </w:p>
        </w:tc>
      </w:tr>
      <w:tr w14:paraId="007FE0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64BBCE7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38</w:t>
            </w:r>
          </w:p>
        </w:tc>
        <w:tc>
          <w:tcPr>
            <w:tcW w:w="948" w:type="pct"/>
            <w:shd w:val="clear" w:color="auto" w:fill="FFFFFF"/>
            <w:vAlign w:val="center"/>
          </w:tcPr>
          <w:p w14:paraId="464AB15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苯并[a]蒽</w:t>
            </w:r>
          </w:p>
        </w:tc>
        <w:tc>
          <w:tcPr>
            <w:tcW w:w="1222" w:type="pct"/>
            <w:shd w:val="clear" w:color="auto" w:fill="FFFFFF"/>
            <w:vAlign w:val="center"/>
          </w:tcPr>
          <w:p w14:paraId="1211C62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56-55-3</w:t>
            </w:r>
          </w:p>
        </w:tc>
        <w:tc>
          <w:tcPr>
            <w:tcW w:w="634" w:type="pct"/>
            <w:shd w:val="clear" w:color="auto" w:fill="FFFFFF"/>
            <w:vAlign w:val="center"/>
          </w:tcPr>
          <w:p w14:paraId="20943E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w:t>
            </w:r>
          </w:p>
        </w:tc>
        <w:tc>
          <w:tcPr>
            <w:tcW w:w="632" w:type="pct"/>
            <w:shd w:val="clear" w:color="auto" w:fill="FFFFFF"/>
            <w:vAlign w:val="center"/>
          </w:tcPr>
          <w:p w14:paraId="39B1834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w:t>
            </w:r>
          </w:p>
        </w:tc>
        <w:tc>
          <w:tcPr>
            <w:tcW w:w="590" w:type="pct"/>
            <w:shd w:val="clear" w:color="auto" w:fill="FFFFFF"/>
            <w:vAlign w:val="center"/>
          </w:tcPr>
          <w:p w14:paraId="2012CAF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w:t>
            </w:r>
          </w:p>
        </w:tc>
        <w:tc>
          <w:tcPr>
            <w:tcW w:w="634" w:type="pct"/>
            <w:shd w:val="clear" w:color="auto" w:fill="FFFFFF"/>
            <w:vAlign w:val="center"/>
          </w:tcPr>
          <w:p w14:paraId="67EFA8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151</w:t>
            </w:r>
          </w:p>
        </w:tc>
      </w:tr>
      <w:tr w14:paraId="4726FA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0450508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39</w:t>
            </w:r>
          </w:p>
        </w:tc>
        <w:tc>
          <w:tcPr>
            <w:tcW w:w="948" w:type="pct"/>
            <w:shd w:val="clear" w:color="auto" w:fill="FFFFFF"/>
            <w:vAlign w:val="center"/>
          </w:tcPr>
          <w:p w14:paraId="73A1CA7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苯并[a]芘</w:t>
            </w:r>
          </w:p>
        </w:tc>
        <w:tc>
          <w:tcPr>
            <w:tcW w:w="1222" w:type="pct"/>
            <w:shd w:val="clear" w:color="auto" w:fill="FFFFFF"/>
            <w:vAlign w:val="center"/>
          </w:tcPr>
          <w:p w14:paraId="29052B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50-32-8</w:t>
            </w:r>
          </w:p>
        </w:tc>
        <w:tc>
          <w:tcPr>
            <w:tcW w:w="634" w:type="pct"/>
            <w:shd w:val="clear" w:color="auto" w:fill="FFFFFF"/>
            <w:vAlign w:val="center"/>
          </w:tcPr>
          <w:p w14:paraId="3E899FC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0.55</w:t>
            </w:r>
          </w:p>
        </w:tc>
        <w:tc>
          <w:tcPr>
            <w:tcW w:w="632" w:type="pct"/>
            <w:shd w:val="clear" w:color="auto" w:fill="FFFFFF"/>
            <w:vAlign w:val="center"/>
          </w:tcPr>
          <w:p w14:paraId="36A16EB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w:t>
            </w:r>
          </w:p>
        </w:tc>
        <w:tc>
          <w:tcPr>
            <w:tcW w:w="590" w:type="pct"/>
            <w:shd w:val="clear" w:color="auto" w:fill="FFFFFF"/>
            <w:vAlign w:val="center"/>
          </w:tcPr>
          <w:p w14:paraId="633D7D3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w:t>
            </w:r>
          </w:p>
        </w:tc>
        <w:tc>
          <w:tcPr>
            <w:tcW w:w="634" w:type="pct"/>
            <w:shd w:val="clear" w:color="auto" w:fill="FFFFFF"/>
            <w:vAlign w:val="center"/>
          </w:tcPr>
          <w:p w14:paraId="707CE51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w:t>
            </w:r>
          </w:p>
        </w:tc>
      </w:tr>
      <w:tr w14:paraId="6CAF65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653F10B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40</w:t>
            </w:r>
          </w:p>
        </w:tc>
        <w:tc>
          <w:tcPr>
            <w:tcW w:w="948" w:type="pct"/>
            <w:shd w:val="clear" w:color="auto" w:fill="FFFFFF"/>
            <w:vAlign w:val="center"/>
          </w:tcPr>
          <w:p w14:paraId="651C7B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苯并[b]荧蒽</w:t>
            </w:r>
          </w:p>
        </w:tc>
        <w:tc>
          <w:tcPr>
            <w:tcW w:w="1222" w:type="pct"/>
            <w:shd w:val="clear" w:color="auto" w:fill="FFFFFF"/>
            <w:vAlign w:val="center"/>
          </w:tcPr>
          <w:p w14:paraId="3B42C65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205-99-2</w:t>
            </w:r>
          </w:p>
        </w:tc>
        <w:tc>
          <w:tcPr>
            <w:tcW w:w="634" w:type="pct"/>
            <w:shd w:val="clear" w:color="auto" w:fill="FFFFFF"/>
            <w:vAlign w:val="center"/>
          </w:tcPr>
          <w:p w14:paraId="6F30941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w:t>
            </w:r>
          </w:p>
        </w:tc>
        <w:tc>
          <w:tcPr>
            <w:tcW w:w="632" w:type="pct"/>
            <w:shd w:val="clear" w:color="auto" w:fill="FFFFFF"/>
            <w:vAlign w:val="center"/>
          </w:tcPr>
          <w:p w14:paraId="37BD2A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w:t>
            </w:r>
          </w:p>
        </w:tc>
        <w:tc>
          <w:tcPr>
            <w:tcW w:w="590" w:type="pct"/>
            <w:shd w:val="clear" w:color="auto" w:fill="FFFFFF"/>
            <w:vAlign w:val="center"/>
          </w:tcPr>
          <w:p w14:paraId="4F0BB6E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w:t>
            </w:r>
          </w:p>
        </w:tc>
        <w:tc>
          <w:tcPr>
            <w:tcW w:w="634" w:type="pct"/>
            <w:shd w:val="clear" w:color="auto" w:fill="FFFFFF"/>
            <w:vAlign w:val="center"/>
          </w:tcPr>
          <w:p w14:paraId="2F8448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151</w:t>
            </w:r>
          </w:p>
        </w:tc>
      </w:tr>
      <w:tr w14:paraId="6D1889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5226B84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41</w:t>
            </w:r>
          </w:p>
        </w:tc>
        <w:tc>
          <w:tcPr>
            <w:tcW w:w="948" w:type="pct"/>
            <w:shd w:val="clear" w:color="auto" w:fill="FFFFFF"/>
            <w:vAlign w:val="center"/>
          </w:tcPr>
          <w:p w14:paraId="5D51701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苯并[k]荧蒽</w:t>
            </w:r>
          </w:p>
        </w:tc>
        <w:tc>
          <w:tcPr>
            <w:tcW w:w="1222" w:type="pct"/>
            <w:shd w:val="clear" w:color="auto" w:fill="FFFFFF"/>
            <w:vAlign w:val="center"/>
          </w:tcPr>
          <w:p w14:paraId="2E958A9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207-08-9</w:t>
            </w:r>
          </w:p>
        </w:tc>
        <w:tc>
          <w:tcPr>
            <w:tcW w:w="634" w:type="pct"/>
            <w:shd w:val="clear" w:color="auto" w:fill="FFFFFF"/>
            <w:vAlign w:val="center"/>
          </w:tcPr>
          <w:p w14:paraId="1F5CE3E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w:t>
            </w:r>
          </w:p>
        </w:tc>
        <w:tc>
          <w:tcPr>
            <w:tcW w:w="632" w:type="pct"/>
            <w:shd w:val="clear" w:color="auto" w:fill="FFFFFF"/>
            <w:vAlign w:val="center"/>
          </w:tcPr>
          <w:p w14:paraId="1A4B790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151</w:t>
            </w:r>
          </w:p>
        </w:tc>
        <w:tc>
          <w:tcPr>
            <w:tcW w:w="590" w:type="pct"/>
            <w:shd w:val="clear" w:color="auto" w:fill="FFFFFF"/>
            <w:vAlign w:val="center"/>
          </w:tcPr>
          <w:p w14:paraId="6435F60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550</w:t>
            </w:r>
          </w:p>
        </w:tc>
        <w:tc>
          <w:tcPr>
            <w:tcW w:w="634" w:type="pct"/>
            <w:shd w:val="clear" w:color="auto" w:fill="FFFFFF"/>
            <w:vAlign w:val="center"/>
          </w:tcPr>
          <w:p w14:paraId="3F09552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1500</w:t>
            </w:r>
          </w:p>
        </w:tc>
      </w:tr>
      <w:tr w14:paraId="567E5C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27C6C6B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42</w:t>
            </w:r>
          </w:p>
        </w:tc>
        <w:tc>
          <w:tcPr>
            <w:tcW w:w="948" w:type="pct"/>
            <w:shd w:val="clear" w:color="auto" w:fill="FFFFFF"/>
            <w:vAlign w:val="center"/>
          </w:tcPr>
          <w:p w14:paraId="1208F5A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䓛</w:t>
            </w:r>
          </w:p>
        </w:tc>
        <w:tc>
          <w:tcPr>
            <w:tcW w:w="1222" w:type="pct"/>
            <w:shd w:val="clear" w:color="auto" w:fill="FFFFFF"/>
            <w:vAlign w:val="center"/>
          </w:tcPr>
          <w:p w14:paraId="3C5203A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218-01-9</w:t>
            </w:r>
          </w:p>
        </w:tc>
        <w:tc>
          <w:tcPr>
            <w:tcW w:w="634" w:type="pct"/>
            <w:shd w:val="clear" w:color="auto" w:fill="FFFFFF"/>
            <w:vAlign w:val="center"/>
          </w:tcPr>
          <w:p w14:paraId="623583A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490</w:t>
            </w:r>
          </w:p>
        </w:tc>
        <w:tc>
          <w:tcPr>
            <w:tcW w:w="632" w:type="pct"/>
            <w:shd w:val="clear" w:color="auto" w:fill="FFFFFF"/>
            <w:vAlign w:val="center"/>
          </w:tcPr>
          <w:p w14:paraId="1B18CEC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1293</w:t>
            </w:r>
          </w:p>
        </w:tc>
        <w:tc>
          <w:tcPr>
            <w:tcW w:w="590" w:type="pct"/>
            <w:shd w:val="clear" w:color="auto" w:fill="FFFFFF"/>
            <w:vAlign w:val="center"/>
          </w:tcPr>
          <w:p w14:paraId="7E0DA1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4900</w:t>
            </w:r>
          </w:p>
        </w:tc>
        <w:tc>
          <w:tcPr>
            <w:tcW w:w="634" w:type="pct"/>
            <w:shd w:val="clear" w:color="auto" w:fill="FFFFFF"/>
            <w:vAlign w:val="center"/>
          </w:tcPr>
          <w:p w14:paraId="7DD96E5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12900</w:t>
            </w:r>
          </w:p>
        </w:tc>
      </w:tr>
      <w:tr w14:paraId="0F2576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242B1B0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43</w:t>
            </w:r>
          </w:p>
        </w:tc>
        <w:tc>
          <w:tcPr>
            <w:tcW w:w="948" w:type="pct"/>
            <w:shd w:val="clear" w:color="auto" w:fill="FFFFFF"/>
            <w:vAlign w:val="center"/>
          </w:tcPr>
          <w:p w14:paraId="5AFBD80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二苯并[a, h]蒽</w:t>
            </w:r>
          </w:p>
        </w:tc>
        <w:tc>
          <w:tcPr>
            <w:tcW w:w="1222" w:type="pct"/>
            <w:shd w:val="clear" w:color="auto" w:fill="FFFFFF"/>
            <w:vAlign w:val="center"/>
          </w:tcPr>
          <w:p w14:paraId="0D1367B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53-70-3</w:t>
            </w:r>
          </w:p>
        </w:tc>
        <w:tc>
          <w:tcPr>
            <w:tcW w:w="634" w:type="pct"/>
            <w:shd w:val="clear" w:color="auto" w:fill="FFFFFF"/>
            <w:vAlign w:val="center"/>
          </w:tcPr>
          <w:p w14:paraId="222F9BF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0.55</w:t>
            </w:r>
          </w:p>
        </w:tc>
        <w:tc>
          <w:tcPr>
            <w:tcW w:w="632" w:type="pct"/>
            <w:shd w:val="clear" w:color="auto" w:fill="FFFFFF"/>
            <w:vAlign w:val="center"/>
          </w:tcPr>
          <w:p w14:paraId="1BD9400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w:t>
            </w:r>
          </w:p>
        </w:tc>
        <w:tc>
          <w:tcPr>
            <w:tcW w:w="590" w:type="pct"/>
            <w:shd w:val="clear" w:color="auto" w:fill="FFFFFF"/>
            <w:vAlign w:val="center"/>
          </w:tcPr>
          <w:p w14:paraId="4DCB9AC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w:t>
            </w:r>
          </w:p>
        </w:tc>
        <w:tc>
          <w:tcPr>
            <w:tcW w:w="634" w:type="pct"/>
            <w:shd w:val="clear" w:color="auto" w:fill="FFFFFF"/>
            <w:vAlign w:val="center"/>
          </w:tcPr>
          <w:p w14:paraId="4462914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w:t>
            </w:r>
          </w:p>
        </w:tc>
      </w:tr>
      <w:tr w14:paraId="22D8E8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62DF3BC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44</w:t>
            </w:r>
          </w:p>
        </w:tc>
        <w:tc>
          <w:tcPr>
            <w:tcW w:w="948" w:type="pct"/>
            <w:shd w:val="clear" w:color="auto" w:fill="FFFFFF"/>
            <w:vAlign w:val="center"/>
          </w:tcPr>
          <w:p w14:paraId="0641A1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茚并[1,2,3-cd]芘</w:t>
            </w:r>
          </w:p>
        </w:tc>
        <w:tc>
          <w:tcPr>
            <w:tcW w:w="1222" w:type="pct"/>
            <w:shd w:val="clear" w:color="auto" w:fill="FFFFFF"/>
            <w:vAlign w:val="center"/>
          </w:tcPr>
          <w:p w14:paraId="21AC269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193-39-5</w:t>
            </w:r>
          </w:p>
        </w:tc>
        <w:tc>
          <w:tcPr>
            <w:tcW w:w="634" w:type="pct"/>
            <w:shd w:val="clear" w:color="auto" w:fill="FFFFFF"/>
            <w:vAlign w:val="center"/>
          </w:tcPr>
          <w:p w14:paraId="52FB309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w:t>
            </w:r>
          </w:p>
        </w:tc>
        <w:tc>
          <w:tcPr>
            <w:tcW w:w="632" w:type="pct"/>
            <w:shd w:val="clear" w:color="auto" w:fill="FFFFFF"/>
            <w:vAlign w:val="center"/>
          </w:tcPr>
          <w:p w14:paraId="2A29685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w:t>
            </w:r>
          </w:p>
          <w:p w14:paraId="7B104BE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p>
        </w:tc>
        <w:tc>
          <w:tcPr>
            <w:tcW w:w="590" w:type="pct"/>
            <w:shd w:val="clear" w:color="auto" w:fill="FFFFFF"/>
            <w:vAlign w:val="center"/>
          </w:tcPr>
          <w:p w14:paraId="4470F0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55</w:t>
            </w:r>
          </w:p>
        </w:tc>
        <w:tc>
          <w:tcPr>
            <w:tcW w:w="634" w:type="pct"/>
            <w:shd w:val="clear" w:color="auto" w:fill="FFFFFF"/>
            <w:vAlign w:val="center"/>
          </w:tcPr>
          <w:p w14:paraId="581C9C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151</w:t>
            </w:r>
          </w:p>
        </w:tc>
      </w:tr>
      <w:tr w14:paraId="17101E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340" w:type="pct"/>
            <w:shd w:val="clear" w:color="auto" w:fill="FFFFFF"/>
            <w:vAlign w:val="center"/>
          </w:tcPr>
          <w:p w14:paraId="672ACB4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45</w:t>
            </w:r>
          </w:p>
        </w:tc>
        <w:tc>
          <w:tcPr>
            <w:tcW w:w="948" w:type="pct"/>
            <w:shd w:val="clear" w:color="auto" w:fill="FFFFFF"/>
            <w:vAlign w:val="center"/>
          </w:tcPr>
          <w:p w14:paraId="4FFCCAD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萘</w:t>
            </w:r>
          </w:p>
        </w:tc>
        <w:tc>
          <w:tcPr>
            <w:tcW w:w="1222" w:type="pct"/>
            <w:shd w:val="clear" w:color="auto" w:fill="FFFFFF"/>
            <w:vAlign w:val="center"/>
          </w:tcPr>
          <w:p w14:paraId="5F77A83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91-20-3</w:t>
            </w:r>
          </w:p>
        </w:tc>
        <w:tc>
          <w:tcPr>
            <w:tcW w:w="634" w:type="pct"/>
            <w:shd w:val="clear" w:color="auto" w:fill="FFFFFF"/>
            <w:vAlign w:val="center"/>
          </w:tcPr>
          <w:p w14:paraId="0D1EB31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25</w:t>
            </w:r>
          </w:p>
        </w:tc>
        <w:tc>
          <w:tcPr>
            <w:tcW w:w="632" w:type="pct"/>
            <w:shd w:val="clear" w:color="auto" w:fill="FFFFFF"/>
            <w:vAlign w:val="center"/>
          </w:tcPr>
          <w:p w14:paraId="53EE393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70</w:t>
            </w:r>
          </w:p>
        </w:tc>
        <w:tc>
          <w:tcPr>
            <w:tcW w:w="590" w:type="pct"/>
            <w:shd w:val="clear" w:color="auto" w:fill="FFFFFF"/>
            <w:vAlign w:val="center"/>
          </w:tcPr>
          <w:p w14:paraId="3404611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255</w:t>
            </w:r>
          </w:p>
        </w:tc>
        <w:tc>
          <w:tcPr>
            <w:tcW w:w="634" w:type="pct"/>
            <w:shd w:val="clear" w:color="auto" w:fill="FFFFFF"/>
            <w:vAlign w:val="center"/>
          </w:tcPr>
          <w:p w14:paraId="399A1A8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rPr>
            </w:pPr>
            <w:r>
              <w:rPr>
                <w:rFonts w:hint="default" w:ascii="Times New Roman" w:hAnsi="Times New Roman" w:eastAsia="宋体" w:cs="Times New Roman"/>
                <w:kern w:val="0"/>
              </w:rPr>
              <w:t>700</w:t>
            </w:r>
          </w:p>
        </w:tc>
      </w:tr>
      <w:tr w14:paraId="43BB18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5000" w:type="pct"/>
            <w:gridSpan w:val="7"/>
            <w:vAlign w:val="center"/>
          </w:tcPr>
          <w:p w14:paraId="33F430EB">
            <w:pPr>
              <w:keepNext w:val="0"/>
              <w:keepLines w:val="0"/>
              <w:suppressLineNumbers w:val="0"/>
              <w:spacing w:before="0" w:beforeAutospacing="0" w:after="0" w:afterAutospacing="0"/>
              <w:ind w:left="0" w:right="0"/>
              <w:rPr>
                <w:rFonts w:hint="default" w:ascii="Times New Roman" w:hAnsi="Times New Roman" w:eastAsia="宋体" w:cs="Times New Roman"/>
                <w:kern w:val="0"/>
              </w:rPr>
            </w:pPr>
            <w:r>
              <w:rPr>
                <w:rFonts w:hint="default" w:ascii="Times New Roman" w:hAnsi="Times New Roman" w:eastAsia="宋体" w:cs="Times New Roman"/>
                <w:kern w:val="0"/>
              </w:rPr>
              <w:t>注：①具体地块土壤中污染物检测含量超过筛选值，但等于或者低于土壤环境背景值（标准中 3.6）水平的，不纳入污染地块管理。土壤环境背景值可参见标准的附录 A。</w:t>
            </w:r>
          </w:p>
          <w:p w14:paraId="1672C4EA">
            <w:pPr>
              <w:keepNext w:val="0"/>
              <w:keepLines w:val="0"/>
              <w:suppressLineNumbers w:val="0"/>
              <w:spacing w:before="0" w:beforeAutospacing="0" w:after="0" w:afterAutospacing="0"/>
              <w:ind w:left="0" w:right="0"/>
              <w:rPr>
                <w:rFonts w:hint="default" w:ascii="Times New Roman" w:hAnsi="Times New Roman" w:eastAsia="宋体" w:cs="Times New Roman"/>
                <w:kern w:val="0"/>
              </w:rPr>
            </w:pPr>
            <w:r>
              <w:rPr>
                <w:rFonts w:hint="default" w:ascii="Times New Roman" w:hAnsi="Times New Roman" w:eastAsia="宋体" w:cs="Times New Roman"/>
                <w:kern w:val="0"/>
              </w:rPr>
              <w:t>② TEQ为毒性当量。</w:t>
            </w:r>
          </w:p>
        </w:tc>
      </w:tr>
    </w:tbl>
    <w:p w14:paraId="6EA77D87">
      <w:pPr>
        <w:pStyle w:val="4"/>
        <w:pageBreakBefore w:val="0"/>
        <w:tabs>
          <w:tab w:val="left" w:pos="900"/>
        </w:tabs>
        <w:kinsoku/>
        <w:wordWrap/>
        <w:overflowPunct/>
        <w:topLinePunct w:val="0"/>
        <w:bidi w:val="0"/>
        <w:adjustRightInd/>
        <w:snapToGrid/>
        <w:spacing w:before="0" w:after="0" w:line="360" w:lineRule="auto"/>
        <w:textAlignment w:val="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2.4.2污染物排放标准</w:t>
      </w:r>
    </w:p>
    <w:p w14:paraId="4133B91A">
      <w:pPr>
        <w:pStyle w:val="63"/>
        <w:pageBreakBefore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（1）废气</w:t>
      </w:r>
    </w:p>
    <w:p w14:paraId="3E7833FD">
      <w:pPr>
        <w:pageBreakBefore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施工期：无组织粉尘执行《大气污染物综合排放标准》（GB16297-1996）表2中无组织排放限值。</w:t>
      </w:r>
    </w:p>
    <w:p w14:paraId="7A5123D0">
      <w:pPr>
        <w:pageBreakBefore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运营期：</w:t>
      </w:r>
      <w:r>
        <w:rPr>
          <w:rFonts w:hint="default" w:ascii="Times New Roman" w:hAnsi="Times New Roman" w:eastAsia="宋体" w:cs="Times New Roman"/>
          <w:sz w:val="24"/>
          <w:u w:val="single"/>
          <w:lang w:val="en-US" w:eastAsia="zh-CN"/>
        </w:rPr>
        <w:t>VOCs、</w:t>
      </w:r>
      <w:r>
        <w:rPr>
          <w:rFonts w:hint="default" w:ascii="Times New Roman" w:hAnsi="Times New Roman" w:eastAsia="宋体" w:cs="Times New Roman"/>
          <w:sz w:val="24"/>
          <w:u w:val="single"/>
        </w:rPr>
        <w:t>苯、甲苯、二甲苯</w:t>
      </w:r>
      <w:r>
        <w:rPr>
          <w:rFonts w:hint="default" w:ascii="Times New Roman" w:hAnsi="Times New Roman" w:eastAsia="宋体" w:cs="Times New Roman"/>
          <w:sz w:val="24"/>
          <w:u w:val="single"/>
          <w:lang w:eastAsia="zh-CN"/>
        </w:rPr>
        <w:t>、</w:t>
      </w:r>
      <w:r>
        <w:rPr>
          <w:rFonts w:hint="default" w:ascii="Times New Roman" w:hAnsi="Times New Roman" w:eastAsia="宋体" w:cs="Times New Roman"/>
          <w:sz w:val="24"/>
          <w:u w:val="single"/>
          <w:lang w:val="en-US" w:eastAsia="zh-CN"/>
        </w:rPr>
        <w:t>硫酸雾</w:t>
      </w:r>
      <w:r>
        <w:rPr>
          <w:rFonts w:hint="default" w:ascii="Times New Roman" w:hAnsi="Times New Roman" w:eastAsia="宋体" w:cs="Times New Roman"/>
          <w:sz w:val="24"/>
          <w:u w:val="single"/>
        </w:rPr>
        <w:t>执行《大气污染物综合排放标准》（GB 16297-1996）表2中的二级标准和无组织排放监控浓度限值，VOCs无组织排放同步执行《挥发性有机物无组织排放控制标准》（GB37822-2019）表A.1排放限值；恶臭执行《恶臭污染物排放标准》（GB 14554-93）中表1</w:t>
      </w:r>
      <w:r>
        <w:rPr>
          <w:rFonts w:hint="eastAsia" w:ascii="Times New Roman" w:hAnsi="Times New Roman" w:cs="Times New Roman"/>
          <w:sz w:val="24"/>
          <w:u w:val="single"/>
          <w:lang w:val="en-US" w:eastAsia="zh-CN"/>
        </w:rPr>
        <w:t>中的新改扩建二级标准和</w:t>
      </w:r>
      <w:r>
        <w:rPr>
          <w:rFonts w:hint="default" w:ascii="Times New Roman" w:hAnsi="Times New Roman" w:eastAsia="宋体" w:cs="Times New Roman"/>
          <w:sz w:val="24"/>
          <w:u w:val="single"/>
        </w:rPr>
        <w:t>表2中的</w:t>
      </w:r>
      <w:r>
        <w:rPr>
          <w:rFonts w:hint="eastAsia" w:ascii="Times New Roman" w:hAnsi="Times New Roman" w:cs="Times New Roman"/>
          <w:sz w:val="24"/>
          <w:u w:val="single"/>
          <w:lang w:val="en-US" w:eastAsia="zh-CN"/>
        </w:rPr>
        <w:t>排放</w:t>
      </w:r>
      <w:r>
        <w:rPr>
          <w:rFonts w:hint="default" w:ascii="Times New Roman" w:hAnsi="Times New Roman" w:eastAsia="宋体" w:cs="Times New Roman"/>
          <w:sz w:val="24"/>
          <w:u w:val="single"/>
        </w:rPr>
        <w:t>标准值。</w:t>
      </w:r>
    </w:p>
    <w:p w14:paraId="36B0FCDD">
      <w:pPr>
        <w:pStyle w:val="41"/>
        <w:ind w:firstLine="0" w:firstLineChars="0"/>
        <w:jc w:val="center"/>
        <w:rPr>
          <w:rFonts w:hint="default" w:ascii="Times New Roman" w:hAnsi="Times New Roman" w:eastAsia="宋体" w:cs="Times New Roman"/>
          <w:b/>
          <w:bCs/>
          <w:sz w:val="21"/>
          <w:szCs w:val="21"/>
          <w:u w:val="single"/>
          <w:lang w:val="en-US" w:eastAsia="zh-CN"/>
        </w:rPr>
      </w:pPr>
      <w:r>
        <w:rPr>
          <w:rFonts w:hint="default" w:ascii="Times New Roman" w:hAnsi="Times New Roman" w:eastAsia="宋体" w:cs="Times New Roman"/>
          <w:b/>
          <w:bCs/>
          <w:sz w:val="21"/>
          <w:szCs w:val="21"/>
          <w:u w:val="single"/>
        </w:rPr>
        <w:t>表2.4-</w:t>
      </w:r>
      <w:r>
        <w:rPr>
          <w:rFonts w:hint="default" w:ascii="Times New Roman" w:hAnsi="Times New Roman" w:eastAsia="宋体" w:cs="Times New Roman"/>
          <w:b/>
          <w:bCs/>
          <w:sz w:val="21"/>
          <w:szCs w:val="21"/>
          <w:u w:val="single"/>
          <w:lang w:val="en-US" w:eastAsia="zh-CN"/>
        </w:rPr>
        <w:t>7</w:t>
      </w:r>
      <w:r>
        <w:rPr>
          <w:rFonts w:hint="default" w:ascii="Times New Roman" w:hAnsi="Times New Roman" w:eastAsia="宋体" w:cs="Times New Roman"/>
          <w:b/>
          <w:bCs/>
          <w:sz w:val="21"/>
          <w:szCs w:val="21"/>
          <w:u w:val="single"/>
        </w:rPr>
        <w:t xml:space="preserve"> 挥发性有机物无组织排放控制标准限值（GB 37822-2019）</w:t>
      </w:r>
      <w:r>
        <w:rPr>
          <w:rFonts w:hint="default" w:ascii="Times New Roman" w:hAnsi="Times New Roman" w:eastAsia="宋体" w:cs="Times New Roman"/>
          <w:b/>
          <w:bCs/>
          <w:sz w:val="21"/>
          <w:szCs w:val="21"/>
          <w:u w:val="single"/>
          <w:lang w:val="en-US" w:eastAsia="zh-CN"/>
        </w:rPr>
        <w:t xml:space="preserve"> 单位：</w:t>
      </w:r>
      <w:r>
        <w:rPr>
          <w:rFonts w:hint="default" w:ascii="Times New Roman" w:hAnsi="Times New Roman" w:eastAsia="宋体" w:cs="Times New Roman"/>
          <w:b/>
          <w:bCs/>
          <w:sz w:val="21"/>
          <w:u w:val="single"/>
          <w:lang w:eastAsia="en-US"/>
        </w:rPr>
        <w:t>mg/m</w:t>
      </w:r>
      <w:r>
        <w:rPr>
          <w:rFonts w:hint="default" w:ascii="Times New Roman" w:hAnsi="Times New Roman" w:eastAsia="宋体" w:cs="Times New Roman"/>
          <w:b/>
          <w:bCs/>
          <w:sz w:val="21"/>
          <w:u w:val="single"/>
          <w:vertAlign w:val="superscript"/>
          <w:lang w:eastAsia="en-US"/>
        </w:rPr>
        <w:t>3</w:t>
      </w:r>
    </w:p>
    <w:tbl>
      <w:tblPr>
        <w:tblStyle w:val="59"/>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462"/>
        <w:gridCol w:w="1469"/>
        <w:gridCol w:w="2935"/>
        <w:gridCol w:w="2468"/>
      </w:tblGrid>
      <w:tr w14:paraId="17EBD21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77" w:type="pct"/>
            <w:tcBorders>
              <w:bottom w:val="single" w:color="000000" w:sz="4" w:space="0"/>
              <w:right w:val="single" w:color="000000" w:sz="4" w:space="0"/>
            </w:tcBorders>
            <w:vAlign w:val="center"/>
          </w:tcPr>
          <w:p w14:paraId="7C689B8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污染物项目</w:t>
            </w:r>
          </w:p>
        </w:tc>
        <w:tc>
          <w:tcPr>
            <w:tcW w:w="881" w:type="pct"/>
            <w:tcBorders>
              <w:left w:val="single" w:color="000000" w:sz="4" w:space="0"/>
              <w:bottom w:val="single" w:color="000000" w:sz="4" w:space="0"/>
              <w:right w:val="single" w:color="000000" w:sz="4" w:space="0"/>
            </w:tcBorders>
            <w:vAlign w:val="center"/>
          </w:tcPr>
          <w:p w14:paraId="3170A67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排放限值</w:t>
            </w:r>
          </w:p>
        </w:tc>
        <w:tc>
          <w:tcPr>
            <w:tcW w:w="1760" w:type="pct"/>
            <w:tcBorders>
              <w:left w:val="single" w:color="000000" w:sz="4" w:space="0"/>
              <w:bottom w:val="single" w:color="000000" w:sz="4" w:space="0"/>
              <w:right w:val="single" w:color="000000" w:sz="4" w:space="0"/>
            </w:tcBorders>
            <w:vAlign w:val="center"/>
          </w:tcPr>
          <w:p w14:paraId="0B1F1A23">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限值含义</w:t>
            </w:r>
          </w:p>
        </w:tc>
        <w:tc>
          <w:tcPr>
            <w:tcW w:w="1480" w:type="pct"/>
            <w:tcBorders>
              <w:left w:val="single" w:color="000000" w:sz="4" w:space="0"/>
              <w:bottom w:val="single" w:color="000000" w:sz="4" w:space="0"/>
            </w:tcBorders>
            <w:vAlign w:val="center"/>
          </w:tcPr>
          <w:p w14:paraId="031D1F90">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无组织排放监控位置</w:t>
            </w:r>
          </w:p>
        </w:tc>
      </w:tr>
      <w:tr w14:paraId="402AD9F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877" w:type="pct"/>
            <w:vMerge w:val="restart"/>
            <w:tcBorders>
              <w:top w:val="single" w:color="000000" w:sz="4" w:space="0"/>
              <w:right w:val="single" w:color="000000" w:sz="4" w:space="0"/>
            </w:tcBorders>
            <w:vAlign w:val="center"/>
          </w:tcPr>
          <w:p w14:paraId="40E5B062">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NMHC</w:t>
            </w:r>
          </w:p>
        </w:tc>
        <w:tc>
          <w:tcPr>
            <w:tcW w:w="881" w:type="pct"/>
            <w:tcBorders>
              <w:top w:val="single" w:color="000000" w:sz="4" w:space="0"/>
              <w:left w:val="single" w:color="000000" w:sz="4" w:space="0"/>
              <w:bottom w:val="single" w:color="000000" w:sz="4" w:space="0"/>
              <w:right w:val="single" w:color="000000" w:sz="4" w:space="0"/>
            </w:tcBorders>
            <w:vAlign w:val="center"/>
          </w:tcPr>
          <w:p w14:paraId="4C1BDB70">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w:t>
            </w:r>
          </w:p>
        </w:tc>
        <w:tc>
          <w:tcPr>
            <w:tcW w:w="1760" w:type="pct"/>
            <w:tcBorders>
              <w:top w:val="single" w:color="000000" w:sz="4" w:space="0"/>
              <w:left w:val="single" w:color="000000" w:sz="4" w:space="0"/>
              <w:bottom w:val="single" w:color="000000" w:sz="4" w:space="0"/>
              <w:right w:val="single" w:color="000000" w:sz="4" w:space="0"/>
            </w:tcBorders>
            <w:vAlign w:val="center"/>
          </w:tcPr>
          <w:p w14:paraId="60B4224E">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监控点处1h平均浓度值</w:t>
            </w:r>
          </w:p>
        </w:tc>
        <w:tc>
          <w:tcPr>
            <w:tcW w:w="1480" w:type="pct"/>
            <w:vMerge w:val="restart"/>
            <w:tcBorders>
              <w:top w:val="single" w:color="000000" w:sz="4" w:space="0"/>
              <w:left w:val="single" w:color="000000" w:sz="4" w:space="0"/>
            </w:tcBorders>
            <w:vAlign w:val="center"/>
          </w:tcPr>
          <w:p w14:paraId="20539A5C">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在厂房外设置监控点</w:t>
            </w:r>
          </w:p>
        </w:tc>
      </w:tr>
      <w:tr w14:paraId="53BB067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877" w:type="pct"/>
            <w:vMerge w:val="continue"/>
            <w:tcBorders>
              <w:top w:val="nil"/>
              <w:right w:val="single" w:color="000000" w:sz="4" w:space="0"/>
            </w:tcBorders>
            <w:vAlign w:val="center"/>
          </w:tcPr>
          <w:p w14:paraId="237CD281">
            <w:pPr>
              <w:autoSpaceDE w:val="0"/>
              <w:autoSpaceDN w:val="0"/>
              <w:jc w:val="center"/>
              <w:rPr>
                <w:rFonts w:hint="default" w:ascii="Times New Roman" w:hAnsi="Times New Roman" w:eastAsia="宋体" w:cs="Times New Roman"/>
                <w:kern w:val="0"/>
                <w:sz w:val="2"/>
                <w:szCs w:val="2"/>
                <w:u w:val="single"/>
                <w:lang w:eastAsia="en-US"/>
              </w:rPr>
            </w:pPr>
          </w:p>
        </w:tc>
        <w:tc>
          <w:tcPr>
            <w:tcW w:w="881" w:type="pct"/>
            <w:tcBorders>
              <w:top w:val="single" w:color="000000" w:sz="4" w:space="0"/>
              <w:left w:val="single" w:color="000000" w:sz="4" w:space="0"/>
              <w:right w:val="single" w:color="000000" w:sz="4" w:space="0"/>
            </w:tcBorders>
            <w:vAlign w:val="center"/>
          </w:tcPr>
          <w:p w14:paraId="68A0CB8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30</w:t>
            </w:r>
          </w:p>
        </w:tc>
        <w:tc>
          <w:tcPr>
            <w:tcW w:w="1760" w:type="pct"/>
            <w:tcBorders>
              <w:top w:val="single" w:color="000000" w:sz="4" w:space="0"/>
              <w:left w:val="single" w:color="000000" w:sz="4" w:space="0"/>
              <w:right w:val="single" w:color="000000" w:sz="4" w:space="0"/>
            </w:tcBorders>
            <w:vAlign w:val="center"/>
          </w:tcPr>
          <w:p w14:paraId="235D14D1">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监控点处任意一次浓度值</w:t>
            </w:r>
          </w:p>
        </w:tc>
        <w:tc>
          <w:tcPr>
            <w:tcW w:w="1480" w:type="pct"/>
            <w:vMerge w:val="continue"/>
            <w:tcBorders>
              <w:top w:val="nil"/>
              <w:left w:val="single" w:color="000000" w:sz="4" w:space="0"/>
            </w:tcBorders>
            <w:vAlign w:val="center"/>
          </w:tcPr>
          <w:p w14:paraId="47B46074">
            <w:pPr>
              <w:autoSpaceDE w:val="0"/>
              <w:autoSpaceDN w:val="0"/>
              <w:jc w:val="center"/>
              <w:rPr>
                <w:rFonts w:hint="default" w:ascii="Times New Roman" w:hAnsi="Times New Roman" w:eastAsia="宋体" w:cs="Times New Roman"/>
                <w:kern w:val="0"/>
                <w:sz w:val="2"/>
                <w:szCs w:val="2"/>
                <w:u w:val="single"/>
                <w:lang w:eastAsia="zh-CN"/>
              </w:rPr>
            </w:pPr>
          </w:p>
        </w:tc>
      </w:tr>
    </w:tbl>
    <w:p w14:paraId="62977FAF">
      <w:pPr>
        <w:pStyle w:val="41"/>
        <w:ind w:firstLine="0" w:firstLineChars="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表2.4-</w:t>
      </w:r>
      <w:r>
        <w:rPr>
          <w:rFonts w:hint="default" w:ascii="Times New Roman" w:hAnsi="Times New Roman" w:eastAsia="宋体" w:cs="Times New Roman"/>
          <w:b/>
          <w:bCs/>
          <w:sz w:val="21"/>
          <w:szCs w:val="21"/>
          <w:u w:val="single"/>
          <w:lang w:val="en-US" w:eastAsia="zh-CN"/>
        </w:rPr>
        <w:t>8</w:t>
      </w:r>
      <w:r>
        <w:rPr>
          <w:rFonts w:hint="default" w:ascii="Times New Roman" w:hAnsi="Times New Roman" w:eastAsia="宋体" w:cs="Times New Roman"/>
          <w:b/>
          <w:bCs/>
          <w:sz w:val="21"/>
          <w:szCs w:val="21"/>
          <w:u w:val="single"/>
        </w:rPr>
        <w:t xml:space="preserve"> 大气污染物综合排放限值（GB 16297-1996）</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270"/>
        <w:gridCol w:w="1797"/>
        <w:gridCol w:w="1520"/>
        <w:gridCol w:w="1394"/>
        <w:gridCol w:w="2355"/>
      </w:tblGrid>
      <w:tr w14:paraId="31171BE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762" w:type="pct"/>
            <w:vMerge w:val="restart"/>
            <w:vAlign w:val="center"/>
          </w:tcPr>
          <w:p w14:paraId="31CA6EF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污染物</w:t>
            </w:r>
          </w:p>
        </w:tc>
        <w:tc>
          <w:tcPr>
            <w:tcW w:w="1078" w:type="pct"/>
            <w:vMerge w:val="restart"/>
            <w:vAlign w:val="center"/>
          </w:tcPr>
          <w:p w14:paraId="1041386B">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最高允许排放浓度</w:t>
            </w:r>
          </w:p>
          <w:p w14:paraId="3FD00B6D">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（mg/m</w:t>
            </w:r>
            <w:r>
              <w:rPr>
                <w:rFonts w:hint="default" w:ascii="Times New Roman" w:hAnsi="Times New Roman" w:eastAsia="宋体" w:cs="Times New Roman"/>
                <w:sz w:val="21"/>
                <w:u w:val="single"/>
                <w:vertAlign w:val="superscript"/>
                <w:lang w:eastAsia="zh-CN"/>
              </w:rPr>
              <w:t>3</w:t>
            </w:r>
            <w:r>
              <w:rPr>
                <w:rFonts w:hint="default" w:ascii="Times New Roman" w:hAnsi="Times New Roman" w:eastAsia="宋体" w:cs="Times New Roman"/>
                <w:sz w:val="21"/>
                <w:u w:val="single"/>
                <w:lang w:eastAsia="zh-CN"/>
              </w:rPr>
              <w:t>）</w:t>
            </w:r>
          </w:p>
        </w:tc>
        <w:tc>
          <w:tcPr>
            <w:tcW w:w="1748" w:type="pct"/>
            <w:gridSpan w:val="2"/>
            <w:vAlign w:val="center"/>
          </w:tcPr>
          <w:p w14:paraId="6C4854D2">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最高允许排放速率（kg/h）</w:t>
            </w:r>
          </w:p>
        </w:tc>
        <w:tc>
          <w:tcPr>
            <w:tcW w:w="1412" w:type="pct"/>
            <w:vMerge w:val="restart"/>
            <w:vAlign w:val="center"/>
          </w:tcPr>
          <w:p w14:paraId="7933BC46">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无组织排放监控浓度限值</w:t>
            </w:r>
          </w:p>
          <w:p w14:paraId="654747E2">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（mg/m</w:t>
            </w:r>
            <w:r>
              <w:rPr>
                <w:rFonts w:hint="default" w:ascii="Times New Roman" w:hAnsi="Times New Roman" w:eastAsia="宋体" w:cs="Times New Roman"/>
                <w:sz w:val="21"/>
                <w:u w:val="single"/>
                <w:vertAlign w:val="superscript"/>
                <w:lang w:eastAsia="en-US"/>
              </w:rPr>
              <w:t>3</w:t>
            </w:r>
            <w:r>
              <w:rPr>
                <w:rFonts w:hint="default" w:ascii="Times New Roman" w:hAnsi="Times New Roman" w:eastAsia="宋体" w:cs="Times New Roman"/>
                <w:sz w:val="21"/>
                <w:u w:val="single"/>
                <w:lang w:eastAsia="en-US"/>
              </w:rPr>
              <w:t>）</w:t>
            </w:r>
          </w:p>
        </w:tc>
      </w:tr>
      <w:tr w14:paraId="0E7AAC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62" w:type="pct"/>
            <w:vMerge w:val="continue"/>
            <w:vAlign w:val="center"/>
          </w:tcPr>
          <w:p w14:paraId="16D38A69">
            <w:pPr>
              <w:autoSpaceDE w:val="0"/>
              <w:autoSpaceDN w:val="0"/>
              <w:jc w:val="center"/>
              <w:rPr>
                <w:rFonts w:hint="default" w:ascii="Times New Roman" w:hAnsi="Times New Roman" w:eastAsia="宋体" w:cs="Times New Roman"/>
                <w:kern w:val="0"/>
                <w:sz w:val="2"/>
                <w:szCs w:val="2"/>
                <w:u w:val="single"/>
                <w:lang w:eastAsia="en-US"/>
              </w:rPr>
            </w:pPr>
          </w:p>
        </w:tc>
        <w:tc>
          <w:tcPr>
            <w:tcW w:w="1078" w:type="pct"/>
            <w:vMerge w:val="continue"/>
            <w:vAlign w:val="center"/>
          </w:tcPr>
          <w:p w14:paraId="243A5D75">
            <w:pPr>
              <w:autoSpaceDE w:val="0"/>
              <w:autoSpaceDN w:val="0"/>
              <w:jc w:val="center"/>
              <w:rPr>
                <w:rFonts w:hint="default" w:ascii="Times New Roman" w:hAnsi="Times New Roman" w:eastAsia="宋体" w:cs="Times New Roman"/>
                <w:kern w:val="0"/>
                <w:sz w:val="2"/>
                <w:szCs w:val="2"/>
                <w:u w:val="single"/>
                <w:lang w:eastAsia="en-US"/>
              </w:rPr>
            </w:pPr>
          </w:p>
        </w:tc>
        <w:tc>
          <w:tcPr>
            <w:tcW w:w="912" w:type="pct"/>
            <w:vAlign w:val="center"/>
          </w:tcPr>
          <w:p w14:paraId="19357FD4">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排气筒（m）</w:t>
            </w:r>
          </w:p>
        </w:tc>
        <w:tc>
          <w:tcPr>
            <w:tcW w:w="836" w:type="pct"/>
            <w:vAlign w:val="center"/>
          </w:tcPr>
          <w:p w14:paraId="204377A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二级</w:t>
            </w:r>
          </w:p>
        </w:tc>
        <w:tc>
          <w:tcPr>
            <w:tcW w:w="1412" w:type="pct"/>
            <w:vMerge w:val="continue"/>
            <w:vAlign w:val="center"/>
          </w:tcPr>
          <w:p w14:paraId="388FC5A9">
            <w:pPr>
              <w:autoSpaceDE w:val="0"/>
              <w:autoSpaceDN w:val="0"/>
              <w:jc w:val="center"/>
              <w:rPr>
                <w:rFonts w:hint="default" w:ascii="Times New Roman" w:hAnsi="Times New Roman" w:eastAsia="宋体" w:cs="Times New Roman"/>
                <w:kern w:val="0"/>
                <w:sz w:val="2"/>
                <w:szCs w:val="2"/>
                <w:u w:val="single"/>
                <w:lang w:eastAsia="en-US"/>
              </w:rPr>
            </w:pPr>
          </w:p>
        </w:tc>
      </w:tr>
      <w:tr w14:paraId="45B30A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62" w:type="pct"/>
            <w:vAlign w:val="center"/>
          </w:tcPr>
          <w:p w14:paraId="65AEE1EB">
            <w:pPr>
              <w:autoSpaceDE w:val="0"/>
              <w:autoSpaceDN w:val="0"/>
              <w:jc w:val="center"/>
              <w:rPr>
                <w:rFonts w:hint="default" w:ascii="Times New Roman" w:hAnsi="Times New Roman" w:eastAsia="宋体" w:cs="Times New Roman"/>
                <w:kern w:val="0"/>
                <w:sz w:val="21"/>
                <w:szCs w:val="21"/>
                <w:u w:val="single"/>
                <w:lang w:val="en-US" w:eastAsia="zh-CN"/>
              </w:rPr>
            </w:pPr>
            <w:r>
              <w:rPr>
                <w:rFonts w:hint="default" w:ascii="Times New Roman" w:hAnsi="Times New Roman" w:eastAsia="宋体" w:cs="Times New Roman"/>
                <w:kern w:val="0"/>
                <w:sz w:val="21"/>
                <w:szCs w:val="21"/>
                <w:u w:val="single"/>
                <w:lang w:val="en-US" w:eastAsia="zh-CN"/>
              </w:rPr>
              <w:t>非甲烷总烃</w:t>
            </w:r>
          </w:p>
        </w:tc>
        <w:tc>
          <w:tcPr>
            <w:tcW w:w="1078" w:type="pct"/>
            <w:vAlign w:val="center"/>
          </w:tcPr>
          <w:p w14:paraId="57329AE0">
            <w:pPr>
              <w:autoSpaceDE w:val="0"/>
              <w:autoSpaceDN w:val="0"/>
              <w:jc w:val="center"/>
              <w:rPr>
                <w:rFonts w:hint="default" w:ascii="Times New Roman" w:hAnsi="Times New Roman" w:eastAsia="宋体" w:cs="Times New Roman"/>
                <w:kern w:val="0"/>
                <w:sz w:val="21"/>
                <w:szCs w:val="21"/>
                <w:u w:val="single"/>
                <w:lang w:val="en-US" w:eastAsia="zh-CN"/>
              </w:rPr>
            </w:pPr>
            <w:r>
              <w:rPr>
                <w:rFonts w:hint="default" w:ascii="Times New Roman" w:hAnsi="Times New Roman" w:eastAsia="宋体" w:cs="Times New Roman"/>
                <w:kern w:val="0"/>
                <w:sz w:val="21"/>
                <w:szCs w:val="21"/>
                <w:u w:val="single"/>
                <w:lang w:val="en-US" w:eastAsia="zh-CN"/>
              </w:rPr>
              <w:t>120</w:t>
            </w:r>
          </w:p>
        </w:tc>
        <w:tc>
          <w:tcPr>
            <w:tcW w:w="912" w:type="pct"/>
            <w:vAlign w:val="center"/>
          </w:tcPr>
          <w:p w14:paraId="219B2268">
            <w:pPr>
              <w:pStyle w:val="6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15</w:t>
            </w:r>
          </w:p>
        </w:tc>
        <w:tc>
          <w:tcPr>
            <w:tcW w:w="836" w:type="pct"/>
            <w:vAlign w:val="center"/>
          </w:tcPr>
          <w:p w14:paraId="3317FF38">
            <w:pPr>
              <w:pStyle w:val="6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10</w:t>
            </w:r>
          </w:p>
        </w:tc>
        <w:tc>
          <w:tcPr>
            <w:tcW w:w="1412" w:type="pct"/>
            <w:vAlign w:val="center"/>
          </w:tcPr>
          <w:p w14:paraId="25EA40EA">
            <w:pPr>
              <w:autoSpaceDE w:val="0"/>
              <w:autoSpaceDN w:val="0"/>
              <w:jc w:val="center"/>
              <w:rPr>
                <w:rFonts w:hint="default" w:ascii="Times New Roman" w:hAnsi="Times New Roman" w:eastAsia="宋体" w:cs="Times New Roman"/>
                <w:kern w:val="0"/>
                <w:sz w:val="21"/>
                <w:szCs w:val="21"/>
                <w:u w:val="single"/>
                <w:lang w:val="en-US" w:eastAsia="zh-CN"/>
              </w:rPr>
            </w:pPr>
            <w:r>
              <w:rPr>
                <w:rFonts w:hint="default" w:ascii="Times New Roman" w:hAnsi="Times New Roman" w:eastAsia="宋体" w:cs="Times New Roman"/>
                <w:kern w:val="0"/>
                <w:sz w:val="21"/>
                <w:szCs w:val="21"/>
                <w:u w:val="single"/>
                <w:lang w:val="en-US" w:eastAsia="zh-CN"/>
              </w:rPr>
              <w:t>4.0</w:t>
            </w:r>
          </w:p>
        </w:tc>
      </w:tr>
      <w:tr w14:paraId="402A05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762" w:type="pct"/>
            <w:vAlign w:val="center"/>
          </w:tcPr>
          <w:p w14:paraId="287DA12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苯</w:t>
            </w:r>
          </w:p>
        </w:tc>
        <w:tc>
          <w:tcPr>
            <w:tcW w:w="1078" w:type="pct"/>
            <w:vAlign w:val="center"/>
          </w:tcPr>
          <w:p w14:paraId="2E3CA626">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12</w:t>
            </w:r>
          </w:p>
        </w:tc>
        <w:tc>
          <w:tcPr>
            <w:tcW w:w="912" w:type="pct"/>
            <w:vAlign w:val="center"/>
          </w:tcPr>
          <w:p w14:paraId="31A4DB02">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15</w:t>
            </w:r>
          </w:p>
        </w:tc>
        <w:tc>
          <w:tcPr>
            <w:tcW w:w="836" w:type="pct"/>
            <w:vAlign w:val="center"/>
          </w:tcPr>
          <w:p w14:paraId="34D970E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0.5</w:t>
            </w:r>
          </w:p>
        </w:tc>
        <w:tc>
          <w:tcPr>
            <w:tcW w:w="1412" w:type="pct"/>
            <w:vAlign w:val="center"/>
          </w:tcPr>
          <w:p w14:paraId="71E6E0E7">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0.4</w:t>
            </w:r>
          </w:p>
        </w:tc>
      </w:tr>
      <w:tr w14:paraId="7FE6C2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762" w:type="pct"/>
            <w:vAlign w:val="center"/>
          </w:tcPr>
          <w:p w14:paraId="5F0E5B49">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甲苯</w:t>
            </w:r>
          </w:p>
        </w:tc>
        <w:tc>
          <w:tcPr>
            <w:tcW w:w="1078" w:type="pct"/>
            <w:vAlign w:val="center"/>
          </w:tcPr>
          <w:p w14:paraId="3D09A856">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40</w:t>
            </w:r>
          </w:p>
        </w:tc>
        <w:tc>
          <w:tcPr>
            <w:tcW w:w="912" w:type="pct"/>
            <w:vAlign w:val="center"/>
          </w:tcPr>
          <w:p w14:paraId="636D4A73">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15</w:t>
            </w:r>
          </w:p>
        </w:tc>
        <w:tc>
          <w:tcPr>
            <w:tcW w:w="836" w:type="pct"/>
            <w:vAlign w:val="center"/>
          </w:tcPr>
          <w:p w14:paraId="04E20556">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3.1</w:t>
            </w:r>
          </w:p>
        </w:tc>
        <w:tc>
          <w:tcPr>
            <w:tcW w:w="1412" w:type="pct"/>
            <w:vAlign w:val="center"/>
          </w:tcPr>
          <w:p w14:paraId="1CB3AE80">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2.4</w:t>
            </w:r>
          </w:p>
        </w:tc>
      </w:tr>
      <w:tr w14:paraId="32D333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762" w:type="pct"/>
            <w:vAlign w:val="center"/>
          </w:tcPr>
          <w:p w14:paraId="1F868B56">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二甲苯</w:t>
            </w:r>
          </w:p>
        </w:tc>
        <w:tc>
          <w:tcPr>
            <w:tcW w:w="1078" w:type="pct"/>
            <w:vAlign w:val="center"/>
          </w:tcPr>
          <w:p w14:paraId="6A4E50A1">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70</w:t>
            </w:r>
          </w:p>
        </w:tc>
        <w:tc>
          <w:tcPr>
            <w:tcW w:w="912" w:type="pct"/>
            <w:vAlign w:val="center"/>
          </w:tcPr>
          <w:p w14:paraId="71651C52">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15</w:t>
            </w:r>
          </w:p>
        </w:tc>
        <w:tc>
          <w:tcPr>
            <w:tcW w:w="836" w:type="pct"/>
            <w:vAlign w:val="center"/>
          </w:tcPr>
          <w:p w14:paraId="5C3073F4">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1.0</w:t>
            </w:r>
          </w:p>
        </w:tc>
        <w:tc>
          <w:tcPr>
            <w:tcW w:w="1412" w:type="pct"/>
            <w:vAlign w:val="center"/>
          </w:tcPr>
          <w:p w14:paraId="0DF29569">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1.2</w:t>
            </w:r>
          </w:p>
        </w:tc>
      </w:tr>
      <w:tr w14:paraId="61BA481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762" w:type="pct"/>
            <w:vAlign w:val="center"/>
          </w:tcPr>
          <w:p w14:paraId="5887C2D9">
            <w:pPr>
              <w:pStyle w:val="6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硫酸雾</w:t>
            </w:r>
          </w:p>
        </w:tc>
        <w:tc>
          <w:tcPr>
            <w:tcW w:w="1078" w:type="pct"/>
            <w:vAlign w:val="center"/>
          </w:tcPr>
          <w:p w14:paraId="7F7369B5">
            <w:pPr>
              <w:pStyle w:val="6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45</w:t>
            </w:r>
          </w:p>
        </w:tc>
        <w:tc>
          <w:tcPr>
            <w:tcW w:w="912" w:type="pct"/>
            <w:vAlign w:val="center"/>
          </w:tcPr>
          <w:p w14:paraId="48FFB1C6">
            <w:pPr>
              <w:pStyle w:val="6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15</w:t>
            </w:r>
          </w:p>
        </w:tc>
        <w:tc>
          <w:tcPr>
            <w:tcW w:w="836" w:type="pct"/>
            <w:vAlign w:val="center"/>
          </w:tcPr>
          <w:p w14:paraId="3368008D">
            <w:pPr>
              <w:pStyle w:val="6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1.5</w:t>
            </w:r>
          </w:p>
        </w:tc>
        <w:tc>
          <w:tcPr>
            <w:tcW w:w="1412" w:type="pct"/>
            <w:vAlign w:val="center"/>
          </w:tcPr>
          <w:p w14:paraId="4B6A7D11">
            <w:pPr>
              <w:pStyle w:val="6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1.2</w:t>
            </w:r>
          </w:p>
        </w:tc>
      </w:tr>
    </w:tbl>
    <w:p w14:paraId="27E9810F">
      <w:pPr>
        <w:pStyle w:val="41"/>
        <w:ind w:firstLine="0" w:firstLineChars="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表2.4-</w:t>
      </w:r>
      <w:r>
        <w:rPr>
          <w:rFonts w:hint="default" w:ascii="Times New Roman" w:hAnsi="Times New Roman" w:eastAsia="宋体" w:cs="Times New Roman"/>
          <w:b/>
          <w:bCs/>
          <w:sz w:val="21"/>
          <w:szCs w:val="21"/>
          <w:u w:val="single"/>
          <w:lang w:val="en-US" w:eastAsia="zh-CN"/>
        </w:rPr>
        <w:t>9</w:t>
      </w:r>
      <w:r>
        <w:rPr>
          <w:rFonts w:hint="default" w:ascii="Times New Roman" w:hAnsi="Times New Roman" w:eastAsia="宋体" w:cs="Times New Roman"/>
          <w:b/>
          <w:bCs/>
          <w:sz w:val="21"/>
          <w:szCs w:val="21"/>
          <w:u w:val="single"/>
        </w:rPr>
        <w:t xml:space="preserve"> 恶臭污染物排放标准（GB14554-93）</w:t>
      </w:r>
    </w:p>
    <w:tbl>
      <w:tblPr>
        <w:tblStyle w:val="59"/>
        <w:tblW w:w="5054"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772"/>
        <w:gridCol w:w="1436"/>
        <w:gridCol w:w="1643"/>
        <w:gridCol w:w="3575"/>
      </w:tblGrid>
      <w:tr w14:paraId="7E69B7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1051" w:type="pct"/>
            <w:vMerge w:val="restart"/>
            <w:vAlign w:val="center"/>
          </w:tcPr>
          <w:p w14:paraId="133BA4D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污染物</w:t>
            </w:r>
          </w:p>
        </w:tc>
        <w:tc>
          <w:tcPr>
            <w:tcW w:w="1827" w:type="pct"/>
            <w:gridSpan w:val="2"/>
            <w:vAlign w:val="center"/>
          </w:tcPr>
          <w:p w14:paraId="467C04FF">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最高允许排放速率</w:t>
            </w:r>
          </w:p>
        </w:tc>
        <w:tc>
          <w:tcPr>
            <w:tcW w:w="2121" w:type="pct"/>
            <w:vMerge w:val="restart"/>
            <w:vAlign w:val="center"/>
          </w:tcPr>
          <w:p w14:paraId="6EACD16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无组织排放</w:t>
            </w:r>
            <w:r>
              <w:rPr>
                <w:rFonts w:hint="eastAsia" w:ascii="Times New Roman" w:hAnsi="Times New Roman" w:cs="Times New Roman"/>
                <w:sz w:val="21"/>
                <w:u w:val="single"/>
                <w:lang w:val="en-US" w:eastAsia="zh-CN"/>
              </w:rPr>
              <w:t>厂界标准值</w:t>
            </w:r>
            <w:r>
              <w:rPr>
                <w:rFonts w:hint="default" w:ascii="Times New Roman" w:hAnsi="Times New Roman" w:eastAsia="宋体" w:cs="Times New Roman"/>
                <w:sz w:val="21"/>
                <w:u w:val="single"/>
                <w:lang w:eastAsia="en-US"/>
              </w:rPr>
              <w:t>（mg/m</w:t>
            </w:r>
            <w:r>
              <w:rPr>
                <w:rFonts w:hint="default" w:ascii="Times New Roman" w:hAnsi="Times New Roman" w:eastAsia="宋体" w:cs="Times New Roman"/>
                <w:sz w:val="21"/>
                <w:u w:val="single"/>
                <w:vertAlign w:val="superscript"/>
                <w:lang w:eastAsia="en-US"/>
              </w:rPr>
              <w:t>3</w:t>
            </w:r>
            <w:r>
              <w:rPr>
                <w:rFonts w:hint="default" w:ascii="Times New Roman" w:hAnsi="Times New Roman" w:eastAsia="宋体" w:cs="Times New Roman"/>
                <w:sz w:val="21"/>
                <w:u w:val="single"/>
                <w:lang w:eastAsia="en-US"/>
              </w:rPr>
              <w:t>）</w:t>
            </w:r>
          </w:p>
          <w:p w14:paraId="6C528530">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w:t>
            </w:r>
            <w:r>
              <w:rPr>
                <w:rFonts w:hint="eastAsia" w:ascii="Times New Roman" w:hAnsi="Times New Roman" w:cs="Times New Roman"/>
                <w:sz w:val="21"/>
                <w:u w:val="single"/>
                <w:lang w:val="en-US" w:eastAsia="zh-CN"/>
              </w:rPr>
              <w:t>二</w:t>
            </w:r>
            <w:r>
              <w:rPr>
                <w:rFonts w:hint="default" w:ascii="Times New Roman" w:hAnsi="Times New Roman" w:eastAsia="宋体" w:cs="Times New Roman"/>
                <w:sz w:val="21"/>
                <w:u w:val="single"/>
                <w:lang w:eastAsia="en-US"/>
              </w:rPr>
              <w:t>级</w:t>
            </w:r>
            <w:r>
              <w:rPr>
                <w:rFonts w:hint="eastAsia" w:ascii="Times New Roman" w:hAnsi="Times New Roman" w:cs="Times New Roman"/>
                <w:sz w:val="21"/>
                <w:u w:val="single"/>
                <w:lang w:eastAsia="zh-CN"/>
              </w:rPr>
              <w:t>、</w:t>
            </w:r>
            <w:r>
              <w:rPr>
                <w:rFonts w:hint="eastAsia" w:ascii="Times New Roman" w:hAnsi="Times New Roman" w:cs="Times New Roman"/>
                <w:sz w:val="21"/>
                <w:u w:val="single"/>
                <w:lang w:val="en-US" w:eastAsia="zh-CN"/>
              </w:rPr>
              <w:t>新改扩建</w:t>
            </w:r>
            <w:r>
              <w:rPr>
                <w:rFonts w:hint="default" w:ascii="Times New Roman" w:hAnsi="Times New Roman" w:eastAsia="宋体" w:cs="Times New Roman"/>
                <w:sz w:val="21"/>
                <w:u w:val="single"/>
                <w:lang w:eastAsia="en-US"/>
              </w:rPr>
              <w:t>）</w:t>
            </w:r>
          </w:p>
        </w:tc>
      </w:tr>
      <w:tr w14:paraId="7A38AB7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051" w:type="pct"/>
            <w:vMerge w:val="continue"/>
            <w:vAlign w:val="center"/>
          </w:tcPr>
          <w:p w14:paraId="08930322">
            <w:pPr>
              <w:autoSpaceDE w:val="0"/>
              <w:autoSpaceDN w:val="0"/>
              <w:jc w:val="center"/>
              <w:rPr>
                <w:rFonts w:hint="default" w:ascii="Times New Roman" w:hAnsi="Times New Roman" w:eastAsia="宋体" w:cs="Times New Roman"/>
                <w:kern w:val="0"/>
                <w:sz w:val="2"/>
                <w:szCs w:val="2"/>
                <w:u w:val="single"/>
                <w:lang w:eastAsia="en-US"/>
              </w:rPr>
            </w:pPr>
          </w:p>
        </w:tc>
        <w:tc>
          <w:tcPr>
            <w:tcW w:w="852" w:type="pct"/>
            <w:vAlign w:val="center"/>
          </w:tcPr>
          <w:p w14:paraId="4A491297">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排气筒（m）</w:t>
            </w:r>
          </w:p>
        </w:tc>
        <w:tc>
          <w:tcPr>
            <w:tcW w:w="974" w:type="pct"/>
            <w:vAlign w:val="center"/>
          </w:tcPr>
          <w:p w14:paraId="2CCA0D51">
            <w:pPr>
              <w:pStyle w:val="60"/>
              <w:rPr>
                <w:rFonts w:hint="default" w:ascii="Times New Roman" w:hAnsi="Times New Roman" w:eastAsia="宋体" w:cs="Times New Roman"/>
                <w:sz w:val="21"/>
                <w:u w:val="single"/>
                <w:lang w:val="en-US" w:eastAsia="zh-CN"/>
              </w:rPr>
            </w:pPr>
            <w:r>
              <w:rPr>
                <w:rFonts w:hint="eastAsia" w:ascii="Times New Roman" w:hAnsi="Times New Roman" w:cs="Times New Roman"/>
                <w:sz w:val="21"/>
                <w:u w:val="single"/>
                <w:lang w:val="en-US" w:eastAsia="zh-CN"/>
              </w:rPr>
              <w:t>速率</w:t>
            </w:r>
            <w:r>
              <w:rPr>
                <w:rFonts w:hint="default" w:ascii="Times New Roman" w:hAnsi="Times New Roman" w:eastAsia="宋体" w:cs="Times New Roman"/>
                <w:sz w:val="21"/>
                <w:u w:val="single"/>
                <w:lang w:eastAsia="zh-CN"/>
              </w:rPr>
              <w:t>（kg/h）</w:t>
            </w:r>
          </w:p>
        </w:tc>
        <w:tc>
          <w:tcPr>
            <w:tcW w:w="2121" w:type="pct"/>
            <w:vMerge w:val="continue"/>
            <w:vAlign w:val="center"/>
          </w:tcPr>
          <w:p w14:paraId="6D582017">
            <w:pPr>
              <w:autoSpaceDE w:val="0"/>
              <w:autoSpaceDN w:val="0"/>
              <w:jc w:val="center"/>
              <w:rPr>
                <w:rFonts w:hint="default" w:ascii="Times New Roman" w:hAnsi="Times New Roman" w:eastAsia="宋体" w:cs="Times New Roman"/>
                <w:kern w:val="0"/>
                <w:sz w:val="2"/>
                <w:szCs w:val="2"/>
                <w:u w:val="single"/>
                <w:lang w:eastAsia="en-US"/>
              </w:rPr>
            </w:pPr>
          </w:p>
        </w:tc>
      </w:tr>
      <w:tr w14:paraId="4A7857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1051" w:type="pct"/>
            <w:vAlign w:val="center"/>
          </w:tcPr>
          <w:p w14:paraId="0A953A8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t>
            </w:r>
            <w:r>
              <w:rPr>
                <w:rFonts w:hint="default" w:ascii="Times New Roman" w:hAnsi="Times New Roman" w:eastAsia="宋体" w:cs="Times New Roman"/>
                <w:sz w:val="21"/>
                <w:u w:val="single"/>
                <w:vertAlign w:val="subscript"/>
                <w:lang w:eastAsia="en-US"/>
              </w:rPr>
              <w:t>2</w:t>
            </w:r>
            <w:r>
              <w:rPr>
                <w:rFonts w:hint="default" w:ascii="Times New Roman" w:hAnsi="Times New Roman" w:eastAsia="宋体" w:cs="Times New Roman"/>
                <w:sz w:val="21"/>
                <w:u w:val="single"/>
                <w:lang w:eastAsia="en-US"/>
              </w:rPr>
              <w:t>S</w:t>
            </w:r>
          </w:p>
        </w:tc>
        <w:tc>
          <w:tcPr>
            <w:tcW w:w="852" w:type="pct"/>
            <w:vAlign w:val="center"/>
          </w:tcPr>
          <w:p w14:paraId="60EC9D32">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15</w:t>
            </w:r>
          </w:p>
        </w:tc>
        <w:tc>
          <w:tcPr>
            <w:tcW w:w="974" w:type="pct"/>
            <w:vAlign w:val="center"/>
          </w:tcPr>
          <w:p w14:paraId="52CE2F1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0.33</w:t>
            </w:r>
          </w:p>
        </w:tc>
        <w:tc>
          <w:tcPr>
            <w:tcW w:w="2121" w:type="pct"/>
            <w:vAlign w:val="center"/>
          </w:tcPr>
          <w:p w14:paraId="0F7A5EC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1.5</w:t>
            </w:r>
          </w:p>
        </w:tc>
      </w:tr>
      <w:tr w14:paraId="4E7449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051" w:type="pct"/>
            <w:vAlign w:val="center"/>
          </w:tcPr>
          <w:p w14:paraId="47F6BB14">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NH</w:t>
            </w:r>
            <w:r>
              <w:rPr>
                <w:rFonts w:hint="default" w:ascii="Times New Roman" w:hAnsi="Times New Roman" w:eastAsia="宋体" w:cs="Times New Roman"/>
                <w:sz w:val="21"/>
                <w:u w:val="single"/>
                <w:vertAlign w:val="subscript"/>
                <w:lang w:eastAsia="en-US"/>
              </w:rPr>
              <w:t>3</w:t>
            </w:r>
          </w:p>
        </w:tc>
        <w:tc>
          <w:tcPr>
            <w:tcW w:w="852" w:type="pct"/>
            <w:vAlign w:val="center"/>
          </w:tcPr>
          <w:p w14:paraId="4F8A9EE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15</w:t>
            </w:r>
          </w:p>
        </w:tc>
        <w:tc>
          <w:tcPr>
            <w:tcW w:w="974" w:type="pct"/>
            <w:vAlign w:val="center"/>
          </w:tcPr>
          <w:p w14:paraId="1561D78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4.9</w:t>
            </w:r>
          </w:p>
        </w:tc>
        <w:tc>
          <w:tcPr>
            <w:tcW w:w="2121" w:type="pct"/>
            <w:vAlign w:val="center"/>
          </w:tcPr>
          <w:p w14:paraId="79B18597">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0.06</w:t>
            </w:r>
          </w:p>
        </w:tc>
      </w:tr>
      <w:tr w14:paraId="57C46F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1051" w:type="pct"/>
            <w:vAlign w:val="center"/>
          </w:tcPr>
          <w:p w14:paraId="25D013E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臭气浓度</w:t>
            </w:r>
          </w:p>
        </w:tc>
        <w:tc>
          <w:tcPr>
            <w:tcW w:w="852" w:type="pct"/>
            <w:vAlign w:val="center"/>
          </w:tcPr>
          <w:p w14:paraId="3A590CE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15</w:t>
            </w:r>
          </w:p>
        </w:tc>
        <w:tc>
          <w:tcPr>
            <w:tcW w:w="974" w:type="pct"/>
            <w:vAlign w:val="center"/>
          </w:tcPr>
          <w:p w14:paraId="5FBE1E93">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2000（无量纲）</w:t>
            </w:r>
          </w:p>
        </w:tc>
        <w:tc>
          <w:tcPr>
            <w:tcW w:w="2121" w:type="pct"/>
            <w:vAlign w:val="center"/>
          </w:tcPr>
          <w:p w14:paraId="03153BC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20</w:t>
            </w:r>
          </w:p>
        </w:tc>
      </w:tr>
    </w:tbl>
    <w:p w14:paraId="42748CE8">
      <w:pPr>
        <w:spacing w:line="360" w:lineRule="auto"/>
        <w:ind w:firstLine="482" w:firstLineChars="200"/>
        <w:rPr>
          <w:rFonts w:hint="default" w:ascii="Times New Roman" w:hAnsi="Times New Roman" w:eastAsia="宋体" w:cs="Times New Roman"/>
          <w:b/>
          <w:sz w:val="24"/>
          <w:u w:val="single"/>
        </w:rPr>
      </w:pPr>
      <w:r>
        <w:rPr>
          <w:rFonts w:hint="default" w:ascii="Times New Roman" w:hAnsi="Times New Roman" w:eastAsia="宋体" w:cs="Times New Roman"/>
          <w:b/>
          <w:sz w:val="24"/>
          <w:u w:val="single"/>
        </w:rPr>
        <w:t>（2）水污染物排放标准</w:t>
      </w:r>
    </w:p>
    <w:p w14:paraId="7748F0E3">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项目生产废水、生活污水执行《污水综合排放标准》（GB8978-1996）表4 三级标准，同时满足松木污水处理厂进水水质要求，具体标准限值详见下表：</w:t>
      </w:r>
    </w:p>
    <w:p w14:paraId="7B2CAAD4">
      <w:pPr>
        <w:spacing w:line="360" w:lineRule="auto"/>
        <w:ind w:firstLine="422" w:firstLineChars="200"/>
        <w:jc w:val="center"/>
        <w:rPr>
          <w:rFonts w:hint="default" w:ascii="Times New Roman" w:hAnsi="Times New Roman" w:eastAsia="宋体" w:cs="Times New Roman"/>
          <w:b/>
          <w:szCs w:val="21"/>
          <w:u w:val="single"/>
          <w:lang w:val="en-US" w:eastAsia="zh-CN"/>
        </w:rPr>
      </w:pPr>
      <w:r>
        <w:rPr>
          <w:rFonts w:hint="default" w:ascii="Times New Roman" w:hAnsi="Times New Roman" w:eastAsia="宋体" w:cs="Times New Roman"/>
          <w:b/>
          <w:szCs w:val="21"/>
          <w:u w:val="single"/>
        </w:rPr>
        <w:t>表2.4-</w:t>
      </w:r>
      <w:r>
        <w:rPr>
          <w:rFonts w:hint="default" w:ascii="Times New Roman" w:hAnsi="Times New Roman" w:eastAsia="宋体" w:cs="Times New Roman"/>
          <w:b/>
          <w:szCs w:val="21"/>
          <w:u w:val="single"/>
          <w:lang w:val="en-US" w:eastAsia="zh-CN"/>
        </w:rPr>
        <w:t>10</w:t>
      </w:r>
      <w:r>
        <w:rPr>
          <w:rFonts w:hint="default" w:ascii="Times New Roman" w:hAnsi="Times New Roman" w:eastAsia="宋体" w:cs="Times New Roman"/>
          <w:b/>
          <w:szCs w:val="21"/>
          <w:u w:val="single"/>
        </w:rPr>
        <w:t xml:space="preserve"> 《污水综合排放标准》表4三级标准</w:t>
      </w:r>
      <w:r>
        <w:rPr>
          <w:rFonts w:hint="default" w:ascii="Times New Roman" w:hAnsi="Times New Roman" w:eastAsia="宋体" w:cs="Times New Roman"/>
          <w:b/>
          <w:szCs w:val="21"/>
          <w:u w:val="single"/>
          <w:lang w:val="en-US" w:eastAsia="zh-CN"/>
        </w:rPr>
        <w:t xml:space="preserve"> 单位：mg/L </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1645"/>
        <w:gridCol w:w="547"/>
        <w:gridCol w:w="580"/>
        <w:gridCol w:w="710"/>
        <w:gridCol w:w="712"/>
        <w:gridCol w:w="712"/>
        <w:gridCol w:w="709"/>
        <w:gridCol w:w="712"/>
        <w:gridCol w:w="712"/>
        <w:gridCol w:w="645"/>
        <w:gridCol w:w="645"/>
      </w:tblGrid>
      <w:tr w14:paraId="7C858B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4" w:hRule="atLeast"/>
          <w:jc w:val="center"/>
        </w:trPr>
        <w:tc>
          <w:tcPr>
            <w:tcW w:w="898" w:type="pct"/>
            <w:vAlign w:val="center"/>
          </w:tcPr>
          <w:p w14:paraId="10DD7F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执行标准</w:t>
            </w:r>
          </w:p>
        </w:tc>
        <w:tc>
          <w:tcPr>
            <w:tcW w:w="337" w:type="pct"/>
            <w:vAlign w:val="center"/>
          </w:tcPr>
          <w:p w14:paraId="7C87AF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pH</w:t>
            </w:r>
          </w:p>
        </w:tc>
        <w:tc>
          <w:tcPr>
            <w:tcW w:w="357" w:type="pct"/>
            <w:vAlign w:val="center"/>
          </w:tcPr>
          <w:p w14:paraId="2B660C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SS</w:t>
            </w:r>
          </w:p>
        </w:tc>
        <w:tc>
          <w:tcPr>
            <w:tcW w:w="435" w:type="pct"/>
            <w:vAlign w:val="center"/>
          </w:tcPr>
          <w:p w14:paraId="092E09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CODcr</w:t>
            </w:r>
          </w:p>
        </w:tc>
        <w:tc>
          <w:tcPr>
            <w:tcW w:w="436" w:type="pct"/>
            <w:tcBorders>
              <w:right w:val="single" w:color="auto" w:sz="4" w:space="0"/>
            </w:tcBorders>
            <w:vAlign w:val="center"/>
          </w:tcPr>
          <w:p w14:paraId="72C406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BOD</w:t>
            </w:r>
            <w:r>
              <w:rPr>
                <w:rFonts w:hint="default" w:ascii="Times New Roman" w:hAnsi="Times New Roman" w:eastAsia="宋体" w:cs="Times New Roman"/>
                <w:kern w:val="0"/>
                <w:szCs w:val="21"/>
                <w:u w:val="single"/>
                <w:vertAlign w:val="subscript"/>
              </w:rPr>
              <w:t>5</w:t>
            </w:r>
          </w:p>
        </w:tc>
        <w:tc>
          <w:tcPr>
            <w:tcW w:w="436" w:type="pct"/>
            <w:tcBorders>
              <w:left w:val="single" w:color="auto" w:sz="4" w:space="0"/>
            </w:tcBorders>
            <w:vAlign w:val="center"/>
          </w:tcPr>
          <w:p w14:paraId="4C00DB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氨氮</w:t>
            </w:r>
          </w:p>
        </w:tc>
        <w:tc>
          <w:tcPr>
            <w:tcW w:w="434" w:type="pct"/>
            <w:tcBorders>
              <w:left w:val="single" w:color="auto" w:sz="4" w:space="0"/>
            </w:tcBorders>
            <w:vAlign w:val="center"/>
          </w:tcPr>
          <w:p w14:paraId="46E6307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石油类</w:t>
            </w:r>
          </w:p>
        </w:tc>
        <w:tc>
          <w:tcPr>
            <w:tcW w:w="436" w:type="pct"/>
            <w:tcBorders>
              <w:left w:val="single" w:color="auto" w:sz="4" w:space="0"/>
            </w:tcBorders>
            <w:vAlign w:val="center"/>
          </w:tcPr>
          <w:p w14:paraId="6666361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LAS</w:t>
            </w:r>
          </w:p>
        </w:tc>
        <w:tc>
          <w:tcPr>
            <w:tcW w:w="436" w:type="pct"/>
            <w:tcBorders>
              <w:left w:val="single" w:color="auto" w:sz="4" w:space="0"/>
            </w:tcBorders>
            <w:vAlign w:val="center"/>
          </w:tcPr>
          <w:p w14:paraId="4B30547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苯</w:t>
            </w:r>
          </w:p>
        </w:tc>
        <w:tc>
          <w:tcPr>
            <w:tcW w:w="395" w:type="pct"/>
            <w:tcBorders>
              <w:left w:val="single" w:color="auto" w:sz="4" w:space="0"/>
            </w:tcBorders>
            <w:vAlign w:val="center"/>
          </w:tcPr>
          <w:p w14:paraId="710273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甲苯</w:t>
            </w:r>
          </w:p>
        </w:tc>
        <w:tc>
          <w:tcPr>
            <w:tcW w:w="395" w:type="pct"/>
            <w:tcBorders>
              <w:left w:val="single" w:color="auto" w:sz="4" w:space="0"/>
            </w:tcBorders>
            <w:vAlign w:val="center"/>
          </w:tcPr>
          <w:p w14:paraId="1C379B7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总磷</w:t>
            </w:r>
          </w:p>
        </w:tc>
      </w:tr>
      <w:tr w14:paraId="06297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01" w:hRule="atLeast"/>
          <w:jc w:val="center"/>
        </w:trPr>
        <w:tc>
          <w:tcPr>
            <w:tcW w:w="898" w:type="pct"/>
            <w:vAlign w:val="center"/>
          </w:tcPr>
          <w:p w14:paraId="419DDC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《污水综合排放标准》（GB8978-1996）表4 三级标准</w:t>
            </w:r>
          </w:p>
        </w:tc>
        <w:tc>
          <w:tcPr>
            <w:tcW w:w="337" w:type="pct"/>
            <w:vAlign w:val="center"/>
          </w:tcPr>
          <w:p w14:paraId="5B2D98A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6～9</w:t>
            </w:r>
          </w:p>
        </w:tc>
        <w:tc>
          <w:tcPr>
            <w:tcW w:w="357" w:type="pct"/>
            <w:vAlign w:val="center"/>
          </w:tcPr>
          <w:p w14:paraId="1E4C143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400</w:t>
            </w:r>
          </w:p>
        </w:tc>
        <w:tc>
          <w:tcPr>
            <w:tcW w:w="435" w:type="pct"/>
            <w:vAlign w:val="center"/>
          </w:tcPr>
          <w:p w14:paraId="65DB17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500</w:t>
            </w:r>
          </w:p>
        </w:tc>
        <w:tc>
          <w:tcPr>
            <w:tcW w:w="436" w:type="pct"/>
            <w:tcBorders>
              <w:right w:val="single" w:color="auto" w:sz="4" w:space="0"/>
            </w:tcBorders>
            <w:vAlign w:val="center"/>
          </w:tcPr>
          <w:p w14:paraId="07A7BF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300</w:t>
            </w:r>
          </w:p>
        </w:tc>
        <w:tc>
          <w:tcPr>
            <w:tcW w:w="436" w:type="pct"/>
            <w:tcBorders>
              <w:left w:val="single" w:color="auto" w:sz="4" w:space="0"/>
            </w:tcBorders>
            <w:vAlign w:val="center"/>
          </w:tcPr>
          <w:p w14:paraId="66D4451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434" w:type="pct"/>
            <w:tcBorders>
              <w:left w:val="single" w:color="auto" w:sz="4" w:space="0"/>
            </w:tcBorders>
            <w:vAlign w:val="center"/>
          </w:tcPr>
          <w:p w14:paraId="39201E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20</w:t>
            </w:r>
          </w:p>
        </w:tc>
        <w:tc>
          <w:tcPr>
            <w:tcW w:w="436" w:type="pct"/>
            <w:tcBorders>
              <w:left w:val="single" w:color="auto" w:sz="4" w:space="0"/>
            </w:tcBorders>
            <w:vAlign w:val="center"/>
          </w:tcPr>
          <w:p w14:paraId="472758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20</w:t>
            </w:r>
          </w:p>
        </w:tc>
        <w:tc>
          <w:tcPr>
            <w:tcW w:w="436" w:type="pct"/>
            <w:tcBorders>
              <w:left w:val="single" w:color="auto" w:sz="4" w:space="0"/>
            </w:tcBorders>
            <w:vAlign w:val="center"/>
          </w:tcPr>
          <w:p w14:paraId="28ED27A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0.5</w:t>
            </w:r>
          </w:p>
        </w:tc>
        <w:tc>
          <w:tcPr>
            <w:tcW w:w="395" w:type="pct"/>
            <w:tcBorders>
              <w:left w:val="single" w:color="auto" w:sz="4" w:space="0"/>
            </w:tcBorders>
            <w:vAlign w:val="center"/>
          </w:tcPr>
          <w:p w14:paraId="0E2A64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0.5</w:t>
            </w:r>
          </w:p>
        </w:tc>
        <w:tc>
          <w:tcPr>
            <w:tcW w:w="395" w:type="pct"/>
            <w:tcBorders>
              <w:left w:val="single" w:color="auto" w:sz="4" w:space="0"/>
            </w:tcBorders>
            <w:vAlign w:val="center"/>
          </w:tcPr>
          <w:p w14:paraId="5C65CB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w:t>
            </w:r>
          </w:p>
        </w:tc>
      </w:tr>
      <w:tr w14:paraId="31F474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01" w:hRule="atLeast"/>
          <w:jc w:val="center"/>
        </w:trPr>
        <w:tc>
          <w:tcPr>
            <w:tcW w:w="898" w:type="pct"/>
            <w:vAlign w:val="center"/>
          </w:tcPr>
          <w:p w14:paraId="2EB7551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松木污水处理厂进水水质要求</w:t>
            </w:r>
          </w:p>
        </w:tc>
        <w:tc>
          <w:tcPr>
            <w:tcW w:w="337" w:type="pct"/>
            <w:vAlign w:val="center"/>
          </w:tcPr>
          <w:p w14:paraId="6FEB3E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6～9</w:t>
            </w:r>
          </w:p>
        </w:tc>
        <w:tc>
          <w:tcPr>
            <w:tcW w:w="357" w:type="pct"/>
            <w:vAlign w:val="center"/>
          </w:tcPr>
          <w:p w14:paraId="38290B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250</w:t>
            </w:r>
          </w:p>
        </w:tc>
        <w:tc>
          <w:tcPr>
            <w:tcW w:w="435" w:type="pct"/>
            <w:vAlign w:val="center"/>
          </w:tcPr>
          <w:p w14:paraId="3BC829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300</w:t>
            </w:r>
          </w:p>
        </w:tc>
        <w:tc>
          <w:tcPr>
            <w:tcW w:w="436" w:type="pct"/>
            <w:tcBorders>
              <w:right w:val="single" w:color="auto" w:sz="4" w:space="0"/>
            </w:tcBorders>
            <w:vAlign w:val="center"/>
          </w:tcPr>
          <w:p w14:paraId="16E54C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130</w:t>
            </w:r>
          </w:p>
        </w:tc>
        <w:tc>
          <w:tcPr>
            <w:tcW w:w="436" w:type="pct"/>
            <w:tcBorders>
              <w:left w:val="single" w:color="auto" w:sz="4" w:space="0"/>
            </w:tcBorders>
            <w:vAlign w:val="center"/>
          </w:tcPr>
          <w:p w14:paraId="5E14B42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25</w:t>
            </w:r>
          </w:p>
        </w:tc>
        <w:tc>
          <w:tcPr>
            <w:tcW w:w="434" w:type="pct"/>
            <w:tcBorders>
              <w:left w:val="single" w:color="auto" w:sz="4" w:space="0"/>
            </w:tcBorders>
            <w:vAlign w:val="center"/>
          </w:tcPr>
          <w:p w14:paraId="4564B5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436" w:type="pct"/>
            <w:tcBorders>
              <w:left w:val="single" w:color="auto" w:sz="4" w:space="0"/>
            </w:tcBorders>
            <w:vAlign w:val="center"/>
          </w:tcPr>
          <w:p w14:paraId="3860CE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436" w:type="pct"/>
            <w:tcBorders>
              <w:left w:val="single" w:color="auto" w:sz="4" w:space="0"/>
            </w:tcBorders>
            <w:vAlign w:val="center"/>
          </w:tcPr>
          <w:p w14:paraId="220952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395" w:type="pct"/>
            <w:tcBorders>
              <w:left w:val="single" w:color="auto" w:sz="4" w:space="0"/>
            </w:tcBorders>
            <w:vAlign w:val="center"/>
          </w:tcPr>
          <w:p w14:paraId="062C8E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395" w:type="pct"/>
            <w:tcBorders>
              <w:left w:val="single" w:color="auto" w:sz="4" w:space="0"/>
            </w:tcBorders>
            <w:vAlign w:val="center"/>
          </w:tcPr>
          <w:p w14:paraId="6EC98E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rPr>
              <w:t>4</w:t>
            </w:r>
          </w:p>
        </w:tc>
      </w:tr>
      <w:tr w14:paraId="6EB91A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01" w:hRule="atLeast"/>
          <w:jc w:val="center"/>
        </w:trPr>
        <w:tc>
          <w:tcPr>
            <w:tcW w:w="898" w:type="pct"/>
            <w:vAlign w:val="center"/>
          </w:tcPr>
          <w:p w14:paraId="4B587C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最终执行的限值</w:t>
            </w:r>
          </w:p>
        </w:tc>
        <w:tc>
          <w:tcPr>
            <w:tcW w:w="337" w:type="pct"/>
            <w:vAlign w:val="center"/>
          </w:tcPr>
          <w:p w14:paraId="1693274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6～9</w:t>
            </w:r>
          </w:p>
        </w:tc>
        <w:tc>
          <w:tcPr>
            <w:tcW w:w="357" w:type="pct"/>
            <w:vAlign w:val="center"/>
          </w:tcPr>
          <w:p w14:paraId="7459D4FA">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250</w:t>
            </w:r>
          </w:p>
        </w:tc>
        <w:tc>
          <w:tcPr>
            <w:tcW w:w="435" w:type="pct"/>
            <w:vAlign w:val="center"/>
          </w:tcPr>
          <w:p w14:paraId="674C179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300</w:t>
            </w:r>
          </w:p>
        </w:tc>
        <w:tc>
          <w:tcPr>
            <w:tcW w:w="436" w:type="pct"/>
            <w:tcBorders>
              <w:right w:val="single" w:color="auto" w:sz="4" w:space="0"/>
            </w:tcBorders>
            <w:vAlign w:val="center"/>
          </w:tcPr>
          <w:p w14:paraId="2E14CDA3">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130</w:t>
            </w:r>
          </w:p>
        </w:tc>
        <w:tc>
          <w:tcPr>
            <w:tcW w:w="436" w:type="pct"/>
            <w:tcBorders>
              <w:left w:val="single" w:color="auto" w:sz="4" w:space="0"/>
            </w:tcBorders>
            <w:vAlign w:val="center"/>
          </w:tcPr>
          <w:p w14:paraId="08AF254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25</w:t>
            </w:r>
          </w:p>
        </w:tc>
        <w:tc>
          <w:tcPr>
            <w:tcW w:w="434" w:type="pct"/>
            <w:tcBorders>
              <w:left w:val="single" w:color="auto" w:sz="4" w:space="0"/>
            </w:tcBorders>
            <w:vAlign w:val="center"/>
          </w:tcPr>
          <w:p w14:paraId="4ADD4ED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20</w:t>
            </w:r>
          </w:p>
        </w:tc>
        <w:tc>
          <w:tcPr>
            <w:tcW w:w="436" w:type="pct"/>
            <w:tcBorders>
              <w:left w:val="single" w:color="auto" w:sz="4" w:space="0"/>
            </w:tcBorders>
            <w:vAlign w:val="center"/>
          </w:tcPr>
          <w:p w14:paraId="6353476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20</w:t>
            </w:r>
          </w:p>
        </w:tc>
        <w:tc>
          <w:tcPr>
            <w:tcW w:w="436" w:type="pct"/>
            <w:tcBorders>
              <w:left w:val="single" w:color="auto" w:sz="4" w:space="0"/>
            </w:tcBorders>
            <w:vAlign w:val="center"/>
          </w:tcPr>
          <w:p w14:paraId="35EF9CF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0.5</w:t>
            </w:r>
          </w:p>
        </w:tc>
        <w:tc>
          <w:tcPr>
            <w:tcW w:w="395" w:type="pct"/>
            <w:tcBorders>
              <w:left w:val="single" w:color="auto" w:sz="4" w:space="0"/>
            </w:tcBorders>
            <w:vAlign w:val="center"/>
          </w:tcPr>
          <w:p w14:paraId="01808028">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0.5</w:t>
            </w:r>
          </w:p>
        </w:tc>
        <w:tc>
          <w:tcPr>
            <w:tcW w:w="395" w:type="pct"/>
            <w:tcBorders>
              <w:left w:val="single" w:color="auto" w:sz="4" w:space="0"/>
            </w:tcBorders>
            <w:vAlign w:val="center"/>
          </w:tcPr>
          <w:p w14:paraId="79B40C21">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4</w:t>
            </w:r>
          </w:p>
        </w:tc>
      </w:tr>
    </w:tbl>
    <w:p w14:paraId="472E162C">
      <w:pPr>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（3）噪声排放标准</w:t>
      </w:r>
    </w:p>
    <w:p w14:paraId="6E16883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施工期噪声执行《建筑施工场界环境噪声排放标准》（GB12523-2011），噪声限值见下表：</w:t>
      </w:r>
    </w:p>
    <w:p w14:paraId="7EEA49CC">
      <w:pPr>
        <w:spacing w:line="360" w:lineRule="auto"/>
        <w:ind w:firstLine="422" w:firstLineChars="200"/>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表2.4-1</w:t>
      </w:r>
      <w:r>
        <w:rPr>
          <w:rFonts w:hint="default" w:ascii="Times New Roman" w:hAnsi="Times New Roman" w:eastAsia="宋体" w:cs="Times New Roman"/>
          <w:b/>
          <w:szCs w:val="21"/>
          <w:lang w:val="en-US" w:eastAsia="zh-CN"/>
        </w:rPr>
        <w:t>2</w:t>
      </w:r>
      <w:r>
        <w:rPr>
          <w:rFonts w:hint="default" w:ascii="Times New Roman" w:hAnsi="Times New Roman" w:eastAsia="宋体" w:cs="Times New Roman"/>
          <w:b/>
          <w:szCs w:val="21"/>
        </w:rPr>
        <w:t xml:space="preserve"> 建筑施工场界环境噪声排放标准单位：（Leq[dB(A)]）</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997"/>
        <w:gridCol w:w="4525"/>
      </w:tblGrid>
      <w:tr w14:paraId="3CCBC8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345" w:type="pct"/>
            <w:vAlign w:val="center"/>
          </w:tcPr>
          <w:p w14:paraId="429DEA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昼间</w:t>
            </w:r>
          </w:p>
        </w:tc>
        <w:tc>
          <w:tcPr>
            <w:tcW w:w="2655" w:type="pct"/>
            <w:vAlign w:val="center"/>
          </w:tcPr>
          <w:p w14:paraId="5DB11B2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夜间</w:t>
            </w:r>
          </w:p>
        </w:tc>
      </w:tr>
      <w:tr w14:paraId="543B2F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exact"/>
          <w:jc w:val="center"/>
        </w:trPr>
        <w:tc>
          <w:tcPr>
            <w:tcW w:w="2345" w:type="pct"/>
            <w:vAlign w:val="center"/>
          </w:tcPr>
          <w:p w14:paraId="2E651F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2655" w:type="pct"/>
            <w:vAlign w:val="center"/>
          </w:tcPr>
          <w:p w14:paraId="0231D5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55</w:t>
            </w:r>
          </w:p>
        </w:tc>
      </w:tr>
    </w:tbl>
    <w:p w14:paraId="770F9C64">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color w:val="000000"/>
          <w:sz w:val="24"/>
        </w:rPr>
        <w:t>营运期</w:t>
      </w:r>
      <w:r>
        <w:rPr>
          <w:rFonts w:hint="default" w:ascii="Times New Roman" w:hAnsi="Times New Roman" w:eastAsia="宋体" w:cs="Times New Roman"/>
          <w:sz w:val="24"/>
        </w:rPr>
        <w:t>厂界噪声执行《工业企业厂界环境噪声排放标准》（GB12348-2008）中的3类标准。具体标准值见下表。</w:t>
      </w:r>
    </w:p>
    <w:p w14:paraId="563790BD">
      <w:pPr>
        <w:spacing w:line="360" w:lineRule="auto"/>
        <w:jc w:val="center"/>
        <w:rPr>
          <w:rFonts w:hint="default" w:ascii="Times New Roman" w:hAnsi="Times New Roman" w:eastAsia="宋体" w:cs="Times New Roman"/>
          <w:b/>
          <w:color w:val="000000"/>
          <w:szCs w:val="21"/>
        </w:rPr>
      </w:pPr>
      <w:r>
        <w:rPr>
          <w:rFonts w:hint="default" w:ascii="Times New Roman" w:hAnsi="Times New Roman" w:eastAsia="宋体" w:cs="Times New Roman"/>
          <w:b/>
          <w:color w:val="000000"/>
          <w:szCs w:val="21"/>
        </w:rPr>
        <w:t>表2.4-1</w:t>
      </w:r>
      <w:r>
        <w:rPr>
          <w:rFonts w:hint="default" w:ascii="Times New Roman" w:hAnsi="Times New Roman" w:eastAsia="宋体" w:cs="Times New Roman"/>
          <w:b/>
          <w:color w:val="000000"/>
          <w:szCs w:val="21"/>
          <w:lang w:val="en-US" w:eastAsia="zh-CN"/>
        </w:rPr>
        <w:t>3</w:t>
      </w:r>
      <w:r>
        <w:rPr>
          <w:rFonts w:hint="default" w:ascii="Times New Roman" w:hAnsi="Times New Roman" w:eastAsia="宋体" w:cs="Times New Roman"/>
          <w:b/>
          <w:color w:val="000000"/>
          <w:szCs w:val="21"/>
        </w:rPr>
        <w:t xml:space="preserve">  《工业企业厂界环境噪声排放标准》</w:t>
      </w:r>
      <w:r>
        <w:rPr>
          <w:rFonts w:hint="default" w:ascii="Times New Roman" w:hAnsi="Times New Roman" w:eastAsia="宋体" w:cs="Times New Roman"/>
          <w:b/>
          <w:szCs w:val="21"/>
        </w:rPr>
        <w:t>(摘录)</w:t>
      </w:r>
      <w:r>
        <w:rPr>
          <w:rFonts w:hint="default" w:ascii="Times New Roman" w:hAnsi="Times New Roman" w:eastAsia="宋体" w:cs="Times New Roman"/>
          <w:b/>
          <w:color w:val="000000"/>
          <w:szCs w:val="21"/>
        </w:rPr>
        <w:t xml:space="preserve">  单位：Leq  dB(A)</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4192"/>
        <w:gridCol w:w="2165"/>
        <w:gridCol w:w="2165"/>
      </w:tblGrid>
      <w:tr w14:paraId="693676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460" w:type="pct"/>
            <w:vAlign w:val="center"/>
          </w:tcPr>
          <w:p w14:paraId="361165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rPr>
              <w:t>厂界外声环境功能区类别</w:t>
            </w:r>
          </w:p>
        </w:tc>
        <w:tc>
          <w:tcPr>
            <w:tcW w:w="1270" w:type="pct"/>
            <w:vAlign w:val="center"/>
          </w:tcPr>
          <w:p w14:paraId="1FAC3B2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昼   间</w:t>
            </w:r>
          </w:p>
        </w:tc>
        <w:tc>
          <w:tcPr>
            <w:tcW w:w="1270" w:type="pct"/>
            <w:vAlign w:val="center"/>
          </w:tcPr>
          <w:p w14:paraId="7B7560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夜      间</w:t>
            </w:r>
          </w:p>
        </w:tc>
      </w:tr>
      <w:tr w14:paraId="422232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2460" w:type="pct"/>
            <w:vAlign w:val="center"/>
          </w:tcPr>
          <w:p w14:paraId="01224C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szCs w:val="21"/>
              </w:rPr>
              <w:t>3类</w:t>
            </w:r>
          </w:p>
        </w:tc>
        <w:tc>
          <w:tcPr>
            <w:tcW w:w="1270" w:type="pct"/>
            <w:vAlign w:val="center"/>
          </w:tcPr>
          <w:p w14:paraId="536120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rPr>
            </w:pPr>
            <w:r>
              <w:rPr>
                <w:rFonts w:hint="default" w:ascii="Times New Roman" w:hAnsi="Times New Roman" w:eastAsia="宋体" w:cs="Times New Roman"/>
                <w:bCs/>
              </w:rPr>
              <w:t>65</w:t>
            </w:r>
          </w:p>
        </w:tc>
        <w:tc>
          <w:tcPr>
            <w:tcW w:w="1270" w:type="pct"/>
            <w:vAlign w:val="center"/>
          </w:tcPr>
          <w:p w14:paraId="1BD371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rPr>
            </w:pPr>
            <w:r>
              <w:rPr>
                <w:rFonts w:hint="default" w:ascii="Times New Roman" w:hAnsi="Times New Roman" w:eastAsia="宋体" w:cs="Times New Roman"/>
                <w:bCs/>
              </w:rPr>
              <w:t>55</w:t>
            </w:r>
          </w:p>
        </w:tc>
      </w:tr>
    </w:tbl>
    <w:p w14:paraId="3D8F5483">
      <w:pPr>
        <w:spacing w:line="360" w:lineRule="auto"/>
        <w:ind w:firstLine="482" w:firstLineChars="200"/>
        <w:rPr>
          <w:rFonts w:hint="default" w:ascii="Times New Roman" w:hAnsi="Times New Roman" w:eastAsia="宋体" w:cs="Times New Roman"/>
          <w:b/>
          <w:sz w:val="24"/>
        </w:rPr>
      </w:pPr>
      <w:r>
        <w:rPr>
          <w:rFonts w:hint="default" w:ascii="Times New Roman" w:hAnsi="Times New Roman" w:eastAsia="宋体" w:cs="Times New Roman"/>
          <w:b/>
          <w:sz w:val="24"/>
        </w:rPr>
        <w:t>（4）固体废物</w:t>
      </w:r>
    </w:p>
    <w:p w14:paraId="57ACD3B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rPr>
        <w:t>一般工业固废执行《一般工业固体废弃物贮存和填埋污染控制标准》（GB18599-2020），</w:t>
      </w:r>
      <w:r>
        <w:rPr>
          <w:rFonts w:hint="default" w:ascii="Times New Roman" w:hAnsi="Times New Roman" w:eastAsia="宋体" w:cs="Times New Roman"/>
          <w:sz w:val="24"/>
          <w:szCs w:val="24"/>
        </w:rPr>
        <w:t>危险废物执行《危险废物贮存污染控制标准》（GB18597-2023）</w:t>
      </w:r>
      <w:r>
        <w:rPr>
          <w:rFonts w:hint="default" w:ascii="Times New Roman" w:hAnsi="Times New Roman" w:eastAsia="宋体" w:cs="Times New Roman"/>
          <w:sz w:val="24"/>
        </w:rPr>
        <w:t>。</w:t>
      </w:r>
    </w:p>
    <w:p w14:paraId="7CE1FFA0">
      <w:pPr>
        <w:pStyle w:val="3"/>
        <w:spacing w:before="0" w:after="0" w:line="360" w:lineRule="auto"/>
        <w:jc w:val="left"/>
        <w:rPr>
          <w:rFonts w:hint="default" w:ascii="Times New Roman" w:hAnsi="Times New Roman" w:eastAsia="宋体" w:cs="Times New Roman"/>
          <w:kern w:val="0"/>
          <w:sz w:val="30"/>
          <w:szCs w:val="28"/>
        </w:rPr>
      </w:pPr>
      <w:bookmarkStart w:id="191" w:name="_Toc208926339"/>
      <w:bookmarkStart w:id="192" w:name="_Toc3908029"/>
      <w:bookmarkStart w:id="193" w:name="_Toc1328327"/>
      <w:bookmarkStart w:id="194" w:name="_Toc9542"/>
      <w:bookmarkStart w:id="195" w:name="_Toc61361940"/>
      <w:bookmarkStart w:id="196" w:name="_Toc17024339"/>
      <w:bookmarkStart w:id="197" w:name="_Toc87016972"/>
      <w:bookmarkStart w:id="198" w:name="_Toc50968515"/>
      <w:bookmarkStart w:id="199" w:name="_Toc8400295"/>
      <w:bookmarkStart w:id="200" w:name="_Toc47447243"/>
      <w:bookmarkStart w:id="201" w:name="_Toc106961869"/>
      <w:bookmarkStart w:id="202" w:name="_Toc57726497"/>
      <w:bookmarkStart w:id="203" w:name="_Toc8898"/>
      <w:bookmarkStart w:id="204" w:name="_Toc123733074"/>
      <w:bookmarkStart w:id="205" w:name="_Toc23842887"/>
      <w:bookmarkStart w:id="206" w:name="_Toc39909207"/>
      <w:bookmarkStart w:id="207" w:name="_Toc67561710"/>
      <w:r>
        <w:rPr>
          <w:rFonts w:hint="default" w:ascii="Times New Roman" w:hAnsi="Times New Roman" w:eastAsia="宋体" w:cs="Times New Roman"/>
          <w:kern w:val="0"/>
          <w:sz w:val="30"/>
          <w:szCs w:val="28"/>
        </w:rPr>
        <w:t>2.5环境影响因素识别和评价因子</w:t>
      </w:r>
      <w:bookmarkEnd w:id="191"/>
      <w:bookmarkEnd w:id="192"/>
      <w:bookmarkEnd w:id="193"/>
      <w:bookmarkEnd w:id="194"/>
      <w:r>
        <w:rPr>
          <w:rFonts w:hint="default" w:ascii="Times New Roman" w:hAnsi="Times New Roman" w:eastAsia="宋体" w:cs="Times New Roman"/>
          <w:kern w:val="0"/>
          <w:sz w:val="30"/>
          <w:szCs w:val="28"/>
        </w:rPr>
        <w:t>筛选</w:t>
      </w:r>
      <w:bookmarkEnd w:id="195"/>
      <w:bookmarkEnd w:id="196"/>
      <w:bookmarkEnd w:id="197"/>
      <w:bookmarkEnd w:id="198"/>
      <w:bookmarkEnd w:id="199"/>
      <w:bookmarkEnd w:id="200"/>
      <w:bookmarkEnd w:id="201"/>
      <w:bookmarkEnd w:id="202"/>
      <w:bookmarkEnd w:id="203"/>
      <w:bookmarkEnd w:id="204"/>
      <w:bookmarkEnd w:id="205"/>
      <w:bookmarkEnd w:id="206"/>
      <w:bookmarkEnd w:id="207"/>
    </w:p>
    <w:p w14:paraId="5CEBD0E5">
      <w:pPr>
        <w:pStyle w:val="4"/>
        <w:tabs>
          <w:tab w:val="left" w:pos="900"/>
        </w:tabs>
        <w:spacing w:before="0" w:after="0" w:line="360" w:lineRule="auto"/>
        <w:rPr>
          <w:rFonts w:hint="default" w:ascii="Times New Roman" w:hAnsi="Times New Roman" w:eastAsia="宋体" w:cs="Times New Roman"/>
          <w:sz w:val="28"/>
          <w:szCs w:val="21"/>
        </w:rPr>
      </w:pPr>
      <w:r>
        <w:rPr>
          <w:rFonts w:hint="default" w:ascii="Times New Roman" w:hAnsi="Times New Roman" w:eastAsia="宋体" w:cs="Times New Roman"/>
          <w:sz w:val="28"/>
          <w:szCs w:val="21"/>
        </w:rPr>
        <w:t>2.5.1环境影响因素识别</w:t>
      </w:r>
    </w:p>
    <w:p w14:paraId="0A25410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施工期主要活动包括：土石方工程、打桩、建构筑物施工、安装工程施工、材料和设备运输、建筑物料堆存等。运营期主要活动包括：各类废弃包装容器的再生利用生产工序和公辅工程等运行过程中“三废、一噪”排放等。</w:t>
      </w:r>
    </w:p>
    <w:p w14:paraId="5A03C42F">
      <w:pPr>
        <w:autoSpaceDE w:val="0"/>
        <w:autoSpaceDN w:val="0"/>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评价结合项目各评价时段主要活动、区域环境特征，对本项目涉及的环境要素可能造成的影响进行识别，识别结果见表2.5-1。</w:t>
      </w:r>
    </w:p>
    <w:p w14:paraId="452C1CEE">
      <w:pPr>
        <w:pStyle w:val="67"/>
        <w:adjustRightInd/>
        <w:spacing w:line="360" w:lineRule="auto"/>
        <w:ind w:firstLine="480"/>
        <w:rPr>
          <w:rFonts w:hint="default" w:ascii="Times New Roman" w:hAnsi="Times New Roman" w:eastAsia="宋体" w:cs="Times New Roman"/>
          <w:sz w:val="21"/>
        </w:rPr>
      </w:pPr>
      <w:r>
        <w:rPr>
          <w:rFonts w:hint="default" w:ascii="Times New Roman" w:hAnsi="Times New Roman" w:eastAsia="宋体" w:cs="Times New Roman"/>
          <w:sz w:val="21"/>
        </w:rPr>
        <w:t>表</w:t>
      </w:r>
      <w:r>
        <w:rPr>
          <w:rFonts w:hint="default" w:ascii="Times New Roman" w:hAnsi="Times New Roman" w:eastAsia="宋体" w:cs="Times New Roman"/>
          <w:sz w:val="21"/>
          <w:lang w:val="en-US" w:eastAsia="zh-CN"/>
        </w:rPr>
        <w:t>2.5</w:t>
      </w:r>
      <w:r>
        <w:rPr>
          <w:rFonts w:hint="default" w:ascii="Times New Roman" w:hAnsi="Times New Roman" w:eastAsia="宋体" w:cs="Times New Roman"/>
          <w:sz w:val="21"/>
        </w:rPr>
        <w:noBreakHyphen/>
      </w:r>
      <w:r>
        <w:rPr>
          <w:rFonts w:hint="default" w:ascii="Times New Roman" w:hAnsi="Times New Roman" w:eastAsia="宋体" w:cs="Times New Roman"/>
          <w:sz w:val="21"/>
        </w:rPr>
        <w:t>1 环境影响的识别</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900"/>
        <w:gridCol w:w="348"/>
        <w:gridCol w:w="348"/>
        <w:gridCol w:w="348"/>
        <w:gridCol w:w="348"/>
        <w:gridCol w:w="348"/>
        <w:gridCol w:w="348"/>
        <w:gridCol w:w="348"/>
        <w:gridCol w:w="348"/>
        <w:gridCol w:w="348"/>
        <w:gridCol w:w="353"/>
        <w:gridCol w:w="348"/>
        <w:gridCol w:w="348"/>
        <w:gridCol w:w="349"/>
        <w:gridCol w:w="349"/>
        <w:gridCol w:w="349"/>
        <w:gridCol w:w="361"/>
        <w:gridCol w:w="349"/>
        <w:gridCol w:w="349"/>
        <w:gridCol w:w="349"/>
        <w:gridCol w:w="343"/>
      </w:tblGrid>
      <w:tr w14:paraId="7A2388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74" w:type="pct"/>
            <w:vMerge w:val="restart"/>
            <w:shd w:val="clear" w:color="auto" w:fill="auto"/>
            <w:noWrap/>
            <w:tcMar>
              <w:top w:w="0" w:type="dxa"/>
              <w:left w:w="0" w:type="dxa"/>
              <w:bottom w:w="0" w:type="dxa"/>
              <w:right w:w="0" w:type="dxa"/>
            </w:tcMar>
            <w:vAlign w:val="center"/>
          </w:tcPr>
          <w:p w14:paraId="06AF64AB">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评价</w:t>
            </w:r>
          </w:p>
          <w:p w14:paraId="41498F7F">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时段</w:t>
            </w:r>
          </w:p>
        </w:tc>
        <w:tc>
          <w:tcPr>
            <w:tcW w:w="540" w:type="pct"/>
            <w:vMerge w:val="restart"/>
            <w:shd w:val="clear" w:color="auto" w:fill="auto"/>
            <w:noWrap/>
            <w:tcMar>
              <w:top w:w="0" w:type="dxa"/>
              <w:left w:w="0" w:type="dxa"/>
              <w:bottom w:w="0" w:type="dxa"/>
              <w:right w:w="0" w:type="dxa"/>
            </w:tcMar>
            <w:vAlign w:val="center"/>
          </w:tcPr>
          <w:p w14:paraId="7E6D1FE1">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建设</w:t>
            </w:r>
          </w:p>
          <w:p w14:paraId="2C95BA6D">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生产</w:t>
            </w:r>
          </w:p>
          <w:p w14:paraId="00BF9D96">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活动</w:t>
            </w:r>
          </w:p>
        </w:tc>
        <w:tc>
          <w:tcPr>
            <w:tcW w:w="4187" w:type="pct"/>
            <w:gridSpan w:val="20"/>
            <w:shd w:val="clear" w:color="auto" w:fill="auto"/>
            <w:noWrap/>
            <w:tcMar>
              <w:top w:w="0" w:type="dxa"/>
              <w:left w:w="0" w:type="dxa"/>
              <w:bottom w:w="0" w:type="dxa"/>
              <w:right w:w="0" w:type="dxa"/>
            </w:tcMar>
            <w:vAlign w:val="center"/>
          </w:tcPr>
          <w:p w14:paraId="3C773956">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可能受到环境影响的领域(环境受体)</w:t>
            </w:r>
          </w:p>
        </w:tc>
      </w:tr>
      <w:tr w14:paraId="37111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auto"/>
            <w:vAlign w:val="center"/>
          </w:tcPr>
          <w:p w14:paraId="1AF75B90">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p>
        </w:tc>
        <w:tc>
          <w:tcPr>
            <w:tcW w:w="0" w:type="auto"/>
            <w:vMerge w:val="continue"/>
            <w:shd w:val="clear" w:color="auto" w:fill="auto"/>
            <w:tcMar>
              <w:left w:w="0" w:type="dxa"/>
              <w:right w:w="0" w:type="dxa"/>
            </w:tcMar>
            <w:vAlign w:val="center"/>
          </w:tcPr>
          <w:p w14:paraId="757AD788">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p>
        </w:tc>
        <w:tc>
          <w:tcPr>
            <w:tcW w:w="1044" w:type="pct"/>
            <w:gridSpan w:val="5"/>
            <w:shd w:val="clear" w:color="auto" w:fill="auto"/>
            <w:noWrap/>
            <w:tcMar>
              <w:top w:w="0" w:type="dxa"/>
              <w:left w:w="0" w:type="dxa"/>
              <w:bottom w:w="0" w:type="dxa"/>
              <w:right w:w="0" w:type="dxa"/>
            </w:tcMar>
            <w:vAlign w:val="center"/>
          </w:tcPr>
          <w:p w14:paraId="2BDC2E1F">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自然环境</w:t>
            </w:r>
          </w:p>
        </w:tc>
        <w:tc>
          <w:tcPr>
            <w:tcW w:w="1048" w:type="pct"/>
            <w:gridSpan w:val="5"/>
            <w:shd w:val="clear" w:color="auto" w:fill="auto"/>
            <w:noWrap/>
            <w:tcMar>
              <w:left w:w="0" w:type="dxa"/>
              <w:right w:w="0" w:type="dxa"/>
            </w:tcMar>
            <w:vAlign w:val="center"/>
          </w:tcPr>
          <w:p w14:paraId="1406AD2A">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环境质量</w:t>
            </w:r>
          </w:p>
        </w:tc>
        <w:tc>
          <w:tcPr>
            <w:tcW w:w="1261" w:type="pct"/>
            <w:gridSpan w:val="6"/>
            <w:shd w:val="clear" w:color="auto" w:fill="auto"/>
            <w:noWrap/>
            <w:tcMar>
              <w:left w:w="0" w:type="dxa"/>
              <w:right w:w="0" w:type="dxa"/>
            </w:tcMar>
            <w:vAlign w:val="center"/>
          </w:tcPr>
          <w:p w14:paraId="2CA16B94">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生态环境</w:t>
            </w:r>
          </w:p>
        </w:tc>
        <w:tc>
          <w:tcPr>
            <w:tcW w:w="834" w:type="pct"/>
            <w:gridSpan w:val="4"/>
            <w:shd w:val="clear" w:color="auto" w:fill="auto"/>
            <w:noWrap/>
            <w:tcMar>
              <w:left w:w="0" w:type="dxa"/>
              <w:right w:w="0" w:type="dxa"/>
            </w:tcMar>
            <w:vAlign w:val="center"/>
          </w:tcPr>
          <w:p w14:paraId="6A26E1F9">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其它</w:t>
            </w:r>
          </w:p>
        </w:tc>
      </w:tr>
      <w:tr w14:paraId="36662C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019" w:hRule="atLeast"/>
          <w:jc w:val="center"/>
        </w:trPr>
        <w:tc>
          <w:tcPr>
            <w:tcW w:w="0" w:type="auto"/>
            <w:vMerge w:val="continue"/>
            <w:shd w:val="clear" w:color="auto" w:fill="auto"/>
            <w:vAlign w:val="center"/>
          </w:tcPr>
          <w:p w14:paraId="57FA3CA4">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p>
        </w:tc>
        <w:tc>
          <w:tcPr>
            <w:tcW w:w="0" w:type="auto"/>
            <w:vMerge w:val="continue"/>
            <w:shd w:val="clear" w:color="auto" w:fill="auto"/>
            <w:tcMar>
              <w:left w:w="0" w:type="dxa"/>
              <w:right w:w="0" w:type="dxa"/>
            </w:tcMar>
            <w:vAlign w:val="center"/>
          </w:tcPr>
          <w:p w14:paraId="2355880B">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p>
        </w:tc>
        <w:tc>
          <w:tcPr>
            <w:tcW w:w="209" w:type="pct"/>
            <w:shd w:val="clear" w:color="auto" w:fill="auto"/>
            <w:noWrap/>
            <w:tcMar>
              <w:top w:w="0" w:type="dxa"/>
              <w:left w:w="0" w:type="dxa"/>
              <w:bottom w:w="0" w:type="dxa"/>
              <w:right w:w="0" w:type="dxa"/>
            </w:tcMar>
            <w:textDirection w:val="tbRlV"/>
            <w:vAlign w:val="center"/>
          </w:tcPr>
          <w:p w14:paraId="1BB6180F">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地形地貌</w:t>
            </w:r>
          </w:p>
        </w:tc>
        <w:tc>
          <w:tcPr>
            <w:tcW w:w="209" w:type="pct"/>
            <w:shd w:val="clear" w:color="auto" w:fill="auto"/>
            <w:noWrap/>
            <w:tcMar>
              <w:left w:w="0" w:type="dxa"/>
              <w:right w:w="0" w:type="dxa"/>
            </w:tcMar>
            <w:textDirection w:val="tbRlV"/>
            <w:vAlign w:val="center"/>
          </w:tcPr>
          <w:p w14:paraId="2B734662">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气候气象</w:t>
            </w:r>
          </w:p>
        </w:tc>
        <w:tc>
          <w:tcPr>
            <w:tcW w:w="209" w:type="pct"/>
            <w:shd w:val="clear" w:color="auto" w:fill="auto"/>
            <w:noWrap/>
            <w:tcMar>
              <w:left w:w="0" w:type="dxa"/>
              <w:right w:w="0" w:type="dxa"/>
            </w:tcMar>
            <w:textDirection w:val="tbRlV"/>
            <w:vAlign w:val="center"/>
          </w:tcPr>
          <w:p w14:paraId="7AED5F3B">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河流水系</w:t>
            </w:r>
          </w:p>
        </w:tc>
        <w:tc>
          <w:tcPr>
            <w:tcW w:w="209" w:type="pct"/>
            <w:shd w:val="clear" w:color="auto" w:fill="auto"/>
            <w:noWrap/>
            <w:tcMar>
              <w:left w:w="0" w:type="dxa"/>
              <w:right w:w="0" w:type="dxa"/>
            </w:tcMar>
            <w:textDirection w:val="tbRlV"/>
            <w:vAlign w:val="center"/>
          </w:tcPr>
          <w:p w14:paraId="6F88C755">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水文地质</w:t>
            </w:r>
          </w:p>
        </w:tc>
        <w:tc>
          <w:tcPr>
            <w:tcW w:w="209" w:type="pct"/>
            <w:shd w:val="clear" w:color="auto" w:fill="auto"/>
            <w:noWrap/>
            <w:tcMar>
              <w:left w:w="0" w:type="dxa"/>
              <w:right w:w="0" w:type="dxa"/>
            </w:tcMar>
            <w:textDirection w:val="tbRlV"/>
            <w:vAlign w:val="center"/>
          </w:tcPr>
          <w:p w14:paraId="203967AB">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土壤类型</w:t>
            </w:r>
          </w:p>
        </w:tc>
        <w:tc>
          <w:tcPr>
            <w:tcW w:w="209" w:type="pct"/>
            <w:shd w:val="clear" w:color="auto" w:fill="auto"/>
            <w:noWrap/>
            <w:tcMar>
              <w:left w:w="0" w:type="dxa"/>
              <w:right w:w="0" w:type="dxa"/>
            </w:tcMar>
            <w:textDirection w:val="tbRlV"/>
            <w:vAlign w:val="center"/>
          </w:tcPr>
          <w:p w14:paraId="25624999">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环境空气</w:t>
            </w:r>
          </w:p>
        </w:tc>
        <w:tc>
          <w:tcPr>
            <w:tcW w:w="209" w:type="pct"/>
            <w:shd w:val="clear" w:color="auto" w:fill="auto"/>
            <w:noWrap/>
            <w:tcMar>
              <w:left w:w="0" w:type="dxa"/>
              <w:right w:w="0" w:type="dxa"/>
            </w:tcMar>
            <w:textDirection w:val="tbRlV"/>
            <w:vAlign w:val="center"/>
          </w:tcPr>
          <w:p w14:paraId="2F721462">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地表水</w:t>
            </w:r>
          </w:p>
        </w:tc>
        <w:tc>
          <w:tcPr>
            <w:tcW w:w="209" w:type="pct"/>
            <w:shd w:val="clear" w:color="auto" w:fill="auto"/>
            <w:noWrap/>
            <w:tcMar>
              <w:left w:w="0" w:type="dxa"/>
              <w:right w:w="0" w:type="dxa"/>
            </w:tcMar>
            <w:textDirection w:val="tbRlV"/>
            <w:vAlign w:val="center"/>
          </w:tcPr>
          <w:p w14:paraId="3FFFDCA7">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地下水</w:t>
            </w:r>
          </w:p>
        </w:tc>
        <w:tc>
          <w:tcPr>
            <w:tcW w:w="209" w:type="pct"/>
            <w:shd w:val="clear" w:color="auto" w:fill="auto"/>
            <w:noWrap/>
            <w:tcMar>
              <w:left w:w="0" w:type="dxa"/>
              <w:right w:w="0" w:type="dxa"/>
            </w:tcMar>
            <w:textDirection w:val="tbRlV"/>
            <w:vAlign w:val="center"/>
          </w:tcPr>
          <w:p w14:paraId="5D0E893C">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声环境</w:t>
            </w:r>
          </w:p>
        </w:tc>
        <w:tc>
          <w:tcPr>
            <w:tcW w:w="212" w:type="pct"/>
            <w:shd w:val="clear" w:color="auto" w:fill="auto"/>
            <w:noWrap/>
            <w:tcMar>
              <w:left w:w="0" w:type="dxa"/>
              <w:right w:w="0" w:type="dxa"/>
            </w:tcMar>
            <w:textDirection w:val="tbRlV"/>
            <w:vAlign w:val="center"/>
          </w:tcPr>
          <w:p w14:paraId="639A02D8">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土壤环境</w:t>
            </w:r>
          </w:p>
        </w:tc>
        <w:tc>
          <w:tcPr>
            <w:tcW w:w="209" w:type="pct"/>
            <w:shd w:val="clear" w:color="auto" w:fill="auto"/>
            <w:noWrap/>
            <w:tcMar>
              <w:left w:w="0" w:type="dxa"/>
              <w:right w:w="0" w:type="dxa"/>
            </w:tcMar>
            <w:textDirection w:val="tbRlV"/>
            <w:vAlign w:val="center"/>
          </w:tcPr>
          <w:p w14:paraId="408FD847">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生态系统</w:t>
            </w:r>
          </w:p>
        </w:tc>
        <w:tc>
          <w:tcPr>
            <w:tcW w:w="209" w:type="pct"/>
            <w:shd w:val="clear" w:color="auto" w:fill="auto"/>
            <w:noWrap/>
            <w:tcMar>
              <w:left w:w="0" w:type="dxa"/>
              <w:right w:w="0" w:type="dxa"/>
            </w:tcMar>
            <w:textDirection w:val="tbRlV"/>
            <w:vAlign w:val="center"/>
          </w:tcPr>
          <w:p w14:paraId="66EC5DC2">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植被类型</w:t>
            </w:r>
          </w:p>
        </w:tc>
        <w:tc>
          <w:tcPr>
            <w:tcW w:w="209" w:type="pct"/>
            <w:shd w:val="clear" w:color="auto" w:fill="auto"/>
            <w:noWrap/>
            <w:tcMar>
              <w:left w:w="0" w:type="dxa"/>
              <w:right w:w="0" w:type="dxa"/>
            </w:tcMar>
            <w:textDirection w:val="tbRlV"/>
            <w:vAlign w:val="center"/>
          </w:tcPr>
          <w:p w14:paraId="7D3036F1">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植物物种</w:t>
            </w:r>
          </w:p>
        </w:tc>
        <w:tc>
          <w:tcPr>
            <w:tcW w:w="209" w:type="pct"/>
            <w:shd w:val="clear" w:color="auto" w:fill="auto"/>
            <w:noWrap/>
            <w:tcMar>
              <w:left w:w="0" w:type="dxa"/>
              <w:right w:w="0" w:type="dxa"/>
            </w:tcMar>
            <w:textDirection w:val="tbRlV"/>
            <w:vAlign w:val="center"/>
          </w:tcPr>
          <w:p w14:paraId="57758B52">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水土流失</w:t>
            </w:r>
          </w:p>
        </w:tc>
        <w:tc>
          <w:tcPr>
            <w:tcW w:w="209" w:type="pct"/>
            <w:shd w:val="clear" w:color="auto" w:fill="auto"/>
            <w:noWrap/>
            <w:tcMar>
              <w:left w:w="0" w:type="dxa"/>
              <w:right w:w="0" w:type="dxa"/>
            </w:tcMar>
            <w:textDirection w:val="tbRlV"/>
            <w:vAlign w:val="center"/>
          </w:tcPr>
          <w:p w14:paraId="6B4C0EEE">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野生动物</w:t>
            </w:r>
          </w:p>
        </w:tc>
        <w:tc>
          <w:tcPr>
            <w:tcW w:w="215" w:type="pct"/>
            <w:shd w:val="clear" w:color="auto" w:fill="auto"/>
            <w:noWrap/>
            <w:tcMar>
              <w:left w:w="0" w:type="dxa"/>
              <w:right w:w="0" w:type="dxa"/>
            </w:tcMar>
            <w:textDirection w:val="tbRlV"/>
            <w:vAlign w:val="center"/>
          </w:tcPr>
          <w:p w14:paraId="7EE000DB">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水生生物</w:t>
            </w:r>
          </w:p>
        </w:tc>
        <w:tc>
          <w:tcPr>
            <w:tcW w:w="209" w:type="pct"/>
            <w:shd w:val="clear" w:color="auto" w:fill="auto"/>
            <w:noWrap/>
            <w:tcMar>
              <w:left w:w="0" w:type="dxa"/>
              <w:right w:w="0" w:type="dxa"/>
            </w:tcMar>
            <w:textDirection w:val="tbRlV"/>
            <w:vAlign w:val="center"/>
          </w:tcPr>
          <w:p w14:paraId="7EF0DBE0">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生活环境</w:t>
            </w:r>
          </w:p>
        </w:tc>
        <w:tc>
          <w:tcPr>
            <w:tcW w:w="209" w:type="pct"/>
            <w:shd w:val="clear" w:color="auto" w:fill="auto"/>
            <w:noWrap/>
            <w:tcMar>
              <w:left w:w="0" w:type="dxa"/>
              <w:right w:w="0" w:type="dxa"/>
            </w:tcMar>
            <w:textDirection w:val="tbRlV"/>
            <w:vAlign w:val="center"/>
          </w:tcPr>
          <w:p w14:paraId="46CB7E72">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供水用水</w:t>
            </w:r>
          </w:p>
        </w:tc>
        <w:tc>
          <w:tcPr>
            <w:tcW w:w="209" w:type="pct"/>
            <w:shd w:val="clear" w:color="auto" w:fill="auto"/>
            <w:noWrap/>
            <w:tcMar>
              <w:left w:w="0" w:type="dxa"/>
              <w:right w:w="0" w:type="dxa"/>
            </w:tcMar>
            <w:textDirection w:val="tbRlV"/>
            <w:vAlign w:val="center"/>
          </w:tcPr>
          <w:p w14:paraId="42C67149">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人车出行</w:t>
            </w:r>
          </w:p>
        </w:tc>
        <w:tc>
          <w:tcPr>
            <w:tcW w:w="206" w:type="pct"/>
            <w:shd w:val="clear" w:color="auto" w:fill="auto"/>
            <w:noWrap/>
            <w:tcMar>
              <w:left w:w="0" w:type="dxa"/>
              <w:right w:w="0" w:type="dxa"/>
            </w:tcMar>
            <w:textDirection w:val="tbRlV"/>
            <w:vAlign w:val="center"/>
          </w:tcPr>
          <w:p w14:paraId="468CB19D">
            <w:pPr>
              <w:pStyle w:val="66"/>
              <w:keepNext w:val="0"/>
              <w:keepLines w:val="0"/>
              <w:suppressLineNumbers w:val="0"/>
              <w:spacing w:before="0" w:beforeAutospacing="0" w:after="0" w:afterAutospacing="0"/>
              <w:ind w:left="0" w:right="0"/>
              <w:rPr>
                <w:rFonts w:hint="default" w:ascii="Times New Roman" w:hAnsi="Times New Roman" w:eastAsia="宋体" w:cs="Times New Roman"/>
                <w:b/>
              </w:rPr>
            </w:pPr>
            <w:r>
              <w:rPr>
                <w:rFonts w:hint="default" w:ascii="Times New Roman" w:hAnsi="Times New Roman" w:eastAsia="宋体" w:cs="Times New Roman"/>
                <w:b/>
              </w:rPr>
              <w:t>文物保护</w:t>
            </w:r>
          </w:p>
        </w:tc>
      </w:tr>
      <w:tr w14:paraId="64E215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74" w:type="pct"/>
            <w:vMerge w:val="restart"/>
            <w:shd w:val="clear" w:color="auto" w:fill="auto"/>
            <w:noWrap/>
            <w:tcMar>
              <w:top w:w="0" w:type="dxa"/>
              <w:left w:w="0" w:type="dxa"/>
              <w:bottom w:w="0" w:type="dxa"/>
              <w:right w:w="0" w:type="dxa"/>
            </w:tcMar>
            <w:vAlign w:val="center"/>
          </w:tcPr>
          <w:p w14:paraId="0A8E5B20">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施</w:t>
            </w:r>
          </w:p>
          <w:p w14:paraId="6F1D66F1">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工</w:t>
            </w:r>
          </w:p>
          <w:p w14:paraId="5B49A24C">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期</w:t>
            </w:r>
          </w:p>
        </w:tc>
        <w:tc>
          <w:tcPr>
            <w:tcW w:w="540" w:type="pct"/>
            <w:shd w:val="clear" w:color="auto" w:fill="auto"/>
            <w:noWrap/>
            <w:tcMar>
              <w:top w:w="0" w:type="dxa"/>
              <w:left w:w="0" w:type="dxa"/>
              <w:bottom w:w="0" w:type="dxa"/>
              <w:right w:w="0" w:type="dxa"/>
            </w:tcMar>
            <w:vAlign w:val="center"/>
          </w:tcPr>
          <w:p w14:paraId="198C355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场地清理</w:t>
            </w:r>
          </w:p>
        </w:tc>
        <w:tc>
          <w:tcPr>
            <w:tcW w:w="209" w:type="pct"/>
            <w:shd w:val="clear" w:color="auto" w:fill="auto"/>
            <w:noWrap/>
            <w:tcMar>
              <w:top w:w="0" w:type="dxa"/>
              <w:left w:w="0" w:type="dxa"/>
              <w:bottom w:w="0" w:type="dxa"/>
              <w:right w:w="0" w:type="dxa"/>
            </w:tcMar>
            <w:vAlign w:val="center"/>
          </w:tcPr>
          <w:p w14:paraId="51BA43F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3202638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D0BD4C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187EF4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D61F7E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B990D5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6664B23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B94E9A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922022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12" w:type="pct"/>
            <w:shd w:val="clear" w:color="auto" w:fill="auto"/>
            <w:noWrap/>
            <w:tcMar>
              <w:top w:w="0" w:type="dxa"/>
              <w:left w:w="0" w:type="dxa"/>
              <w:bottom w:w="0" w:type="dxa"/>
              <w:right w:w="0" w:type="dxa"/>
            </w:tcMar>
            <w:vAlign w:val="center"/>
          </w:tcPr>
          <w:p w14:paraId="0D3F76E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2E07AB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6550E9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A75CC3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101E633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6B3598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-2</w:t>
            </w:r>
          </w:p>
        </w:tc>
        <w:tc>
          <w:tcPr>
            <w:tcW w:w="215" w:type="pct"/>
            <w:shd w:val="clear" w:color="auto" w:fill="auto"/>
            <w:noWrap/>
            <w:tcMar>
              <w:top w:w="0" w:type="dxa"/>
              <w:left w:w="0" w:type="dxa"/>
              <w:bottom w:w="0" w:type="dxa"/>
              <w:right w:w="0" w:type="dxa"/>
            </w:tcMar>
            <w:vAlign w:val="center"/>
          </w:tcPr>
          <w:p w14:paraId="58F453D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306C050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43FC5C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F71925F">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6394D2E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r w14:paraId="2041F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auto"/>
            <w:vAlign w:val="center"/>
          </w:tcPr>
          <w:p w14:paraId="22F74D20">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40" w:type="pct"/>
            <w:shd w:val="clear" w:color="auto" w:fill="auto"/>
            <w:noWrap/>
            <w:tcMar>
              <w:top w:w="0" w:type="dxa"/>
              <w:left w:w="0" w:type="dxa"/>
              <w:bottom w:w="0" w:type="dxa"/>
              <w:right w:w="0" w:type="dxa"/>
            </w:tcMar>
            <w:vAlign w:val="center"/>
          </w:tcPr>
          <w:p w14:paraId="2CFDEA4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基础工程</w:t>
            </w:r>
          </w:p>
        </w:tc>
        <w:tc>
          <w:tcPr>
            <w:tcW w:w="209" w:type="pct"/>
            <w:shd w:val="clear" w:color="auto" w:fill="auto"/>
            <w:noWrap/>
            <w:tcMar>
              <w:top w:w="0" w:type="dxa"/>
              <w:left w:w="0" w:type="dxa"/>
              <w:bottom w:w="0" w:type="dxa"/>
              <w:right w:w="0" w:type="dxa"/>
            </w:tcMar>
            <w:vAlign w:val="center"/>
          </w:tcPr>
          <w:p w14:paraId="27DA1BA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A0D261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F2519B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814BEF5">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AE5896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9DC877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888138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0B377C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35CF18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12" w:type="pct"/>
            <w:shd w:val="clear" w:color="auto" w:fill="auto"/>
            <w:noWrap/>
            <w:tcMar>
              <w:top w:w="0" w:type="dxa"/>
              <w:left w:w="0" w:type="dxa"/>
              <w:bottom w:w="0" w:type="dxa"/>
              <w:right w:w="0" w:type="dxa"/>
            </w:tcMar>
            <w:vAlign w:val="center"/>
          </w:tcPr>
          <w:p w14:paraId="71E5C86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0DC9CA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D072005">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F51A97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857699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5003B6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5" w:type="pct"/>
            <w:shd w:val="clear" w:color="auto" w:fill="auto"/>
            <w:noWrap/>
            <w:tcMar>
              <w:top w:w="0" w:type="dxa"/>
              <w:left w:w="0" w:type="dxa"/>
              <w:bottom w:w="0" w:type="dxa"/>
              <w:right w:w="0" w:type="dxa"/>
            </w:tcMar>
            <w:vAlign w:val="center"/>
          </w:tcPr>
          <w:p w14:paraId="78ECC25F">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1BC33E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C3406E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08B91A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4AB1F3F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r w14:paraId="426D8B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auto"/>
            <w:vAlign w:val="center"/>
          </w:tcPr>
          <w:p w14:paraId="67C08B91">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40" w:type="pct"/>
            <w:shd w:val="clear" w:color="auto" w:fill="auto"/>
            <w:noWrap/>
            <w:tcMar>
              <w:top w:w="0" w:type="dxa"/>
              <w:left w:w="0" w:type="dxa"/>
              <w:bottom w:w="0" w:type="dxa"/>
              <w:right w:w="0" w:type="dxa"/>
            </w:tcMar>
            <w:vAlign w:val="center"/>
          </w:tcPr>
          <w:p w14:paraId="6F6B754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建筑施工</w:t>
            </w:r>
          </w:p>
        </w:tc>
        <w:tc>
          <w:tcPr>
            <w:tcW w:w="209" w:type="pct"/>
            <w:shd w:val="clear" w:color="auto" w:fill="auto"/>
            <w:noWrap/>
            <w:tcMar>
              <w:top w:w="0" w:type="dxa"/>
              <w:left w:w="0" w:type="dxa"/>
              <w:bottom w:w="0" w:type="dxa"/>
              <w:right w:w="0" w:type="dxa"/>
            </w:tcMar>
            <w:vAlign w:val="center"/>
          </w:tcPr>
          <w:p w14:paraId="1CFFD90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50D210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0F6899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E4999C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1EDC71A">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5BC718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6DB2843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AF63AC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189DA6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2" w:type="pct"/>
            <w:shd w:val="clear" w:color="auto" w:fill="auto"/>
            <w:noWrap/>
            <w:tcMar>
              <w:top w:w="0" w:type="dxa"/>
              <w:left w:w="0" w:type="dxa"/>
              <w:bottom w:w="0" w:type="dxa"/>
              <w:right w:w="0" w:type="dxa"/>
            </w:tcMar>
            <w:vAlign w:val="center"/>
          </w:tcPr>
          <w:p w14:paraId="52AE34A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54CEB7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4A48765">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25BB9F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4DD2E1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68F7C5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5" w:type="pct"/>
            <w:shd w:val="clear" w:color="auto" w:fill="auto"/>
            <w:noWrap/>
            <w:tcMar>
              <w:top w:w="0" w:type="dxa"/>
              <w:left w:w="0" w:type="dxa"/>
              <w:bottom w:w="0" w:type="dxa"/>
              <w:right w:w="0" w:type="dxa"/>
            </w:tcMar>
            <w:vAlign w:val="center"/>
          </w:tcPr>
          <w:p w14:paraId="474944EA">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3FAA94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B177B3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2EC792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3B8D65EA">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r w14:paraId="498F8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auto"/>
            <w:vAlign w:val="center"/>
          </w:tcPr>
          <w:p w14:paraId="62307E6C">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40" w:type="pct"/>
            <w:shd w:val="clear" w:color="auto" w:fill="auto"/>
            <w:noWrap/>
            <w:tcMar>
              <w:top w:w="0" w:type="dxa"/>
              <w:left w:w="0" w:type="dxa"/>
              <w:bottom w:w="0" w:type="dxa"/>
              <w:right w:w="0" w:type="dxa"/>
            </w:tcMar>
            <w:vAlign w:val="center"/>
          </w:tcPr>
          <w:p w14:paraId="5985CAC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安装施工</w:t>
            </w:r>
          </w:p>
        </w:tc>
        <w:tc>
          <w:tcPr>
            <w:tcW w:w="209" w:type="pct"/>
            <w:shd w:val="clear" w:color="auto" w:fill="auto"/>
            <w:noWrap/>
            <w:tcMar>
              <w:top w:w="0" w:type="dxa"/>
              <w:left w:w="0" w:type="dxa"/>
              <w:bottom w:w="0" w:type="dxa"/>
              <w:right w:w="0" w:type="dxa"/>
            </w:tcMar>
            <w:vAlign w:val="center"/>
          </w:tcPr>
          <w:p w14:paraId="4E0A685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299131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6FC0A9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02A52B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B1649F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BAC7CD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14720E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C972B3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9788B9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2" w:type="pct"/>
            <w:shd w:val="clear" w:color="auto" w:fill="auto"/>
            <w:noWrap/>
            <w:tcMar>
              <w:top w:w="0" w:type="dxa"/>
              <w:left w:w="0" w:type="dxa"/>
              <w:bottom w:w="0" w:type="dxa"/>
              <w:right w:w="0" w:type="dxa"/>
            </w:tcMar>
            <w:vAlign w:val="center"/>
          </w:tcPr>
          <w:p w14:paraId="25AC971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D78199F">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17E59E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0EB75B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1285D0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7F35E0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5" w:type="pct"/>
            <w:shd w:val="clear" w:color="auto" w:fill="auto"/>
            <w:noWrap/>
            <w:tcMar>
              <w:top w:w="0" w:type="dxa"/>
              <w:left w:w="0" w:type="dxa"/>
              <w:bottom w:w="0" w:type="dxa"/>
              <w:right w:w="0" w:type="dxa"/>
            </w:tcMar>
            <w:vAlign w:val="center"/>
          </w:tcPr>
          <w:p w14:paraId="1C19D4F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8DE612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16D1B6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54D671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43BE341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r w14:paraId="68AD57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auto"/>
            <w:vAlign w:val="center"/>
          </w:tcPr>
          <w:p w14:paraId="4A9F6C48">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40" w:type="pct"/>
            <w:shd w:val="clear" w:color="auto" w:fill="auto"/>
            <w:noWrap/>
            <w:tcMar>
              <w:top w:w="0" w:type="dxa"/>
              <w:left w:w="0" w:type="dxa"/>
              <w:bottom w:w="0" w:type="dxa"/>
              <w:right w:w="0" w:type="dxa"/>
            </w:tcMar>
            <w:vAlign w:val="center"/>
          </w:tcPr>
          <w:p w14:paraId="07FA279A">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运输</w:t>
            </w:r>
          </w:p>
        </w:tc>
        <w:tc>
          <w:tcPr>
            <w:tcW w:w="209" w:type="pct"/>
            <w:shd w:val="clear" w:color="auto" w:fill="auto"/>
            <w:noWrap/>
            <w:tcMar>
              <w:top w:w="0" w:type="dxa"/>
              <w:left w:w="0" w:type="dxa"/>
              <w:bottom w:w="0" w:type="dxa"/>
              <w:right w:w="0" w:type="dxa"/>
            </w:tcMar>
            <w:vAlign w:val="center"/>
          </w:tcPr>
          <w:p w14:paraId="2FBDB6A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DE6700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1422A9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FBC133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41C272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EF0CDB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4802AA7A">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25BC89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C936A6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2" w:type="pct"/>
            <w:shd w:val="clear" w:color="auto" w:fill="auto"/>
            <w:noWrap/>
            <w:tcMar>
              <w:top w:w="0" w:type="dxa"/>
              <w:left w:w="0" w:type="dxa"/>
              <w:bottom w:w="0" w:type="dxa"/>
              <w:right w:w="0" w:type="dxa"/>
            </w:tcMar>
            <w:vAlign w:val="center"/>
          </w:tcPr>
          <w:p w14:paraId="5113CA55">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534851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545B68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83B7F2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2D62D8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A1FC12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5" w:type="pct"/>
            <w:shd w:val="clear" w:color="auto" w:fill="auto"/>
            <w:noWrap/>
            <w:tcMar>
              <w:top w:w="0" w:type="dxa"/>
              <w:left w:w="0" w:type="dxa"/>
              <w:bottom w:w="0" w:type="dxa"/>
              <w:right w:w="0" w:type="dxa"/>
            </w:tcMar>
            <w:vAlign w:val="center"/>
          </w:tcPr>
          <w:p w14:paraId="4B11634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9BBCF8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D86BAA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7E564B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371F491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r w14:paraId="43D284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auto"/>
            <w:vAlign w:val="center"/>
          </w:tcPr>
          <w:p w14:paraId="1888A0F1">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40" w:type="pct"/>
            <w:shd w:val="clear" w:color="auto" w:fill="auto"/>
            <w:noWrap/>
            <w:tcMar>
              <w:top w:w="0" w:type="dxa"/>
              <w:left w:w="0" w:type="dxa"/>
              <w:bottom w:w="0" w:type="dxa"/>
              <w:right w:w="0" w:type="dxa"/>
            </w:tcMar>
            <w:vAlign w:val="center"/>
          </w:tcPr>
          <w:p w14:paraId="433A4FC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物料堆存</w:t>
            </w:r>
          </w:p>
        </w:tc>
        <w:tc>
          <w:tcPr>
            <w:tcW w:w="209" w:type="pct"/>
            <w:shd w:val="clear" w:color="auto" w:fill="auto"/>
            <w:noWrap/>
            <w:tcMar>
              <w:top w:w="0" w:type="dxa"/>
              <w:left w:w="0" w:type="dxa"/>
              <w:bottom w:w="0" w:type="dxa"/>
              <w:right w:w="0" w:type="dxa"/>
            </w:tcMar>
            <w:vAlign w:val="center"/>
          </w:tcPr>
          <w:p w14:paraId="4F77EE9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3A088E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DDB449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CCB2C05">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8BFCEF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4941DC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3AFF7FF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8426D1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F21438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2" w:type="pct"/>
            <w:shd w:val="clear" w:color="auto" w:fill="auto"/>
            <w:noWrap/>
            <w:tcMar>
              <w:top w:w="0" w:type="dxa"/>
              <w:left w:w="0" w:type="dxa"/>
              <w:bottom w:w="0" w:type="dxa"/>
              <w:right w:w="0" w:type="dxa"/>
            </w:tcMar>
            <w:vAlign w:val="center"/>
          </w:tcPr>
          <w:p w14:paraId="4D5984D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3AB89A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5A1E35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BF7929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3D1F88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0BB216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5" w:type="pct"/>
            <w:shd w:val="clear" w:color="auto" w:fill="auto"/>
            <w:noWrap/>
            <w:tcMar>
              <w:top w:w="0" w:type="dxa"/>
              <w:left w:w="0" w:type="dxa"/>
              <w:bottom w:w="0" w:type="dxa"/>
              <w:right w:w="0" w:type="dxa"/>
            </w:tcMar>
            <w:vAlign w:val="center"/>
          </w:tcPr>
          <w:p w14:paraId="5A4BDE8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07124C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0A48FC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017933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488C40B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r w14:paraId="357E1C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274" w:type="pct"/>
            <w:vMerge w:val="restart"/>
            <w:shd w:val="clear" w:color="auto" w:fill="auto"/>
            <w:noWrap/>
            <w:tcMar>
              <w:top w:w="0" w:type="dxa"/>
              <w:left w:w="0" w:type="dxa"/>
              <w:bottom w:w="0" w:type="dxa"/>
              <w:right w:w="0" w:type="dxa"/>
            </w:tcMar>
            <w:vAlign w:val="center"/>
          </w:tcPr>
          <w:p w14:paraId="6F24BF70">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运</w:t>
            </w:r>
          </w:p>
          <w:p w14:paraId="625F0F75">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行</w:t>
            </w:r>
          </w:p>
          <w:p w14:paraId="4D56A85A">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期</w:t>
            </w:r>
          </w:p>
        </w:tc>
        <w:tc>
          <w:tcPr>
            <w:tcW w:w="540" w:type="pct"/>
            <w:shd w:val="clear" w:color="auto" w:fill="auto"/>
            <w:noWrap/>
            <w:tcMar>
              <w:top w:w="0" w:type="dxa"/>
              <w:left w:w="0" w:type="dxa"/>
              <w:bottom w:w="0" w:type="dxa"/>
              <w:right w:w="0" w:type="dxa"/>
            </w:tcMar>
            <w:vAlign w:val="center"/>
          </w:tcPr>
          <w:p w14:paraId="2FF4657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废气排放</w:t>
            </w:r>
          </w:p>
        </w:tc>
        <w:tc>
          <w:tcPr>
            <w:tcW w:w="209" w:type="pct"/>
            <w:shd w:val="clear" w:color="auto" w:fill="auto"/>
            <w:noWrap/>
            <w:tcMar>
              <w:top w:w="0" w:type="dxa"/>
              <w:left w:w="0" w:type="dxa"/>
              <w:bottom w:w="0" w:type="dxa"/>
              <w:right w:w="0" w:type="dxa"/>
            </w:tcMar>
            <w:vAlign w:val="center"/>
          </w:tcPr>
          <w:p w14:paraId="2FBF57D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B5527A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4BC8A3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D3F519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347036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D9655D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-2</w:t>
            </w:r>
          </w:p>
        </w:tc>
        <w:tc>
          <w:tcPr>
            <w:tcW w:w="209" w:type="pct"/>
            <w:shd w:val="clear" w:color="auto" w:fill="auto"/>
            <w:noWrap/>
            <w:tcMar>
              <w:top w:w="0" w:type="dxa"/>
              <w:left w:w="0" w:type="dxa"/>
              <w:bottom w:w="0" w:type="dxa"/>
              <w:right w:w="0" w:type="dxa"/>
            </w:tcMar>
            <w:vAlign w:val="center"/>
          </w:tcPr>
          <w:p w14:paraId="558B53BF">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29C880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7E34BD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2" w:type="pct"/>
            <w:shd w:val="clear" w:color="auto" w:fill="auto"/>
            <w:noWrap/>
            <w:tcMar>
              <w:top w:w="0" w:type="dxa"/>
              <w:left w:w="0" w:type="dxa"/>
              <w:bottom w:w="0" w:type="dxa"/>
              <w:right w:w="0" w:type="dxa"/>
            </w:tcMar>
            <w:vAlign w:val="center"/>
          </w:tcPr>
          <w:p w14:paraId="284CF00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243904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744B28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F0EFE5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7094DC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67088B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5" w:type="pct"/>
            <w:shd w:val="clear" w:color="auto" w:fill="auto"/>
            <w:noWrap/>
            <w:tcMar>
              <w:top w:w="0" w:type="dxa"/>
              <w:left w:w="0" w:type="dxa"/>
              <w:bottom w:w="0" w:type="dxa"/>
              <w:right w:w="0" w:type="dxa"/>
            </w:tcMar>
            <w:vAlign w:val="center"/>
          </w:tcPr>
          <w:p w14:paraId="6BE713C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89C705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2CDD6CB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684D69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1A4C26E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r w14:paraId="689A01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auto"/>
            <w:vAlign w:val="center"/>
          </w:tcPr>
          <w:p w14:paraId="3C02ADFE">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40" w:type="pct"/>
            <w:shd w:val="clear" w:color="auto" w:fill="auto"/>
            <w:noWrap/>
            <w:tcMar>
              <w:top w:w="0" w:type="dxa"/>
              <w:left w:w="0" w:type="dxa"/>
              <w:bottom w:w="0" w:type="dxa"/>
              <w:right w:w="0" w:type="dxa"/>
            </w:tcMar>
            <w:vAlign w:val="center"/>
          </w:tcPr>
          <w:p w14:paraId="09A7D4F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废水排放</w:t>
            </w:r>
          </w:p>
        </w:tc>
        <w:tc>
          <w:tcPr>
            <w:tcW w:w="209" w:type="pct"/>
            <w:shd w:val="clear" w:color="auto" w:fill="auto"/>
            <w:noWrap/>
            <w:tcMar>
              <w:top w:w="0" w:type="dxa"/>
              <w:left w:w="0" w:type="dxa"/>
              <w:bottom w:w="0" w:type="dxa"/>
              <w:right w:w="0" w:type="dxa"/>
            </w:tcMar>
            <w:vAlign w:val="center"/>
          </w:tcPr>
          <w:p w14:paraId="6BA45BE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ED0C52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FA6054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B71CEB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1C38E7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11B3C6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FD0792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331E325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3E4F105">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2" w:type="pct"/>
            <w:shd w:val="clear" w:color="auto" w:fill="auto"/>
            <w:noWrap/>
            <w:tcMar>
              <w:top w:w="0" w:type="dxa"/>
              <w:left w:w="0" w:type="dxa"/>
              <w:bottom w:w="0" w:type="dxa"/>
              <w:right w:w="0" w:type="dxa"/>
            </w:tcMar>
            <w:vAlign w:val="center"/>
          </w:tcPr>
          <w:p w14:paraId="57BE7B9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63BD0A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76A55F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702872C">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39B06C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60914D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5" w:type="pct"/>
            <w:shd w:val="clear" w:color="auto" w:fill="auto"/>
            <w:noWrap/>
            <w:tcMar>
              <w:top w:w="0" w:type="dxa"/>
              <w:left w:w="0" w:type="dxa"/>
              <w:bottom w:w="0" w:type="dxa"/>
              <w:right w:w="0" w:type="dxa"/>
            </w:tcMar>
            <w:vAlign w:val="center"/>
          </w:tcPr>
          <w:p w14:paraId="2AD9339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2F790D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2D5F4B5">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0F1BE61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752379D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r w14:paraId="0BB5CC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auto"/>
            <w:vAlign w:val="center"/>
          </w:tcPr>
          <w:p w14:paraId="1A74AE17">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40" w:type="pct"/>
            <w:shd w:val="clear" w:color="auto" w:fill="auto"/>
            <w:noWrap/>
            <w:tcMar>
              <w:top w:w="0" w:type="dxa"/>
              <w:left w:w="0" w:type="dxa"/>
              <w:bottom w:w="0" w:type="dxa"/>
              <w:right w:w="0" w:type="dxa"/>
            </w:tcMar>
            <w:vAlign w:val="center"/>
          </w:tcPr>
          <w:p w14:paraId="2B0D8F7F">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固废排放</w:t>
            </w:r>
          </w:p>
        </w:tc>
        <w:tc>
          <w:tcPr>
            <w:tcW w:w="209" w:type="pct"/>
            <w:shd w:val="clear" w:color="auto" w:fill="auto"/>
            <w:noWrap/>
            <w:tcMar>
              <w:top w:w="0" w:type="dxa"/>
              <w:left w:w="0" w:type="dxa"/>
              <w:bottom w:w="0" w:type="dxa"/>
              <w:right w:w="0" w:type="dxa"/>
            </w:tcMar>
            <w:vAlign w:val="center"/>
          </w:tcPr>
          <w:p w14:paraId="4C0B089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4152D8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56C978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E59968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268B217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9B61F2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6C39AF2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249B991">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-2</w:t>
            </w:r>
          </w:p>
        </w:tc>
        <w:tc>
          <w:tcPr>
            <w:tcW w:w="209" w:type="pct"/>
            <w:shd w:val="clear" w:color="auto" w:fill="auto"/>
            <w:noWrap/>
            <w:tcMar>
              <w:top w:w="0" w:type="dxa"/>
              <w:left w:w="0" w:type="dxa"/>
              <w:bottom w:w="0" w:type="dxa"/>
              <w:right w:w="0" w:type="dxa"/>
            </w:tcMar>
            <w:vAlign w:val="center"/>
          </w:tcPr>
          <w:p w14:paraId="4396B91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2" w:type="pct"/>
            <w:shd w:val="clear" w:color="auto" w:fill="auto"/>
            <w:noWrap/>
            <w:tcMar>
              <w:top w:w="0" w:type="dxa"/>
              <w:left w:w="0" w:type="dxa"/>
              <w:bottom w:w="0" w:type="dxa"/>
              <w:right w:w="0" w:type="dxa"/>
            </w:tcMar>
            <w:vAlign w:val="center"/>
          </w:tcPr>
          <w:p w14:paraId="463ECF2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-2</w:t>
            </w:r>
          </w:p>
        </w:tc>
        <w:tc>
          <w:tcPr>
            <w:tcW w:w="209" w:type="pct"/>
            <w:shd w:val="clear" w:color="auto" w:fill="auto"/>
            <w:noWrap/>
            <w:tcMar>
              <w:top w:w="0" w:type="dxa"/>
              <w:left w:w="0" w:type="dxa"/>
              <w:bottom w:w="0" w:type="dxa"/>
              <w:right w:w="0" w:type="dxa"/>
            </w:tcMar>
            <w:vAlign w:val="center"/>
          </w:tcPr>
          <w:p w14:paraId="25C9D16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4DED2EA">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ED9401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306D69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0F1F70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5" w:type="pct"/>
            <w:shd w:val="clear" w:color="auto" w:fill="auto"/>
            <w:noWrap/>
            <w:tcMar>
              <w:top w:w="0" w:type="dxa"/>
              <w:left w:w="0" w:type="dxa"/>
              <w:bottom w:w="0" w:type="dxa"/>
              <w:right w:w="0" w:type="dxa"/>
            </w:tcMar>
            <w:vAlign w:val="center"/>
          </w:tcPr>
          <w:p w14:paraId="0FBCB65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7B332AF">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FC5EAE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42662B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7E99E93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r w14:paraId="024B0E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0" w:type="auto"/>
            <w:vMerge w:val="continue"/>
            <w:shd w:val="clear" w:color="auto" w:fill="auto"/>
            <w:vAlign w:val="center"/>
          </w:tcPr>
          <w:p w14:paraId="6AF7388F">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40" w:type="pct"/>
            <w:shd w:val="clear" w:color="auto" w:fill="auto"/>
            <w:noWrap/>
            <w:tcMar>
              <w:top w:w="0" w:type="dxa"/>
              <w:left w:w="0" w:type="dxa"/>
              <w:bottom w:w="0" w:type="dxa"/>
              <w:right w:w="0" w:type="dxa"/>
            </w:tcMar>
            <w:vAlign w:val="center"/>
          </w:tcPr>
          <w:p w14:paraId="3AADDDA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噪声排放</w:t>
            </w:r>
          </w:p>
        </w:tc>
        <w:tc>
          <w:tcPr>
            <w:tcW w:w="209" w:type="pct"/>
            <w:shd w:val="clear" w:color="auto" w:fill="auto"/>
            <w:noWrap/>
            <w:tcMar>
              <w:top w:w="0" w:type="dxa"/>
              <w:left w:w="0" w:type="dxa"/>
              <w:bottom w:w="0" w:type="dxa"/>
              <w:right w:w="0" w:type="dxa"/>
            </w:tcMar>
            <w:vAlign w:val="center"/>
          </w:tcPr>
          <w:p w14:paraId="52DE82D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15DA539">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195BF6A">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6E0DA0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683C450">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88DDFB8">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747A9FD">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BFDD00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7ABE2C1F">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-2</w:t>
            </w:r>
          </w:p>
        </w:tc>
        <w:tc>
          <w:tcPr>
            <w:tcW w:w="212" w:type="pct"/>
            <w:shd w:val="clear" w:color="auto" w:fill="auto"/>
            <w:noWrap/>
            <w:tcMar>
              <w:top w:w="0" w:type="dxa"/>
              <w:left w:w="0" w:type="dxa"/>
              <w:bottom w:w="0" w:type="dxa"/>
              <w:right w:w="0" w:type="dxa"/>
            </w:tcMar>
            <w:vAlign w:val="center"/>
          </w:tcPr>
          <w:p w14:paraId="3118C80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8FE23AF">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3B4A86F2">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50725F5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1DC1A7AB">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06AC13FF">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15" w:type="pct"/>
            <w:shd w:val="clear" w:color="auto" w:fill="auto"/>
            <w:noWrap/>
            <w:tcMar>
              <w:top w:w="0" w:type="dxa"/>
              <w:left w:w="0" w:type="dxa"/>
              <w:bottom w:w="0" w:type="dxa"/>
              <w:right w:w="0" w:type="dxa"/>
            </w:tcMar>
            <w:vAlign w:val="center"/>
          </w:tcPr>
          <w:p w14:paraId="11707BB4">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6778A86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rPr>
              <w:t>-1</w:t>
            </w:r>
          </w:p>
        </w:tc>
        <w:tc>
          <w:tcPr>
            <w:tcW w:w="209" w:type="pct"/>
            <w:shd w:val="clear" w:color="auto" w:fill="auto"/>
            <w:noWrap/>
            <w:tcMar>
              <w:top w:w="0" w:type="dxa"/>
              <w:left w:w="0" w:type="dxa"/>
              <w:bottom w:w="0" w:type="dxa"/>
              <w:right w:w="0" w:type="dxa"/>
            </w:tcMar>
            <w:vAlign w:val="center"/>
          </w:tcPr>
          <w:p w14:paraId="1E6CDE5E">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9" w:type="pct"/>
            <w:shd w:val="clear" w:color="auto" w:fill="auto"/>
            <w:noWrap/>
            <w:tcMar>
              <w:top w:w="0" w:type="dxa"/>
              <w:left w:w="0" w:type="dxa"/>
              <w:bottom w:w="0" w:type="dxa"/>
              <w:right w:w="0" w:type="dxa"/>
            </w:tcMar>
            <w:vAlign w:val="center"/>
          </w:tcPr>
          <w:p w14:paraId="46C7A276">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206" w:type="pct"/>
            <w:shd w:val="clear" w:color="auto" w:fill="auto"/>
            <w:noWrap/>
            <w:tcMar>
              <w:top w:w="0" w:type="dxa"/>
              <w:left w:w="0" w:type="dxa"/>
              <w:bottom w:w="0" w:type="dxa"/>
              <w:right w:w="0" w:type="dxa"/>
            </w:tcMar>
            <w:vAlign w:val="center"/>
          </w:tcPr>
          <w:p w14:paraId="037EE717">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r>
    </w:tbl>
    <w:p w14:paraId="27D5F81A">
      <w:pPr>
        <w:autoSpaceDE w:val="0"/>
        <w:autoSpaceDN w:val="0"/>
        <w:spacing w:line="360" w:lineRule="auto"/>
        <w:ind w:firstLine="420" w:firstLineChars="200"/>
        <w:jc w:val="left"/>
        <w:rPr>
          <w:rFonts w:hint="default" w:ascii="Times New Roman" w:hAnsi="Times New Roman" w:eastAsia="宋体" w:cs="Times New Roman"/>
        </w:rPr>
      </w:pPr>
      <w:r>
        <w:rPr>
          <w:rFonts w:hint="default" w:ascii="Times New Roman" w:hAnsi="Times New Roman" w:eastAsia="宋体" w:cs="Times New Roman"/>
        </w:rPr>
        <w:t>注：3—重大影响；2—中等影响；1—轻微影响；“+”—表示有利影响；“-”—表示不利影响。</w:t>
      </w:r>
    </w:p>
    <w:p w14:paraId="4628A7B3">
      <w:pPr>
        <w:pStyle w:val="4"/>
        <w:spacing w:before="0" w:after="0" w:line="360" w:lineRule="auto"/>
        <w:jc w:val="left"/>
        <w:rPr>
          <w:rFonts w:hint="default" w:ascii="Times New Roman" w:hAnsi="Times New Roman" w:eastAsia="宋体" w:cs="Times New Roman"/>
          <w:u w:val="single"/>
        </w:rPr>
      </w:pPr>
      <w:bookmarkStart w:id="208" w:name="_Toc34723855"/>
      <w:r>
        <w:rPr>
          <w:rFonts w:hint="default" w:ascii="Times New Roman" w:hAnsi="Times New Roman" w:eastAsia="宋体" w:cs="Times New Roman"/>
          <w:u w:val="single"/>
        </w:rPr>
        <w:t>2.5.2评价因子筛选</w:t>
      </w:r>
      <w:bookmarkEnd w:id="208"/>
    </w:p>
    <w:p w14:paraId="1950A2D9">
      <w:pPr>
        <w:spacing w:line="360" w:lineRule="auto"/>
        <w:ind w:firstLine="48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通过对该项目的环境影响因素分析，筛选出本项目建设期及营运期的主要评价因子见表2.5.2。</w:t>
      </w:r>
    </w:p>
    <w:p w14:paraId="60106669">
      <w:pPr>
        <w:pStyle w:val="67"/>
        <w:adjustRightInd/>
        <w:spacing w:line="360" w:lineRule="auto"/>
        <w:ind w:firstLine="48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表</w:t>
      </w:r>
      <w:r>
        <w:rPr>
          <w:rFonts w:hint="default" w:ascii="Times New Roman" w:hAnsi="Times New Roman" w:eastAsia="宋体" w:cs="Times New Roman"/>
          <w:sz w:val="21"/>
          <w:u w:val="single"/>
          <w:lang w:val="en-US" w:eastAsia="zh-CN"/>
        </w:rPr>
        <w:t>2.5</w:t>
      </w:r>
      <w:r>
        <w:rPr>
          <w:rFonts w:hint="default" w:ascii="Times New Roman" w:hAnsi="Times New Roman" w:eastAsia="宋体" w:cs="Times New Roman"/>
          <w:sz w:val="21"/>
          <w:u w:val="single"/>
        </w:rPr>
        <w:noBreakHyphen/>
      </w:r>
      <w:r>
        <w:rPr>
          <w:rFonts w:hint="default" w:ascii="Times New Roman" w:hAnsi="Times New Roman" w:eastAsia="宋体" w:cs="Times New Roman"/>
          <w:sz w:val="21"/>
          <w:u w:val="single"/>
        </w:rPr>
        <w:t>2 评价因子一览表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5404"/>
        <w:gridCol w:w="1924"/>
      </w:tblGrid>
      <w:tr w14:paraId="557DF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605" w:type="pct"/>
            <w:noWrap/>
            <w:tcMar>
              <w:top w:w="0" w:type="dxa"/>
              <w:left w:w="0" w:type="dxa"/>
              <w:bottom w:w="0" w:type="dxa"/>
              <w:right w:w="0" w:type="dxa"/>
            </w:tcMar>
            <w:vAlign w:val="center"/>
          </w:tcPr>
          <w:p w14:paraId="0B50A099">
            <w:pPr>
              <w:pStyle w:val="66"/>
              <w:keepNext w:val="0"/>
              <w:keepLines w:val="0"/>
              <w:suppressLineNumbers w:val="0"/>
              <w:spacing w:before="156" w:beforeAutospacing="0" w:after="0" w:afterAutospacing="0"/>
              <w:ind w:left="0" w:right="0"/>
              <w:rPr>
                <w:rFonts w:hint="default" w:ascii="Times New Roman" w:hAnsi="Times New Roman" w:eastAsia="宋体" w:cs="Times New Roman"/>
                <w:b/>
                <w:kern w:val="2"/>
                <w:u w:val="single"/>
              </w:rPr>
            </w:pPr>
            <w:r>
              <w:rPr>
                <w:rFonts w:hint="default" w:ascii="Times New Roman" w:hAnsi="Times New Roman" w:eastAsia="宋体" w:cs="Times New Roman"/>
                <w:b/>
                <w:kern w:val="2"/>
                <w:u w:val="single"/>
              </w:rPr>
              <w:t>评价因子</w:t>
            </w:r>
          </w:p>
        </w:tc>
        <w:tc>
          <w:tcPr>
            <w:tcW w:w="3241" w:type="pct"/>
            <w:noWrap/>
            <w:tcMar>
              <w:top w:w="0" w:type="dxa"/>
              <w:left w:w="0" w:type="dxa"/>
              <w:bottom w:w="0" w:type="dxa"/>
              <w:right w:w="0" w:type="dxa"/>
            </w:tcMar>
            <w:vAlign w:val="center"/>
          </w:tcPr>
          <w:p w14:paraId="39ADC3D3">
            <w:pPr>
              <w:pStyle w:val="66"/>
              <w:keepNext w:val="0"/>
              <w:keepLines w:val="0"/>
              <w:suppressLineNumbers w:val="0"/>
              <w:spacing w:before="0" w:beforeAutospacing="0" w:after="0" w:afterAutospacing="0"/>
              <w:ind w:left="0" w:right="0"/>
              <w:rPr>
                <w:rFonts w:hint="default" w:ascii="Times New Roman" w:hAnsi="Times New Roman" w:eastAsia="宋体" w:cs="Times New Roman"/>
                <w:b/>
                <w:kern w:val="2"/>
                <w:u w:val="single"/>
              </w:rPr>
            </w:pPr>
            <w:r>
              <w:rPr>
                <w:rFonts w:hint="default" w:ascii="Times New Roman" w:hAnsi="Times New Roman" w:eastAsia="宋体" w:cs="Times New Roman"/>
                <w:b/>
                <w:kern w:val="2"/>
                <w:u w:val="single"/>
              </w:rPr>
              <w:t>现状评价因子</w:t>
            </w:r>
          </w:p>
        </w:tc>
        <w:tc>
          <w:tcPr>
            <w:tcW w:w="1154" w:type="pct"/>
            <w:noWrap/>
            <w:tcMar>
              <w:top w:w="0" w:type="dxa"/>
              <w:left w:w="0" w:type="dxa"/>
              <w:bottom w:w="0" w:type="dxa"/>
              <w:right w:w="0" w:type="dxa"/>
            </w:tcMar>
            <w:vAlign w:val="center"/>
          </w:tcPr>
          <w:p w14:paraId="2FD446D4">
            <w:pPr>
              <w:pStyle w:val="66"/>
              <w:keepNext w:val="0"/>
              <w:keepLines w:val="0"/>
              <w:suppressLineNumbers w:val="0"/>
              <w:spacing w:before="0" w:beforeAutospacing="0" w:after="0" w:afterAutospacing="0"/>
              <w:ind w:left="0" w:right="0"/>
              <w:rPr>
                <w:rFonts w:hint="default" w:ascii="Times New Roman" w:hAnsi="Times New Roman" w:eastAsia="宋体" w:cs="Times New Roman"/>
                <w:b/>
                <w:kern w:val="2"/>
                <w:u w:val="single"/>
              </w:rPr>
            </w:pPr>
            <w:r>
              <w:rPr>
                <w:rFonts w:hint="default" w:ascii="Times New Roman" w:hAnsi="Times New Roman" w:eastAsia="宋体" w:cs="Times New Roman"/>
                <w:b/>
                <w:kern w:val="2"/>
                <w:u w:val="single"/>
              </w:rPr>
              <w:t>影响评价因子</w:t>
            </w:r>
          </w:p>
        </w:tc>
      </w:tr>
      <w:tr w14:paraId="3D91D0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605" w:type="pct"/>
            <w:noWrap/>
            <w:tcMar>
              <w:top w:w="0" w:type="dxa"/>
              <w:left w:w="0" w:type="dxa"/>
              <w:bottom w:w="0" w:type="dxa"/>
              <w:right w:w="0" w:type="dxa"/>
            </w:tcMar>
            <w:vAlign w:val="center"/>
          </w:tcPr>
          <w:p w14:paraId="1170B958">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u w:val="single"/>
              </w:rPr>
            </w:pPr>
            <w:r>
              <w:rPr>
                <w:rFonts w:hint="default" w:ascii="Times New Roman" w:hAnsi="Times New Roman" w:eastAsia="宋体" w:cs="Times New Roman"/>
                <w:kern w:val="2"/>
                <w:u w:val="single"/>
              </w:rPr>
              <w:t>环境空气</w:t>
            </w:r>
          </w:p>
        </w:tc>
        <w:tc>
          <w:tcPr>
            <w:tcW w:w="3241" w:type="pct"/>
            <w:noWrap/>
            <w:tcMar>
              <w:top w:w="0" w:type="dxa"/>
              <w:left w:w="0" w:type="dxa"/>
              <w:bottom w:w="0" w:type="dxa"/>
              <w:right w:w="0" w:type="dxa"/>
            </w:tcMar>
            <w:vAlign w:val="center"/>
          </w:tcPr>
          <w:p w14:paraId="271BD2D5">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u w:val="single"/>
              </w:rPr>
            </w:pPr>
            <w:r>
              <w:rPr>
                <w:rFonts w:hint="default" w:ascii="Times New Roman" w:hAnsi="Times New Roman" w:eastAsia="宋体" w:cs="Times New Roman"/>
                <w:kern w:val="2"/>
                <w:u w:val="single"/>
              </w:rPr>
              <w:t>PM</w:t>
            </w:r>
            <w:r>
              <w:rPr>
                <w:rFonts w:hint="default" w:ascii="Times New Roman" w:hAnsi="Times New Roman" w:eastAsia="宋体" w:cs="Times New Roman"/>
                <w:kern w:val="2"/>
                <w:u w:val="single"/>
                <w:vertAlign w:val="subscript"/>
              </w:rPr>
              <w:t>10</w:t>
            </w:r>
            <w:r>
              <w:rPr>
                <w:rFonts w:hint="default" w:ascii="Times New Roman" w:hAnsi="Times New Roman" w:eastAsia="宋体" w:cs="Times New Roman"/>
                <w:kern w:val="2"/>
                <w:u w:val="single"/>
              </w:rPr>
              <w:t>、PM</w:t>
            </w:r>
            <w:r>
              <w:rPr>
                <w:rFonts w:hint="default" w:ascii="Times New Roman" w:hAnsi="Times New Roman" w:eastAsia="宋体" w:cs="Times New Roman"/>
                <w:kern w:val="2"/>
                <w:u w:val="single"/>
                <w:vertAlign w:val="subscript"/>
              </w:rPr>
              <w:t>2.5</w:t>
            </w:r>
            <w:r>
              <w:rPr>
                <w:rFonts w:hint="default" w:ascii="Times New Roman" w:hAnsi="Times New Roman" w:eastAsia="宋体" w:cs="Times New Roman"/>
                <w:kern w:val="2"/>
                <w:u w:val="single"/>
              </w:rPr>
              <w:t>、SO</w:t>
            </w:r>
            <w:r>
              <w:rPr>
                <w:rFonts w:hint="default" w:ascii="Times New Roman" w:hAnsi="Times New Roman" w:eastAsia="宋体" w:cs="Times New Roman"/>
                <w:kern w:val="2"/>
                <w:u w:val="single"/>
                <w:vertAlign w:val="subscript"/>
              </w:rPr>
              <w:t>2</w:t>
            </w:r>
            <w:r>
              <w:rPr>
                <w:rFonts w:hint="default" w:ascii="Times New Roman" w:hAnsi="Times New Roman" w:eastAsia="宋体" w:cs="Times New Roman"/>
                <w:kern w:val="2"/>
                <w:u w:val="single"/>
              </w:rPr>
              <w:t>、NO</w:t>
            </w:r>
            <w:r>
              <w:rPr>
                <w:rFonts w:hint="default" w:ascii="Times New Roman" w:hAnsi="Times New Roman" w:eastAsia="宋体" w:cs="Times New Roman"/>
                <w:kern w:val="2"/>
                <w:u w:val="single"/>
                <w:vertAlign w:val="subscript"/>
              </w:rPr>
              <w:t>2</w:t>
            </w:r>
            <w:r>
              <w:rPr>
                <w:rFonts w:hint="default" w:ascii="Times New Roman" w:hAnsi="Times New Roman" w:eastAsia="宋体" w:cs="Times New Roman"/>
                <w:kern w:val="2"/>
                <w:u w:val="single"/>
              </w:rPr>
              <w:t>、CO、O</w:t>
            </w:r>
            <w:r>
              <w:rPr>
                <w:rFonts w:hint="default" w:ascii="Times New Roman" w:hAnsi="Times New Roman" w:eastAsia="宋体" w:cs="Times New Roman"/>
                <w:kern w:val="2"/>
                <w:u w:val="single"/>
                <w:vertAlign w:val="subscript"/>
              </w:rPr>
              <w:t>3</w:t>
            </w:r>
            <w:r>
              <w:rPr>
                <w:rFonts w:hint="default" w:ascii="Times New Roman" w:hAnsi="Times New Roman" w:eastAsia="宋体" w:cs="Times New Roman"/>
                <w:kern w:val="2"/>
                <w:u w:val="single"/>
              </w:rPr>
              <w:t>、VOCs、苯、甲苯 、二甲苯、</w:t>
            </w:r>
            <w:r>
              <w:rPr>
                <w:rFonts w:hint="default" w:ascii="Times New Roman" w:hAnsi="Times New Roman" w:eastAsia="宋体" w:cs="Times New Roman"/>
                <w:kern w:val="2"/>
                <w:u w:val="single"/>
                <w:lang w:val="en-US" w:eastAsia="zh-CN"/>
              </w:rPr>
              <w:t>硫酸雾</w:t>
            </w:r>
            <w:r>
              <w:rPr>
                <w:rFonts w:hint="default" w:ascii="Times New Roman" w:hAnsi="Times New Roman" w:eastAsia="宋体" w:cs="Times New Roman"/>
                <w:kern w:val="2"/>
                <w:u w:val="single"/>
                <w:lang w:eastAsia="zh-CN"/>
              </w:rPr>
              <w:t>、</w:t>
            </w:r>
            <w:r>
              <w:rPr>
                <w:rFonts w:hint="default" w:ascii="Times New Roman" w:hAnsi="Times New Roman" w:eastAsia="宋体" w:cs="Times New Roman"/>
                <w:kern w:val="2"/>
                <w:u w:val="single"/>
              </w:rPr>
              <w:t>NH</w:t>
            </w:r>
            <w:r>
              <w:rPr>
                <w:rFonts w:hint="default" w:ascii="Times New Roman" w:hAnsi="Times New Roman" w:eastAsia="宋体" w:cs="Times New Roman"/>
                <w:kern w:val="2"/>
                <w:u w:val="single"/>
                <w:vertAlign w:val="subscript"/>
              </w:rPr>
              <w:t>3</w:t>
            </w:r>
            <w:r>
              <w:rPr>
                <w:rFonts w:hint="default" w:ascii="Times New Roman" w:hAnsi="Times New Roman" w:eastAsia="宋体" w:cs="Times New Roman"/>
                <w:kern w:val="2"/>
                <w:u w:val="single"/>
              </w:rPr>
              <w:t>、H</w:t>
            </w:r>
            <w:r>
              <w:rPr>
                <w:rFonts w:hint="default" w:ascii="Times New Roman" w:hAnsi="Times New Roman" w:eastAsia="宋体" w:cs="Times New Roman"/>
                <w:kern w:val="2"/>
                <w:u w:val="single"/>
                <w:vertAlign w:val="subscript"/>
              </w:rPr>
              <w:t>2</w:t>
            </w:r>
            <w:r>
              <w:rPr>
                <w:rFonts w:hint="default" w:ascii="Times New Roman" w:hAnsi="Times New Roman" w:eastAsia="宋体" w:cs="Times New Roman"/>
                <w:kern w:val="2"/>
                <w:u w:val="single"/>
              </w:rPr>
              <w:t>S</w:t>
            </w:r>
          </w:p>
        </w:tc>
        <w:tc>
          <w:tcPr>
            <w:tcW w:w="1154" w:type="pct"/>
            <w:noWrap/>
            <w:tcMar>
              <w:top w:w="0" w:type="dxa"/>
              <w:left w:w="0" w:type="dxa"/>
              <w:bottom w:w="0" w:type="dxa"/>
              <w:right w:w="0" w:type="dxa"/>
            </w:tcMar>
            <w:vAlign w:val="center"/>
          </w:tcPr>
          <w:p w14:paraId="1A1927C7">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u w:val="single"/>
              </w:rPr>
            </w:pPr>
            <w:r>
              <w:rPr>
                <w:rFonts w:hint="default" w:ascii="Times New Roman" w:hAnsi="Times New Roman" w:eastAsia="宋体" w:cs="Times New Roman"/>
                <w:kern w:val="2"/>
                <w:u w:val="single"/>
              </w:rPr>
              <w:t>VOCs、苯、甲苯 、二甲苯、</w:t>
            </w:r>
            <w:r>
              <w:rPr>
                <w:rFonts w:hint="default" w:ascii="Times New Roman" w:hAnsi="Times New Roman" w:eastAsia="宋体" w:cs="Times New Roman"/>
                <w:kern w:val="2"/>
                <w:u w:val="single"/>
                <w:lang w:val="en-US" w:eastAsia="zh-CN"/>
              </w:rPr>
              <w:t>硫酸雾、</w:t>
            </w:r>
            <w:r>
              <w:rPr>
                <w:rFonts w:hint="default" w:ascii="Times New Roman" w:hAnsi="Times New Roman" w:eastAsia="宋体" w:cs="Times New Roman"/>
                <w:kern w:val="2"/>
                <w:u w:val="single"/>
              </w:rPr>
              <w:t>NH</w:t>
            </w:r>
            <w:r>
              <w:rPr>
                <w:rFonts w:hint="default" w:ascii="Times New Roman" w:hAnsi="Times New Roman" w:eastAsia="宋体" w:cs="Times New Roman"/>
                <w:kern w:val="2"/>
                <w:u w:val="single"/>
                <w:vertAlign w:val="subscript"/>
              </w:rPr>
              <w:t>3</w:t>
            </w:r>
            <w:r>
              <w:rPr>
                <w:rFonts w:hint="default" w:ascii="Times New Roman" w:hAnsi="Times New Roman" w:eastAsia="宋体" w:cs="Times New Roman"/>
                <w:kern w:val="2"/>
                <w:u w:val="single"/>
              </w:rPr>
              <w:t>、H</w:t>
            </w:r>
            <w:r>
              <w:rPr>
                <w:rFonts w:hint="default" w:ascii="Times New Roman" w:hAnsi="Times New Roman" w:eastAsia="宋体" w:cs="Times New Roman"/>
                <w:kern w:val="2"/>
                <w:u w:val="single"/>
                <w:vertAlign w:val="subscript"/>
              </w:rPr>
              <w:t>2</w:t>
            </w:r>
            <w:r>
              <w:rPr>
                <w:rFonts w:hint="default" w:ascii="Times New Roman" w:hAnsi="Times New Roman" w:eastAsia="宋体" w:cs="Times New Roman"/>
                <w:kern w:val="2"/>
                <w:u w:val="single"/>
              </w:rPr>
              <w:t>S</w:t>
            </w:r>
          </w:p>
        </w:tc>
      </w:tr>
      <w:tr w14:paraId="5D6C7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05" w:type="pct"/>
            <w:noWrap/>
            <w:tcMar>
              <w:top w:w="0" w:type="dxa"/>
              <w:left w:w="0" w:type="dxa"/>
              <w:bottom w:w="0" w:type="dxa"/>
              <w:right w:w="0" w:type="dxa"/>
            </w:tcMar>
            <w:vAlign w:val="center"/>
          </w:tcPr>
          <w:p w14:paraId="2A11E017">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u w:val="single"/>
              </w:rPr>
            </w:pPr>
            <w:r>
              <w:rPr>
                <w:rFonts w:hint="default" w:ascii="Times New Roman" w:hAnsi="Times New Roman" w:eastAsia="宋体" w:cs="Times New Roman"/>
                <w:kern w:val="2"/>
                <w:u w:val="single"/>
              </w:rPr>
              <w:t>地表水环境</w:t>
            </w:r>
          </w:p>
        </w:tc>
        <w:tc>
          <w:tcPr>
            <w:tcW w:w="3241" w:type="pct"/>
            <w:noWrap/>
            <w:tcMar>
              <w:top w:w="0" w:type="dxa"/>
              <w:left w:w="0" w:type="dxa"/>
              <w:bottom w:w="0" w:type="dxa"/>
              <w:right w:w="0" w:type="dxa"/>
            </w:tcMar>
            <w:vAlign w:val="center"/>
          </w:tcPr>
          <w:p w14:paraId="73C007D6">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u w:val="single"/>
              </w:rPr>
            </w:pPr>
            <w:r>
              <w:rPr>
                <w:rFonts w:hint="default" w:ascii="Times New Roman" w:hAnsi="Times New Roman" w:eastAsia="宋体" w:cs="Times New Roman"/>
                <w:kern w:val="2"/>
                <w:u w:val="single"/>
              </w:rPr>
              <w:t>pH、COD、BOD</w:t>
            </w:r>
            <w:r>
              <w:rPr>
                <w:rFonts w:hint="default" w:ascii="Times New Roman" w:hAnsi="Times New Roman" w:eastAsia="宋体" w:cs="Times New Roman"/>
                <w:kern w:val="2"/>
                <w:u w:val="single"/>
                <w:vertAlign w:val="subscript"/>
              </w:rPr>
              <w:t>5</w:t>
            </w:r>
            <w:r>
              <w:rPr>
                <w:rFonts w:hint="default" w:ascii="Times New Roman" w:hAnsi="Times New Roman" w:eastAsia="宋体" w:cs="Times New Roman"/>
                <w:kern w:val="2"/>
                <w:u w:val="single"/>
              </w:rPr>
              <w:t>、苯、甲苯、LAS、SS、NH</w:t>
            </w:r>
            <w:r>
              <w:rPr>
                <w:rFonts w:hint="default" w:ascii="Times New Roman" w:hAnsi="Times New Roman" w:eastAsia="宋体" w:cs="Times New Roman"/>
                <w:kern w:val="2"/>
                <w:u w:val="single"/>
                <w:vertAlign w:val="subscript"/>
              </w:rPr>
              <w:t>3</w:t>
            </w:r>
            <w:r>
              <w:rPr>
                <w:rFonts w:hint="default" w:ascii="Times New Roman" w:hAnsi="Times New Roman" w:eastAsia="宋体" w:cs="Times New Roman"/>
                <w:kern w:val="2"/>
                <w:u w:val="single"/>
              </w:rPr>
              <w:t>-N、石油类等</w:t>
            </w:r>
          </w:p>
        </w:tc>
        <w:tc>
          <w:tcPr>
            <w:tcW w:w="1154" w:type="pct"/>
            <w:noWrap/>
            <w:tcMar>
              <w:top w:w="0" w:type="dxa"/>
              <w:left w:w="0" w:type="dxa"/>
              <w:bottom w:w="0" w:type="dxa"/>
              <w:right w:w="0" w:type="dxa"/>
            </w:tcMar>
            <w:vAlign w:val="center"/>
          </w:tcPr>
          <w:p w14:paraId="3DCBA6C1">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u w:val="single"/>
              </w:rPr>
            </w:pPr>
            <w:r>
              <w:rPr>
                <w:rFonts w:hint="default" w:ascii="Times New Roman" w:hAnsi="Times New Roman" w:eastAsia="宋体" w:cs="Times New Roman"/>
                <w:kern w:val="2"/>
                <w:u w:val="single"/>
              </w:rPr>
              <w:t>pH、COD、BOD</w:t>
            </w:r>
            <w:r>
              <w:rPr>
                <w:rFonts w:hint="default" w:ascii="Times New Roman" w:hAnsi="Times New Roman" w:eastAsia="宋体" w:cs="Times New Roman"/>
                <w:kern w:val="2"/>
                <w:u w:val="single"/>
                <w:vertAlign w:val="subscript"/>
              </w:rPr>
              <w:t>5</w:t>
            </w:r>
            <w:r>
              <w:rPr>
                <w:rFonts w:hint="default" w:ascii="Times New Roman" w:hAnsi="Times New Roman" w:eastAsia="宋体" w:cs="Times New Roman"/>
                <w:kern w:val="2"/>
                <w:u w:val="single"/>
              </w:rPr>
              <w:t>、苯、甲苯、LAS、SS、NH</w:t>
            </w:r>
            <w:r>
              <w:rPr>
                <w:rFonts w:hint="default" w:ascii="Times New Roman" w:hAnsi="Times New Roman" w:eastAsia="宋体" w:cs="Times New Roman"/>
                <w:kern w:val="2"/>
                <w:u w:val="single"/>
                <w:vertAlign w:val="subscript"/>
              </w:rPr>
              <w:t>3</w:t>
            </w:r>
            <w:r>
              <w:rPr>
                <w:rFonts w:hint="default" w:ascii="Times New Roman" w:hAnsi="Times New Roman" w:eastAsia="宋体" w:cs="Times New Roman"/>
                <w:kern w:val="2"/>
                <w:u w:val="single"/>
              </w:rPr>
              <w:t>-N、石油类等</w:t>
            </w:r>
          </w:p>
        </w:tc>
      </w:tr>
      <w:tr w14:paraId="342CB2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10" w:hRule="atLeast"/>
          <w:jc w:val="center"/>
        </w:trPr>
        <w:tc>
          <w:tcPr>
            <w:tcW w:w="605" w:type="pct"/>
            <w:noWrap/>
            <w:tcMar>
              <w:top w:w="0" w:type="dxa"/>
              <w:left w:w="0" w:type="dxa"/>
              <w:bottom w:w="0" w:type="dxa"/>
              <w:right w:w="0" w:type="dxa"/>
            </w:tcMar>
            <w:vAlign w:val="center"/>
          </w:tcPr>
          <w:p w14:paraId="33A4027C">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u w:val="single"/>
              </w:rPr>
            </w:pPr>
            <w:r>
              <w:rPr>
                <w:rFonts w:hint="default" w:ascii="Times New Roman" w:hAnsi="Times New Roman" w:eastAsia="宋体" w:cs="Times New Roman"/>
                <w:kern w:val="2"/>
                <w:u w:val="single"/>
              </w:rPr>
              <w:t>地下水环境</w:t>
            </w:r>
          </w:p>
        </w:tc>
        <w:tc>
          <w:tcPr>
            <w:tcW w:w="3241" w:type="pct"/>
            <w:noWrap/>
            <w:tcMar>
              <w:top w:w="0" w:type="dxa"/>
              <w:left w:w="0" w:type="dxa"/>
              <w:bottom w:w="0" w:type="dxa"/>
              <w:right w:w="0" w:type="dxa"/>
            </w:tcMar>
            <w:vAlign w:val="center"/>
          </w:tcPr>
          <w:p w14:paraId="41458401">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u w:val="single"/>
                <w:lang w:val="zh-TW"/>
              </w:rPr>
            </w:pPr>
            <w:bookmarkStart w:id="209" w:name="RANGE!G6"/>
            <w:bookmarkEnd w:id="209"/>
            <w:r>
              <w:rPr>
                <w:rFonts w:hint="default" w:ascii="Times New Roman" w:hAnsi="Times New Roman" w:eastAsia="宋体" w:cs="Times New Roman"/>
                <w:kern w:val="2"/>
                <w:u w:val="single"/>
              </w:rPr>
              <w:t>K</w:t>
            </w:r>
            <w:r>
              <w:rPr>
                <w:rFonts w:hint="default" w:ascii="Times New Roman" w:hAnsi="Times New Roman" w:eastAsia="宋体" w:cs="Times New Roman"/>
                <w:kern w:val="2"/>
                <w:u w:val="single"/>
                <w:vertAlign w:val="superscript"/>
              </w:rPr>
              <w:t>+</w:t>
            </w:r>
            <w:r>
              <w:rPr>
                <w:rFonts w:hint="default" w:ascii="Times New Roman" w:hAnsi="Times New Roman" w:eastAsia="宋体" w:cs="Times New Roman"/>
                <w:kern w:val="2"/>
                <w:u w:val="single"/>
              </w:rPr>
              <w:t>+Na</w:t>
            </w:r>
            <w:r>
              <w:rPr>
                <w:rFonts w:hint="default" w:ascii="Times New Roman" w:hAnsi="Times New Roman" w:eastAsia="宋体" w:cs="Times New Roman"/>
                <w:kern w:val="2"/>
                <w:u w:val="single"/>
                <w:vertAlign w:val="superscript"/>
              </w:rPr>
              <w:t>+</w:t>
            </w:r>
            <w:r>
              <w:rPr>
                <w:rFonts w:hint="default" w:ascii="Times New Roman" w:hAnsi="Times New Roman" w:eastAsia="宋体" w:cs="Times New Roman"/>
                <w:kern w:val="2"/>
                <w:u w:val="single"/>
              </w:rPr>
              <w:t>、Ca</w:t>
            </w:r>
            <w:r>
              <w:rPr>
                <w:rFonts w:hint="default" w:ascii="Times New Roman" w:hAnsi="Times New Roman" w:eastAsia="宋体" w:cs="Times New Roman"/>
                <w:kern w:val="2"/>
                <w:u w:val="single"/>
                <w:vertAlign w:val="superscript"/>
              </w:rPr>
              <w:t>2+</w:t>
            </w:r>
            <w:r>
              <w:rPr>
                <w:rFonts w:hint="default" w:ascii="Times New Roman" w:hAnsi="Times New Roman" w:eastAsia="宋体" w:cs="Times New Roman"/>
                <w:kern w:val="2"/>
                <w:u w:val="single"/>
              </w:rPr>
              <w:t>、Mg</w:t>
            </w:r>
            <w:r>
              <w:rPr>
                <w:rFonts w:hint="default" w:ascii="Times New Roman" w:hAnsi="Times New Roman" w:eastAsia="宋体" w:cs="Times New Roman"/>
                <w:kern w:val="2"/>
                <w:u w:val="single"/>
                <w:vertAlign w:val="superscript"/>
              </w:rPr>
              <w:t>2+</w:t>
            </w:r>
            <w:r>
              <w:rPr>
                <w:rFonts w:hint="default" w:ascii="Times New Roman" w:hAnsi="Times New Roman" w:eastAsia="宋体" w:cs="Times New Roman"/>
                <w:kern w:val="2"/>
                <w:u w:val="single"/>
              </w:rPr>
              <w:t>、CO</w:t>
            </w:r>
            <w:r>
              <w:rPr>
                <w:rFonts w:hint="default" w:ascii="Times New Roman" w:hAnsi="Times New Roman" w:eastAsia="宋体" w:cs="Times New Roman"/>
                <w:kern w:val="2"/>
                <w:u w:val="single"/>
                <w:vertAlign w:val="subscript"/>
              </w:rPr>
              <w:t>3</w:t>
            </w:r>
            <w:r>
              <w:rPr>
                <w:rFonts w:hint="default" w:ascii="Times New Roman" w:hAnsi="Times New Roman" w:eastAsia="宋体" w:cs="Times New Roman"/>
                <w:kern w:val="2"/>
                <w:u w:val="single"/>
                <w:vertAlign w:val="superscript"/>
              </w:rPr>
              <w:t>2-</w:t>
            </w:r>
            <w:r>
              <w:rPr>
                <w:rFonts w:hint="default" w:ascii="Times New Roman" w:hAnsi="Times New Roman" w:eastAsia="宋体" w:cs="Times New Roman"/>
                <w:kern w:val="2"/>
                <w:u w:val="single"/>
              </w:rPr>
              <w:t>、HCO</w:t>
            </w:r>
            <w:r>
              <w:rPr>
                <w:rFonts w:hint="default" w:ascii="Times New Roman" w:hAnsi="Times New Roman" w:eastAsia="宋体" w:cs="Times New Roman"/>
                <w:kern w:val="2"/>
                <w:u w:val="single"/>
                <w:vertAlign w:val="subscript"/>
              </w:rPr>
              <w:t>3</w:t>
            </w:r>
            <w:r>
              <w:rPr>
                <w:rFonts w:hint="default" w:ascii="Times New Roman" w:hAnsi="Times New Roman" w:eastAsia="宋体" w:cs="Times New Roman"/>
                <w:kern w:val="2"/>
                <w:u w:val="single"/>
                <w:vertAlign w:val="superscript"/>
              </w:rPr>
              <w:t>-</w:t>
            </w:r>
            <w:r>
              <w:rPr>
                <w:rFonts w:hint="default" w:ascii="Times New Roman" w:hAnsi="Times New Roman" w:eastAsia="宋体" w:cs="Times New Roman"/>
                <w:kern w:val="2"/>
                <w:u w:val="single"/>
              </w:rPr>
              <w:t>、Cl</w:t>
            </w:r>
            <w:r>
              <w:rPr>
                <w:rFonts w:hint="default" w:ascii="Times New Roman" w:hAnsi="Times New Roman" w:eastAsia="宋体" w:cs="Times New Roman"/>
                <w:kern w:val="2"/>
                <w:u w:val="single"/>
                <w:vertAlign w:val="superscript"/>
              </w:rPr>
              <w:t>-</w:t>
            </w:r>
            <w:r>
              <w:rPr>
                <w:rFonts w:hint="default" w:ascii="Times New Roman" w:hAnsi="Times New Roman" w:eastAsia="宋体" w:cs="Times New Roman"/>
                <w:kern w:val="2"/>
                <w:u w:val="single"/>
              </w:rPr>
              <w:t>、SO</w:t>
            </w:r>
            <w:r>
              <w:rPr>
                <w:rFonts w:hint="default" w:ascii="Times New Roman" w:hAnsi="Times New Roman" w:eastAsia="宋体" w:cs="Times New Roman"/>
                <w:kern w:val="2"/>
                <w:u w:val="single"/>
                <w:vertAlign w:val="subscript"/>
              </w:rPr>
              <w:t>4</w:t>
            </w:r>
            <w:r>
              <w:rPr>
                <w:rFonts w:hint="default" w:ascii="Times New Roman" w:hAnsi="Times New Roman" w:eastAsia="宋体" w:cs="Times New Roman"/>
                <w:kern w:val="2"/>
                <w:u w:val="single"/>
                <w:vertAlign w:val="superscript"/>
              </w:rPr>
              <w:t>2-</w:t>
            </w:r>
            <w:r>
              <w:rPr>
                <w:rFonts w:hint="default" w:ascii="Times New Roman" w:hAnsi="Times New Roman" w:eastAsia="宋体" w:cs="Times New Roman"/>
                <w:kern w:val="2"/>
                <w:u w:val="single"/>
              </w:rPr>
              <w:t>、pH、</w:t>
            </w:r>
            <w:r>
              <w:rPr>
                <w:rFonts w:hint="default" w:ascii="Times New Roman" w:hAnsi="Times New Roman" w:eastAsia="宋体" w:cs="Times New Roman"/>
                <w:kern w:val="2"/>
                <w:u w:val="single"/>
                <w:lang w:val="zh-TW"/>
              </w:rPr>
              <w:t>氨氮、硝酸盐、亚硝酸盐、挥发性酚类、氰化物、砷、汞、六价铬、总硬度、铅、氟、镉、铁、锰、溶解性总固体、高锰酸盐指数、总大肠菌群、细菌总数；</w:t>
            </w:r>
          </w:p>
        </w:tc>
        <w:tc>
          <w:tcPr>
            <w:tcW w:w="1154" w:type="pct"/>
            <w:noWrap/>
            <w:tcMar>
              <w:top w:w="0" w:type="dxa"/>
              <w:left w:w="0" w:type="dxa"/>
              <w:bottom w:w="0" w:type="dxa"/>
              <w:right w:w="0" w:type="dxa"/>
            </w:tcMar>
            <w:vAlign w:val="center"/>
          </w:tcPr>
          <w:p w14:paraId="3142CB3B">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u w:val="single"/>
              </w:rPr>
            </w:pPr>
            <w:r>
              <w:rPr>
                <w:rFonts w:hint="default" w:ascii="Times New Roman" w:hAnsi="Times New Roman" w:eastAsia="宋体" w:cs="Times New Roman"/>
                <w:u w:val="single"/>
              </w:rPr>
              <w:t>COD、石油类</w:t>
            </w:r>
          </w:p>
        </w:tc>
      </w:tr>
      <w:tr w14:paraId="656007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605" w:type="pct"/>
            <w:noWrap/>
            <w:tcMar>
              <w:top w:w="0" w:type="dxa"/>
              <w:left w:w="0" w:type="dxa"/>
              <w:bottom w:w="0" w:type="dxa"/>
              <w:right w:w="0" w:type="dxa"/>
            </w:tcMar>
            <w:vAlign w:val="center"/>
          </w:tcPr>
          <w:p w14:paraId="73124622">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kern w:val="2"/>
              </w:rPr>
              <w:t>土壤</w:t>
            </w:r>
          </w:p>
        </w:tc>
        <w:tc>
          <w:tcPr>
            <w:tcW w:w="3241" w:type="pct"/>
            <w:noWrap/>
            <w:tcMar>
              <w:top w:w="0" w:type="dxa"/>
              <w:left w:w="0" w:type="dxa"/>
              <w:bottom w:w="0" w:type="dxa"/>
              <w:right w:w="0" w:type="dxa"/>
            </w:tcMar>
            <w:vAlign w:val="center"/>
          </w:tcPr>
          <w:p w14:paraId="3E4CA1C9">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kern w:val="2"/>
              </w:rPr>
              <w:t>45项，砷、镉、六价铬、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α]蒽、苯丙[α]芘、苯并[α]荧蒽、苯并[k]荧蒽、䓛、二苯[a,h]并蒽、茚并[1,2,3-cd]芘、萘；</w:t>
            </w:r>
          </w:p>
          <w:p w14:paraId="4D02F253">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石油烃类：石油烃（C</w:t>
            </w:r>
            <w:r>
              <w:rPr>
                <w:rFonts w:hint="default" w:ascii="Times New Roman" w:hAnsi="Times New Roman" w:eastAsia="宋体" w:cs="Times New Roman"/>
                <w:vertAlign w:val="subscript"/>
              </w:rPr>
              <w:t>10</w:t>
            </w:r>
            <w:r>
              <w:rPr>
                <w:rFonts w:hint="default" w:ascii="Times New Roman" w:hAnsi="Times New Roman" w:eastAsia="宋体" w:cs="Times New Roman"/>
              </w:rPr>
              <w:t>-C</w:t>
            </w:r>
            <w:r>
              <w:rPr>
                <w:rFonts w:hint="default" w:ascii="Times New Roman" w:hAnsi="Times New Roman" w:eastAsia="宋体" w:cs="Times New Roman"/>
                <w:vertAlign w:val="subscript"/>
              </w:rPr>
              <w:t>40</w:t>
            </w:r>
            <w:r>
              <w:rPr>
                <w:rFonts w:hint="default" w:ascii="Times New Roman" w:hAnsi="Times New Roman" w:eastAsia="宋体" w:cs="Times New Roman"/>
              </w:rPr>
              <w:t>）</w:t>
            </w:r>
          </w:p>
        </w:tc>
        <w:tc>
          <w:tcPr>
            <w:tcW w:w="1154" w:type="pct"/>
            <w:noWrap/>
            <w:tcMar>
              <w:top w:w="0" w:type="dxa"/>
              <w:left w:w="0" w:type="dxa"/>
              <w:bottom w:w="0" w:type="dxa"/>
              <w:right w:w="0" w:type="dxa"/>
            </w:tcMar>
            <w:vAlign w:val="center"/>
          </w:tcPr>
          <w:p w14:paraId="776A2ED7">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石油烃类：石油烃（C</w:t>
            </w:r>
            <w:r>
              <w:rPr>
                <w:rFonts w:hint="default" w:ascii="Times New Roman" w:hAnsi="Times New Roman" w:eastAsia="宋体" w:cs="Times New Roman"/>
                <w:vertAlign w:val="subscript"/>
              </w:rPr>
              <w:t>10</w:t>
            </w:r>
            <w:r>
              <w:rPr>
                <w:rFonts w:hint="default" w:ascii="Times New Roman" w:hAnsi="Times New Roman" w:eastAsia="宋体" w:cs="Times New Roman"/>
              </w:rPr>
              <w:t>-C</w:t>
            </w:r>
            <w:r>
              <w:rPr>
                <w:rFonts w:hint="default" w:ascii="Times New Roman" w:hAnsi="Times New Roman" w:eastAsia="宋体" w:cs="Times New Roman"/>
                <w:vertAlign w:val="subscript"/>
              </w:rPr>
              <w:t>40</w:t>
            </w:r>
            <w:r>
              <w:rPr>
                <w:rFonts w:hint="default" w:ascii="Times New Roman" w:hAnsi="Times New Roman" w:eastAsia="宋体" w:cs="Times New Roman"/>
              </w:rPr>
              <w:t>）</w:t>
            </w:r>
          </w:p>
        </w:tc>
      </w:tr>
      <w:tr w14:paraId="3A81B4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70" w:hRule="atLeast"/>
          <w:jc w:val="center"/>
        </w:trPr>
        <w:tc>
          <w:tcPr>
            <w:tcW w:w="605" w:type="pct"/>
            <w:noWrap/>
            <w:tcMar>
              <w:top w:w="0" w:type="dxa"/>
              <w:left w:w="0" w:type="dxa"/>
              <w:bottom w:w="0" w:type="dxa"/>
              <w:right w:w="0" w:type="dxa"/>
            </w:tcMar>
            <w:vAlign w:val="center"/>
          </w:tcPr>
          <w:p w14:paraId="1D5F7B92">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kern w:val="2"/>
              </w:rPr>
              <w:t>声环境</w:t>
            </w:r>
          </w:p>
        </w:tc>
        <w:tc>
          <w:tcPr>
            <w:tcW w:w="3241" w:type="pct"/>
            <w:noWrap/>
            <w:tcMar>
              <w:top w:w="0" w:type="dxa"/>
              <w:left w:w="0" w:type="dxa"/>
              <w:bottom w:w="0" w:type="dxa"/>
              <w:right w:w="0" w:type="dxa"/>
            </w:tcMar>
            <w:vAlign w:val="center"/>
          </w:tcPr>
          <w:p w14:paraId="45901AC8">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kern w:val="2"/>
              </w:rPr>
              <w:t>连续等效A声级</w:t>
            </w:r>
          </w:p>
        </w:tc>
        <w:tc>
          <w:tcPr>
            <w:tcW w:w="1154" w:type="pct"/>
            <w:noWrap/>
            <w:tcMar>
              <w:top w:w="0" w:type="dxa"/>
              <w:left w:w="0" w:type="dxa"/>
              <w:bottom w:w="0" w:type="dxa"/>
              <w:right w:w="0" w:type="dxa"/>
            </w:tcMar>
            <w:vAlign w:val="center"/>
          </w:tcPr>
          <w:p w14:paraId="38989FC7">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kern w:val="2"/>
              </w:rPr>
              <w:t>连续等效A声级</w:t>
            </w:r>
          </w:p>
        </w:tc>
      </w:tr>
    </w:tbl>
    <w:p w14:paraId="7E209655">
      <w:pPr>
        <w:pStyle w:val="3"/>
        <w:spacing w:before="0" w:after="0" w:line="360" w:lineRule="auto"/>
        <w:jc w:val="left"/>
        <w:rPr>
          <w:rFonts w:hint="default" w:ascii="Times New Roman" w:hAnsi="Times New Roman" w:eastAsia="宋体" w:cs="Times New Roman"/>
          <w:u w:val="single"/>
        </w:rPr>
      </w:pPr>
      <w:bookmarkStart w:id="210" w:name="_Toc123733075"/>
      <w:bookmarkStart w:id="211" w:name="_Toc106961870"/>
      <w:bookmarkStart w:id="212" w:name="_Toc87016973"/>
      <w:bookmarkStart w:id="213" w:name="_Toc9580"/>
      <w:bookmarkStart w:id="214" w:name="_Toc34723866"/>
      <w:r>
        <w:rPr>
          <w:rFonts w:hint="default" w:ascii="Times New Roman" w:hAnsi="Times New Roman" w:eastAsia="宋体" w:cs="Times New Roman"/>
          <w:u w:val="single"/>
        </w:rPr>
        <w:t>2.6环境保护目标</w:t>
      </w:r>
      <w:bookmarkEnd w:id="210"/>
      <w:bookmarkEnd w:id="211"/>
      <w:bookmarkEnd w:id="212"/>
      <w:bookmarkEnd w:id="213"/>
      <w:bookmarkEnd w:id="214"/>
    </w:p>
    <w:p w14:paraId="5F95D4AA">
      <w:pPr>
        <w:spacing w:line="360" w:lineRule="auto"/>
        <w:ind w:firstLine="480"/>
        <w:rPr>
          <w:rFonts w:hint="default" w:ascii="Times New Roman" w:hAnsi="Times New Roman" w:eastAsia="宋体" w:cs="Times New Roman"/>
          <w:sz w:val="24"/>
          <w:szCs w:val="24"/>
          <w:u w:val="single"/>
        </w:rPr>
      </w:pPr>
      <w:r>
        <w:rPr>
          <w:rFonts w:hint="default" w:ascii="Times New Roman" w:hAnsi="Times New Roman" w:eastAsia="宋体" w:cs="Times New Roman"/>
          <w:kern w:val="0"/>
          <w:sz w:val="24"/>
          <w:szCs w:val="24"/>
          <w:u w:val="single"/>
        </w:rPr>
        <w:t>本项目位于衡阳松木经济开发区，根</w:t>
      </w:r>
      <w:r>
        <w:rPr>
          <w:rFonts w:hint="default" w:ascii="Times New Roman" w:hAnsi="Times New Roman" w:eastAsia="宋体" w:cs="Times New Roman"/>
          <w:sz w:val="24"/>
          <w:szCs w:val="24"/>
          <w:u w:val="single"/>
        </w:rPr>
        <w:t>据环境影响因子识别结果、影响程度及拟建项目的各环境要素评价范围，确定环境敏感目标，项目评价范围内无风景区、文物古迹、珍稀植物等特殊敏感对象，项目环境保护目标见表2.6-1~2.6-3，环境保护目标分布情况见附图。</w:t>
      </w:r>
    </w:p>
    <w:p w14:paraId="79DC0BFB">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表2.6-1  地表水环境保护目标一览表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82"/>
        <w:gridCol w:w="2055"/>
        <w:gridCol w:w="2126"/>
        <w:gridCol w:w="2459"/>
      </w:tblGrid>
      <w:tr w14:paraId="6F471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pct"/>
            <w:vAlign w:val="center"/>
          </w:tcPr>
          <w:p w14:paraId="39A346A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保护目标</w:t>
            </w:r>
          </w:p>
        </w:tc>
        <w:tc>
          <w:tcPr>
            <w:tcW w:w="1205" w:type="pct"/>
            <w:vAlign w:val="center"/>
          </w:tcPr>
          <w:p w14:paraId="45D37B6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保护对象</w:t>
            </w:r>
          </w:p>
        </w:tc>
        <w:tc>
          <w:tcPr>
            <w:tcW w:w="1247" w:type="pct"/>
            <w:vAlign w:val="center"/>
          </w:tcPr>
          <w:p w14:paraId="0656B02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与项目的位置关系</w:t>
            </w:r>
          </w:p>
        </w:tc>
        <w:tc>
          <w:tcPr>
            <w:tcW w:w="1442" w:type="pct"/>
            <w:vAlign w:val="center"/>
          </w:tcPr>
          <w:p w14:paraId="38BECF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b/>
                <w:bCs/>
                <w:szCs w:val="18"/>
                <w:u w:val="single"/>
              </w:rPr>
              <w:t>保护要求</w:t>
            </w:r>
          </w:p>
        </w:tc>
      </w:tr>
      <w:tr w14:paraId="7CAAF3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104" w:type="pct"/>
            <w:vAlign w:val="center"/>
          </w:tcPr>
          <w:p w14:paraId="71A601FD">
            <w:pPr>
              <w:keepNext w:val="0"/>
              <w:keepLines w:val="0"/>
              <w:suppressLineNumbers w:val="0"/>
              <w:tabs>
                <w:tab w:val="left" w:pos="1021"/>
              </w:tabs>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湘江</w:t>
            </w:r>
          </w:p>
          <w:p w14:paraId="375C55CD">
            <w:pPr>
              <w:keepNext w:val="0"/>
              <w:keepLines w:val="0"/>
              <w:suppressLineNumbers w:val="0"/>
              <w:tabs>
                <w:tab w:val="left" w:pos="1021"/>
              </w:tabs>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（蒸水口至大浦镇师塘村上游6000m）</w:t>
            </w:r>
          </w:p>
        </w:tc>
        <w:tc>
          <w:tcPr>
            <w:tcW w:w="1205" w:type="pct"/>
            <w:vAlign w:val="center"/>
          </w:tcPr>
          <w:p w14:paraId="3CAAA0DD">
            <w:pPr>
              <w:keepNext w:val="0"/>
              <w:keepLines w:val="0"/>
              <w:suppressLineNumbers w:val="0"/>
              <w:tabs>
                <w:tab w:val="left" w:pos="1021"/>
              </w:tabs>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大河，工业用水</w:t>
            </w:r>
          </w:p>
        </w:tc>
        <w:tc>
          <w:tcPr>
            <w:tcW w:w="1247" w:type="pct"/>
            <w:vAlign w:val="center"/>
          </w:tcPr>
          <w:p w14:paraId="7401E96A">
            <w:pPr>
              <w:keepNext w:val="0"/>
              <w:keepLines w:val="0"/>
              <w:suppressLineNumbers w:val="0"/>
              <w:tabs>
                <w:tab w:val="left" w:pos="1021"/>
              </w:tabs>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E，2.5km</w:t>
            </w:r>
          </w:p>
        </w:tc>
        <w:tc>
          <w:tcPr>
            <w:tcW w:w="1442" w:type="pct"/>
            <w:vAlign w:val="center"/>
          </w:tcPr>
          <w:p w14:paraId="37DE36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《地表水环境质量标准》（GB3838-2002）III类标准</w:t>
            </w:r>
          </w:p>
        </w:tc>
      </w:tr>
    </w:tbl>
    <w:p w14:paraId="072B71E0">
      <w:pPr>
        <w:tabs>
          <w:tab w:val="left" w:pos="2427"/>
          <w:tab w:val="left" w:pos="6075"/>
        </w:tabs>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表2.6-2  环境空气主要保护目标一览表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06"/>
        <w:gridCol w:w="1276"/>
        <w:gridCol w:w="1193"/>
        <w:gridCol w:w="659"/>
        <w:gridCol w:w="1094"/>
        <w:gridCol w:w="1418"/>
        <w:gridCol w:w="1676"/>
      </w:tblGrid>
      <w:tr w14:paraId="597294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Merge w:val="restart"/>
            <w:vAlign w:val="center"/>
          </w:tcPr>
          <w:p w14:paraId="670590B7">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名称</w:t>
            </w:r>
          </w:p>
        </w:tc>
        <w:tc>
          <w:tcPr>
            <w:tcW w:w="1473" w:type="pct"/>
            <w:gridSpan w:val="2"/>
            <w:vAlign w:val="center"/>
          </w:tcPr>
          <w:p w14:paraId="6B01003F">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坐标</w:t>
            </w:r>
          </w:p>
        </w:tc>
        <w:tc>
          <w:tcPr>
            <w:tcW w:w="399" w:type="pct"/>
            <w:vMerge w:val="restart"/>
            <w:vAlign w:val="center"/>
          </w:tcPr>
          <w:p w14:paraId="0BAC11F8">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保护</w:t>
            </w:r>
          </w:p>
          <w:p w14:paraId="29013E3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对象</w:t>
            </w:r>
          </w:p>
        </w:tc>
        <w:tc>
          <w:tcPr>
            <w:tcW w:w="654" w:type="pct"/>
            <w:vMerge w:val="restart"/>
            <w:vAlign w:val="center"/>
          </w:tcPr>
          <w:p w14:paraId="3078C135">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保护</w:t>
            </w:r>
          </w:p>
          <w:p w14:paraId="7894FF4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规模</w:t>
            </w:r>
          </w:p>
        </w:tc>
        <w:tc>
          <w:tcPr>
            <w:tcW w:w="759" w:type="pct"/>
            <w:vMerge w:val="restart"/>
            <w:vAlign w:val="center"/>
          </w:tcPr>
          <w:p w14:paraId="46C83B52">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环境功能区</w:t>
            </w:r>
          </w:p>
        </w:tc>
        <w:tc>
          <w:tcPr>
            <w:tcW w:w="996" w:type="pct"/>
            <w:vMerge w:val="restart"/>
            <w:vAlign w:val="center"/>
          </w:tcPr>
          <w:p w14:paraId="49950E0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与项目位置关系</w:t>
            </w:r>
          </w:p>
        </w:tc>
      </w:tr>
      <w:tr w14:paraId="190C08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Merge w:val="continue"/>
            <w:vAlign w:val="center"/>
          </w:tcPr>
          <w:p w14:paraId="1A356E40">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p>
        </w:tc>
        <w:tc>
          <w:tcPr>
            <w:tcW w:w="761" w:type="pct"/>
            <w:vAlign w:val="center"/>
          </w:tcPr>
          <w:p w14:paraId="489DBD22">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经度°</w:t>
            </w:r>
          </w:p>
        </w:tc>
        <w:tc>
          <w:tcPr>
            <w:tcW w:w="712" w:type="pct"/>
            <w:vAlign w:val="center"/>
          </w:tcPr>
          <w:p w14:paraId="5AECB865">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纬度°</w:t>
            </w:r>
          </w:p>
        </w:tc>
        <w:tc>
          <w:tcPr>
            <w:tcW w:w="399" w:type="pct"/>
            <w:vMerge w:val="continue"/>
            <w:vAlign w:val="center"/>
          </w:tcPr>
          <w:p w14:paraId="0024953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p>
        </w:tc>
        <w:tc>
          <w:tcPr>
            <w:tcW w:w="654" w:type="pct"/>
            <w:vMerge w:val="continue"/>
            <w:vAlign w:val="center"/>
          </w:tcPr>
          <w:p w14:paraId="5602F6E5">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p>
        </w:tc>
        <w:tc>
          <w:tcPr>
            <w:tcW w:w="759" w:type="pct"/>
            <w:vMerge w:val="continue"/>
            <w:vAlign w:val="center"/>
          </w:tcPr>
          <w:p w14:paraId="7A0FA4F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p>
        </w:tc>
        <w:tc>
          <w:tcPr>
            <w:tcW w:w="996" w:type="pct"/>
            <w:vMerge w:val="continue"/>
            <w:vAlign w:val="center"/>
          </w:tcPr>
          <w:p w14:paraId="50103F8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18"/>
                <w:u w:val="single"/>
              </w:rPr>
            </w:pPr>
          </w:p>
        </w:tc>
      </w:tr>
      <w:tr w14:paraId="4557BE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3774D5B6">
            <w:pPr>
              <w:keepNext w:val="0"/>
              <w:keepLines w:val="0"/>
              <w:suppressLineNumbers w:val="0"/>
              <w:tabs>
                <w:tab w:val="left" w:pos="2427"/>
                <w:tab w:val="left" w:pos="6075"/>
              </w:tabs>
              <w:spacing w:before="0" w:beforeAutospacing="0" w:after="0" w:afterAutospacing="0" w:line="280" w:lineRule="exact"/>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松木经开区公租房居民区</w:t>
            </w:r>
          </w:p>
        </w:tc>
        <w:tc>
          <w:tcPr>
            <w:tcW w:w="761" w:type="pct"/>
            <w:vAlign w:val="center"/>
          </w:tcPr>
          <w:p w14:paraId="626161D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112.623185</w:t>
            </w:r>
          </w:p>
        </w:tc>
        <w:tc>
          <w:tcPr>
            <w:tcW w:w="712" w:type="pct"/>
            <w:vAlign w:val="center"/>
          </w:tcPr>
          <w:p w14:paraId="40E88675">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26.968684</w:t>
            </w:r>
          </w:p>
        </w:tc>
        <w:tc>
          <w:tcPr>
            <w:tcW w:w="399" w:type="pct"/>
            <w:vAlign w:val="center"/>
          </w:tcPr>
          <w:p w14:paraId="7D65FAB4">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1251B23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szCs w:val="18"/>
                <w:u w:val="single"/>
              </w:rPr>
              <w:t>约600户</w:t>
            </w:r>
          </w:p>
        </w:tc>
        <w:tc>
          <w:tcPr>
            <w:tcW w:w="759" w:type="pct"/>
            <w:vMerge w:val="restart"/>
            <w:vAlign w:val="center"/>
          </w:tcPr>
          <w:p w14:paraId="44BD71A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GB3095-2012</w:t>
            </w:r>
          </w:p>
          <w:p w14:paraId="6B9118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二类区</w:t>
            </w:r>
          </w:p>
        </w:tc>
        <w:tc>
          <w:tcPr>
            <w:tcW w:w="996" w:type="pct"/>
            <w:vAlign w:val="center"/>
          </w:tcPr>
          <w:p w14:paraId="0D206E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 xml:space="preserve">SW </w:t>
            </w:r>
          </w:p>
          <w:p w14:paraId="37D57E4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szCs w:val="18"/>
                <w:u w:val="single"/>
              </w:rPr>
              <w:t>560~1100m</w:t>
            </w:r>
          </w:p>
        </w:tc>
      </w:tr>
      <w:tr w14:paraId="6BCD7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4DB2FAD9">
            <w:pPr>
              <w:keepNext w:val="0"/>
              <w:keepLines w:val="0"/>
              <w:suppressLineNumbers w:val="0"/>
              <w:tabs>
                <w:tab w:val="left" w:pos="2427"/>
                <w:tab w:val="left" w:pos="6075"/>
              </w:tabs>
              <w:spacing w:before="0" w:beforeAutospacing="0" w:after="0" w:afterAutospacing="0" w:line="280" w:lineRule="exact"/>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松木经开区管理委员会</w:t>
            </w:r>
          </w:p>
        </w:tc>
        <w:tc>
          <w:tcPr>
            <w:tcW w:w="761" w:type="pct"/>
            <w:vAlign w:val="center"/>
          </w:tcPr>
          <w:p w14:paraId="1B4AC75B">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112.617168</w:t>
            </w:r>
          </w:p>
        </w:tc>
        <w:tc>
          <w:tcPr>
            <w:tcW w:w="712" w:type="pct"/>
            <w:vAlign w:val="center"/>
          </w:tcPr>
          <w:p w14:paraId="542C4E91">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26.967273</w:t>
            </w:r>
          </w:p>
        </w:tc>
        <w:tc>
          <w:tcPr>
            <w:tcW w:w="399" w:type="pct"/>
            <w:vAlign w:val="center"/>
          </w:tcPr>
          <w:p w14:paraId="4BB2536A">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办公区</w:t>
            </w:r>
          </w:p>
        </w:tc>
        <w:tc>
          <w:tcPr>
            <w:tcW w:w="654" w:type="pct"/>
            <w:vAlign w:val="center"/>
          </w:tcPr>
          <w:p w14:paraId="7E606C1A">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约500人</w:t>
            </w:r>
          </w:p>
        </w:tc>
        <w:tc>
          <w:tcPr>
            <w:tcW w:w="759" w:type="pct"/>
            <w:vMerge w:val="continue"/>
            <w:vAlign w:val="center"/>
          </w:tcPr>
          <w:p w14:paraId="2FB96D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1B167E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SW 1200m</w:t>
            </w:r>
          </w:p>
        </w:tc>
      </w:tr>
      <w:tr w14:paraId="2403F8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2AC09A9D">
            <w:pPr>
              <w:keepNext w:val="0"/>
              <w:keepLines w:val="0"/>
              <w:suppressLineNumbers w:val="0"/>
              <w:tabs>
                <w:tab w:val="left" w:pos="2427"/>
                <w:tab w:val="left" w:pos="6075"/>
              </w:tabs>
              <w:spacing w:before="0" w:beforeAutospacing="0" w:after="0" w:afterAutospacing="0" w:line="280" w:lineRule="exact"/>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金源社区居民区</w:t>
            </w:r>
          </w:p>
        </w:tc>
        <w:tc>
          <w:tcPr>
            <w:tcW w:w="761" w:type="pct"/>
            <w:vAlign w:val="center"/>
          </w:tcPr>
          <w:p w14:paraId="1151FFD7">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112.617823</w:t>
            </w:r>
          </w:p>
        </w:tc>
        <w:tc>
          <w:tcPr>
            <w:tcW w:w="712" w:type="pct"/>
            <w:vAlign w:val="center"/>
          </w:tcPr>
          <w:p w14:paraId="50B55640">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26.972563</w:t>
            </w:r>
          </w:p>
        </w:tc>
        <w:tc>
          <w:tcPr>
            <w:tcW w:w="399" w:type="pct"/>
            <w:vAlign w:val="center"/>
          </w:tcPr>
          <w:p w14:paraId="0B8B444F">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59EF2CC4">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约500户</w:t>
            </w:r>
          </w:p>
        </w:tc>
        <w:tc>
          <w:tcPr>
            <w:tcW w:w="759" w:type="pct"/>
            <w:vMerge w:val="continue"/>
            <w:vAlign w:val="center"/>
          </w:tcPr>
          <w:p w14:paraId="34F4C2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41F4DF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 xml:space="preserve">W </w:t>
            </w:r>
          </w:p>
          <w:p w14:paraId="65329EF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930~1400m</w:t>
            </w:r>
          </w:p>
        </w:tc>
      </w:tr>
      <w:tr w14:paraId="44646E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7C83C02B">
            <w:pPr>
              <w:keepNext w:val="0"/>
              <w:keepLines w:val="0"/>
              <w:suppressLineNumbers w:val="0"/>
              <w:tabs>
                <w:tab w:val="left" w:pos="2427"/>
                <w:tab w:val="left" w:pos="6075"/>
              </w:tabs>
              <w:spacing w:before="0" w:beforeAutospacing="0" w:after="0" w:afterAutospacing="0" w:line="280" w:lineRule="exact"/>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宋家湾居民区</w:t>
            </w:r>
          </w:p>
        </w:tc>
        <w:tc>
          <w:tcPr>
            <w:tcW w:w="761" w:type="pct"/>
            <w:vAlign w:val="center"/>
          </w:tcPr>
          <w:p w14:paraId="6B56BD1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112.612957</w:t>
            </w:r>
          </w:p>
        </w:tc>
        <w:tc>
          <w:tcPr>
            <w:tcW w:w="712" w:type="pct"/>
            <w:vAlign w:val="center"/>
          </w:tcPr>
          <w:p w14:paraId="546F02BF">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26.973592</w:t>
            </w:r>
          </w:p>
        </w:tc>
        <w:tc>
          <w:tcPr>
            <w:tcW w:w="399" w:type="pct"/>
            <w:vAlign w:val="center"/>
          </w:tcPr>
          <w:p w14:paraId="58E707D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0EFA223F">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szCs w:val="18"/>
                <w:u w:val="single"/>
              </w:rPr>
              <w:t>约150户</w:t>
            </w:r>
          </w:p>
        </w:tc>
        <w:tc>
          <w:tcPr>
            <w:tcW w:w="759" w:type="pct"/>
            <w:vMerge w:val="continue"/>
            <w:vAlign w:val="center"/>
          </w:tcPr>
          <w:p w14:paraId="3DE6B8C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7BE744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W</w:t>
            </w:r>
          </w:p>
          <w:p w14:paraId="11DBCC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1400~2200m</w:t>
            </w:r>
          </w:p>
        </w:tc>
      </w:tr>
      <w:tr w14:paraId="2B770C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064B5946">
            <w:pPr>
              <w:keepNext w:val="0"/>
              <w:keepLines w:val="0"/>
              <w:suppressLineNumbers w:val="0"/>
              <w:tabs>
                <w:tab w:val="left" w:pos="2427"/>
                <w:tab w:val="left" w:pos="6075"/>
              </w:tabs>
              <w:spacing w:before="0" w:beforeAutospacing="0" w:after="0" w:afterAutospacing="0" w:line="280" w:lineRule="exact"/>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松木小学</w:t>
            </w:r>
          </w:p>
        </w:tc>
        <w:tc>
          <w:tcPr>
            <w:tcW w:w="761" w:type="pct"/>
            <w:vAlign w:val="center"/>
          </w:tcPr>
          <w:p w14:paraId="72B2B7B8">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112.613215</w:t>
            </w:r>
          </w:p>
        </w:tc>
        <w:tc>
          <w:tcPr>
            <w:tcW w:w="712" w:type="pct"/>
            <w:vAlign w:val="center"/>
          </w:tcPr>
          <w:p w14:paraId="3F95601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26.973300</w:t>
            </w:r>
          </w:p>
        </w:tc>
        <w:tc>
          <w:tcPr>
            <w:tcW w:w="399" w:type="pct"/>
            <w:vAlign w:val="center"/>
          </w:tcPr>
          <w:p w14:paraId="7AFCA7C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学校</w:t>
            </w:r>
          </w:p>
        </w:tc>
        <w:tc>
          <w:tcPr>
            <w:tcW w:w="654" w:type="pct"/>
            <w:vAlign w:val="center"/>
          </w:tcPr>
          <w:p w14:paraId="7773190C">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师生约400人</w:t>
            </w:r>
          </w:p>
        </w:tc>
        <w:tc>
          <w:tcPr>
            <w:tcW w:w="759" w:type="pct"/>
            <w:vMerge w:val="continue"/>
            <w:vAlign w:val="center"/>
          </w:tcPr>
          <w:p w14:paraId="55066E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46CBC94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W 1500m</w:t>
            </w:r>
          </w:p>
        </w:tc>
      </w:tr>
      <w:tr w14:paraId="1EC73D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29C7E448">
            <w:pPr>
              <w:keepNext w:val="0"/>
              <w:keepLines w:val="0"/>
              <w:suppressLineNumbers w:val="0"/>
              <w:tabs>
                <w:tab w:val="left" w:pos="2427"/>
                <w:tab w:val="left" w:pos="6075"/>
              </w:tabs>
              <w:spacing w:before="0" w:beforeAutospacing="0" w:after="0" w:afterAutospacing="0" w:line="280" w:lineRule="exact"/>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金源小学</w:t>
            </w:r>
          </w:p>
        </w:tc>
        <w:tc>
          <w:tcPr>
            <w:tcW w:w="761" w:type="pct"/>
            <w:vAlign w:val="center"/>
          </w:tcPr>
          <w:p w14:paraId="32293E25">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112.613816</w:t>
            </w:r>
          </w:p>
        </w:tc>
        <w:tc>
          <w:tcPr>
            <w:tcW w:w="712" w:type="pct"/>
            <w:vAlign w:val="center"/>
          </w:tcPr>
          <w:p w14:paraId="62DA79AD">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26.975677</w:t>
            </w:r>
          </w:p>
        </w:tc>
        <w:tc>
          <w:tcPr>
            <w:tcW w:w="399" w:type="pct"/>
            <w:vAlign w:val="center"/>
          </w:tcPr>
          <w:p w14:paraId="4254A886">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学校</w:t>
            </w:r>
          </w:p>
        </w:tc>
        <w:tc>
          <w:tcPr>
            <w:tcW w:w="654" w:type="pct"/>
            <w:vAlign w:val="center"/>
          </w:tcPr>
          <w:p w14:paraId="0BC8753C">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师生约800人</w:t>
            </w:r>
          </w:p>
        </w:tc>
        <w:tc>
          <w:tcPr>
            <w:tcW w:w="759" w:type="pct"/>
            <w:vMerge w:val="continue"/>
            <w:vAlign w:val="center"/>
          </w:tcPr>
          <w:p w14:paraId="466131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05E64F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W 1400m</w:t>
            </w:r>
          </w:p>
        </w:tc>
      </w:tr>
      <w:tr w14:paraId="79F959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4F6ABBDE">
            <w:pPr>
              <w:keepNext w:val="0"/>
              <w:keepLines w:val="0"/>
              <w:suppressLineNumbers w:val="0"/>
              <w:tabs>
                <w:tab w:val="left" w:pos="2427"/>
                <w:tab w:val="left" w:pos="6075"/>
              </w:tabs>
              <w:spacing w:before="0" w:beforeAutospacing="0" w:after="0" w:afterAutospacing="0" w:line="280" w:lineRule="exact"/>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湖南工商职业学院</w:t>
            </w:r>
          </w:p>
        </w:tc>
        <w:tc>
          <w:tcPr>
            <w:tcW w:w="761" w:type="pct"/>
            <w:vAlign w:val="center"/>
          </w:tcPr>
          <w:p w14:paraId="0C213636">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112.616873</w:t>
            </w:r>
          </w:p>
        </w:tc>
        <w:tc>
          <w:tcPr>
            <w:tcW w:w="712" w:type="pct"/>
            <w:vAlign w:val="center"/>
          </w:tcPr>
          <w:p w14:paraId="53D799C6">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26.969583</w:t>
            </w:r>
          </w:p>
        </w:tc>
        <w:tc>
          <w:tcPr>
            <w:tcW w:w="399" w:type="pct"/>
            <w:vAlign w:val="center"/>
          </w:tcPr>
          <w:p w14:paraId="6371E0F3">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学校</w:t>
            </w:r>
          </w:p>
        </w:tc>
        <w:tc>
          <w:tcPr>
            <w:tcW w:w="654" w:type="pct"/>
            <w:vAlign w:val="center"/>
          </w:tcPr>
          <w:p w14:paraId="333B5362">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szCs w:val="18"/>
                <w:u w:val="single"/>
              </w:rPr>
              <w:t>师生约11000人</w:t>
            </w:r>
          </w:p>
        </w:tc>
        <w:tc>
          <w:tcPr>
            <w:tcW w:w="759" w:type="pct"/>
            <w:vMerge w:val="continue"/>
            <w:vAlign w:val="center"/>
          </w:tcPr>
          <w:p w14:paraId="51E17D2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4AC56D3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SW 1100m</w:t>
            </w:r>
          </w:p>
        </w:tc>
      </w:tr>
      <w:tr w14:paraId="78BCA0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4EF9C7BB">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松木中学</w:t>
            </w:r>
          </w:p>
        </w:tc>
        <w:tc>
          <w:tcPr>
            <w:tcW w:w="761" w:type="pct"/>
            <w:vAlign w:val="center"/>
          </w:tcPr>
          <w:p w14:paraId="7326C306">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112.613505</w:t>
            </w:r>
          </w:p>
        </w:tc>
        <w:tc>
          <w:tcPr>
            <w:tcW w:w="712" w:type="pct"/>
            <w:vAlign w:val="center"/>
          </w:tcPr>
          <w:p w14:paraId="4F055A4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26.968960</w:t>
            </w:r>
          </w:p>
        </w:tc>
        <w:tc>
          <w:tcPr>
            <w:tcW w:w="399" w:type="pct"/>
            <w:vAlign w:val="center"/>
          </w:tcPr>
          <w:p w14:paraId="56EEEC01">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学校</w:t>
            </w:r>
          </w:p>
        </w:tc>
        <w:tc>
          <w:tcPr>
            <w:tcW w:w="654" w:type="pct"/>
            <w:vAlign w:val="center"/>
          </w:tcPr>
          <w:p w14:paraId="221130D7">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师生约2200人</w:t>
            </w:r>
          </w:p>
        </w:tc>
        <w:tc>
          <w:tcPr>
            <w:tcW w:w="759" w:type="pct"/>
            <w:vMerge w:val="continue"/>
            <w:vAlign w:val="center"/>
          </w:tcPr>
          <w:p w14:paraId="5B3191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037503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SW 1500m</w:t>
            </w:r>
          </w:p>
        </w:tc>
      </w:tr>
      <w:tr w14:paraId="4F5D7A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5CC0C1D6">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黄沙湾居民区</w:t>
            </w:r>
          </w:p>
        </w:tc>
        <w:tc>
          <w:tcPr>
            <w:tcW w:w="761" w:type="pct"/>
            <w:vAlign w:val="center"/>
          </w:tcPr>
          <w:p w14:paraId="239AB48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112.615763</w:t>
            </w:r>
          </w:p>
        </w:tc>
        <w:tc>
          <w:tcPr>
            <w:tcW w:w="712" w:type="pct"/>
            <w:vAlign w:val="center"/>
          </w:tcPr>
          <w:p w14:paraId="3D199902">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26.968081</w:t>
            </w:r>
          </w:p>
        </w:tc>
        <w:tc>
          <w:tcPr>
            <w:tcW w:w="399" w:type="pct"/>
            <w:vAlign w:val="center"/>
          </w:tcPr>
          <w:p w14:paraId="29A52EC0">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2473E3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约120户</w:t>
            </w:r>
          </w:p>
        </w:tc>
        <w:tc>
          <w:tcPr>
            <w:tcW w:w="759" w:type="pct"/>
            <w:vMerge w:val="continue"/>
            <w:vAlign w:val="center"/>
          </w:tcPr>
          <w:p w14:paraId="656986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18B466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SW 1200~2500m</w:t>
            </w:r>
          </w:p>
        </w:tc>
      </w:tr>
      <w:tr w14:paraId="4DAAD2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6E85BE2C">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南冲居民散户区</w:t>
            </w:r>
          </w:p>
        </w:tc>
        <w:tc>
          <w:tcPr>
            <w:tcW w:w="761" w:type="pct"/>
            <w:vAlign w:val="center"/>
          </w:tcPr>
          <w:p w14:paraId="4F74A3EA">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112.615945</w:t>
            </w:r>
          </w:p>
        </w:tc>
        <w:tc>
          <w:tcPr>
            <w:tcW w:w="712" w:type="pct"/>
            <w:vAlign w:val="center"/>
          </w:tcPr>
          <w:p w14:paraId="4FB732AB">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26.96554</w:t>
            </w:r>
          </w:p>
        </w:tc>
        <w:tc>
          <w:tcPr>
            <w:tcW w:w="399" w:type="pct"/>
            <w:vAlign w:val="center"/>
          </w:tcPr>
          <w:p w14:paraId="227B4154">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309FA0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约10户</w:t>
            </w:r>
          </w:p>
        </w:tc>
        <w:tc>
          <w:tcPr>
            <w:tcW w:w="759" w:type="pct"/>
            <w:vMerge w:val="continue"/>
            <w:vAlign w:val="center"/>
          </w:tcPr>
          <w:p w14:paraId="6E93BA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195F80D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SW 1400m</w:t>
            </w:r>
          </w:p>
        </w:tc>
      </w:tr>
      <w:tr w14:paraId="6006D9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27DE3BA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范家排居民区</w:t>
            </w:r>
          </w:p>
        </w:tc>
        <w:tc>
          <w:tcPr>
            <w:tcW w:w="761" w:type="pct"/>
            <w:vAlign w:val="center"/>
          </w:tcPr>
          <w:p w14:paraId="65C2F90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112.613295</w:t>
            </w:r>
          </w:p>
        </w:tc>
        <w:tc>
          <w:tcPr>
            <w:tcW w:w="712" w:type="pct"/>
            <w:vAlign w:val="center"/>
          </w:tcPr>
          <w:p w14:paraId="517754B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26.965527</w:t>
            </w:r>
          </w:p>
        </w:tc>
        <w:tc>
          <w:tcPr>
            <w:tcW w:w="399" w:type="pct"/>
            <w:vAlign w:val="center"/>
          </w:tcPr>
          <w:p w14:paraId="55EE3D47">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602EB4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约80户</w:t>
            </w:r>
          </w:p>
        </w:tc>
        <w:tc>
          <w:tcPr>
            <w:tcW w:w="759" w:type="pct"/>
            <w:vMerge w:val="continue"/>
            <w:vAlign w:val="center"/>
          </w:tcPr>
          <w:p w14:paraId="2E452E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369A96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SW</w:t>
            </w:r>
          </w:p>
          <w:p w14:paraId="416E96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1600~2200m</w:t>
            </w:r>
          </w:p>
        </w:tc>
      </w:tr>
      <w:tr w14:paraId="18AB71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249F78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牛瓦冲居民点</w:t>
            </w:r>
          </w:p>
        </w:tc>
        <w:tc>
          <w:tcPr>
            <w:tcW w:w="761" w:type="pct"/>
            <w:vAlign w:val="center"/>
          </w:tcPr>
          <w:p w14:paraId="6C3D01AB">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112.604959</w:t>
            </w:r>
          </w:p>
        </w:tc>
        <w:tc>
          <w:tcPr>
            <w:tcW w:w="712" w:type="pct"/>
            <w:vAlign w:val="center"/>
          </w:tcPr>
          <w:p w14:paraId="5C5C570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26.960967</w:t>
            </w:r>
          </w:p>
        </w:tc>
        <w:tc>
          <w:tcPr>
            <w:tcW w:w="399" w:type="pct"/>
            <w:vAlign w:val="center"/>
          </w:tcPr>
          <w:p w14:paraId="5AE96D90">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4D31F0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约20户</w:t>
            </w:r>
          </w:p>
        </w:tc>
        <w:tc>
          <w:tcPr>
            <w:tcW w:w="759" w:type="pct"/>
            <w:vMerge w:val="continue"/>
            <w:vAlign w:val="center"/>
          </w:tcPr>
          <w:p w14:paraId="0BBBE8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587217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SW</w:t>
            </w:r>
          </w:p>
          <w:p w14:paraId="7B10F4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2600~2800m</w:t>
            </w:r>
          </w:p>
        </w:tc>
      </w:tr>
      <w:tr w14:paraId="3F38CC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24E66C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松木二期安置房小区</w:t>
            </w:r>
          </w:p>
        </w:tc>
        <w:tc>
          <w:tcPr>
            <w:tcW w:w="761" w:type="pct"/>
            <w:vAlign w:val="center"/>
          </w:tcPr>
          <w:p w14:paraId="3AAD1032">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112.615894</w:t>
            </w:r>
          </w:p>
        </w:tc>
        <w:tc>
          <w:tcPr>
            <w:tcW w:w="712" w:type="pct"/>
            <w:vAlign w:val="center"/>
          </w:tcPr>
          <w:p w14:paraId="4CD41363">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26.951325</w:t>
            </w:r>
          </w:p>
        </w:tc>
        <w:tc>
          <w:tcPr>
            <w:tcW w:w="399" w:type="pct"/>
            <w:vAlign w:val="center"/>
          </w:tcPr>
          <w:p w14:paraId="2E06FB03">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317F0F0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约600户</w:t>
            </w:r>
          </w:p>
        </w:tc>
        <w:tc>
          <w:tcPr>
            <w:tcW w:w="759" w:type="pct"/>
            <w:vMerge w:val="continue"/>
            <w:vAlign w:val="center"/>
          </w:tcPr>
          <w:p w14:paraId="66FF5C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104C46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SW</w:t>
            </w:r>
          </w:p>
          <w:p w14:paraId="381E22B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2600~2900m</w:t>
            </w:r>
          </w:p>
        </w:tc>
      </w:tr>
      <w:tr w14:paraId="65522A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6AE612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山木塘居民散户区</w:t>
            </w:r>
          </w:p>
        </w:tc>
        <w:tc>
          <w:tcPr>
            <w:tcW w:w="761" w:type="pct"/>
            <w:vAlign w:val="center"/>
          </w:tcPr>
          <w:p w14:paraId="342D3B3C">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112.603266</w:t>
            </w:r>
          </w:p>
        </w:tc>
        <w:tc>
          <w:tcPr>
            <w:tcW w:w="712" w:type="pct"/>
            <w:vAlign w:val="center"/>
          </w:tcPr>
          <w:p w14:paraId="19254262">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26.981355</w:t>
            </w:r>
          </w:p>
        </w:tc>
        <w:tc>
          <w:tcPr>
            <w:tcW w:w="399" w:type="pct"/>
            <w:vAlign w:val="center"/>
          </w:tcPr>
          <w:p w14:paraId="638C3D70">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0CC67D71">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约80户</w:t>
            </w:r>
          </w:p>
        </w:tc>
        <w:tc>
          <w:tcPr>
            <w:tcW w:w="759" w:type="pct"/>
            <w:vMerge w:val="continue"/>
            <w:vAlign w:val="center"/>
          </w:tcPr>
          <w:p w14:paraId="31B840F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4ECB7C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NW 2500~3000m</w:t>
            </w:r>
          </w:p>
        </w:tc>
      </w:tr>
      <w:tr w14:paraId="365D43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62E776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三字墙居民散户区</w:t>
            </w:r>
          </w:p>
        </w:tc>
        <w:tc>
          <w:tcPr>
            <w:tcW w:w="761" w:type="pct"/>
            <w:vAlign w:val="center"/>
          </w:tcPr>
          <w:p w14:paraId="4C94BA3D">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112.622868</w:t>
            </w:r>
          </w:p>
        </w:tc>
        <w:tc>
          <w:tcPr>
            <w:tcW w:w="712" w:type="pct"/>
            <w:vAlign w:val="center"/>
          </w:tcPr>
          <w:p w14:paraId="7A0B63B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26.983377</w:t>
            </w:r>
          </w:p>
        </w:tc>
        <w:tc>
          <w:tcPr>
            <w:tcW w:w="399" w:type="pct"/>
            <w:vAlign w:val="center"/>
          </w:tcPr>
          <w:p w14:paraId="51D9E0E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1DF8C0A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约10户</w:t>
            </w:r>
          </w:p>
        </w:tc>
        <w:tc>
          <w:tcPr>
            <w:tcW w:w="759" w:type="pct"/>
            <w:vMerge w:val="continue"/>
            <w:vAlign w:val="center"/>
          </w:tcPr>
          <w:p w14:paraId="07D957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09E0D26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NW 1300~1700m</w:t>
            </w:r>
          </w:p>
        </w:tc>
      </w:tr>
      <w:tr w14:paraId="56E453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06FF62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过路塘居民散居区</w:t>
            </w:r>
          </w:p>
        </w:tc>
        <w:tc>
          <w:tcPr>
            <w:tcW w:w="761" w:type="pct"/>
            <w:vAlign w:val="center"/>
          </w:tcPr>
          <w:p w14:paraId="56F8D2B1">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112.624113</w:t>
            </w:r>
          </w:p>
        </w:tc>
        <w:tc>
          <w:tcPr>
            <w:tcW w:w="712" w:type="pct"/>
            <w:vAlign w:val="center"/>
          </w:tcPr>
          <w:p w14:paraId="3CA3F86A">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26.995147</w:t>
            </w:r>
          </w:p>
        </w:tc>
        <w:tc>
          <w:tcPr>
            <w:tcW w:w="399" w:type="pct"/>
            <w:vAlign w:val="center"/>
          </w:tcPr>
          <w:p w14:paraId="6A925B65">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2D113986">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约30户</w:t>
            </w:r>
          </w:p>
        </w:tc>
        <w:tc>
          <w:tcPr>
            <w:tcW w:w="759" w:type="pct"/>
            <w:vMerge w:val="continue"/>
            <w:vAlign w:val="center"/>
          </w:tcPr>
          <w:p w14:paraId="726F61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61754D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N 2000~2600m</w:t>
            </w:r>
          </w:p>
        </w:tc>
      </w:tr>
      <w:tr w14:paraId="7A5BDC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23EC9C3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新安村居民区</w:t>
            </w:r>
          </w:p>
        </w:tc>
        <w:tc>
          <w:tcPr>
            <w:tcW w:w="761" w:type="pct"/>
            <w:vAlign w:val="center"/>
          </w:tcPr>
          <w:p w14:paraId="3C97EE0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112.638975</w:t>
            </w:r>
          </w:p>
        </w:tc>
        <w:tc>
          <w:tcPr>
            <w:tcW w:w="712" w:type="pct"/>
            <w:vAlign w:val="center"/>
          </w:tcPr>
          <w:p w14:paraId="796DB1EC">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263986215</w:t>
            </w:r>
          </w:p>
        </w:tc>
        <w:tc>
          <w:tcPr>
            <w:tcW w:w="399" w:type="pct"/>
            <w:vAlign w:val="center"/>
          </w:tcPr>
          <w:p w14:paraId="507B0220">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046FD04B">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约90户</w:t>
            </w:r>
          </w:p>
        </w:tc>
        <w:tc>
          <w:tcPr>
            <w:tcW w:w="759" w:type="pct"/>
            <w:vMerge w:val="continue"/>
            <w:vAlign w:val="center"/>
          </w:tcPr>
          <w:p w14:paraId="1CAEB7E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5B3966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EN 1600~2100m</w:t>
            </w:r>
          </w:p>
        </w:tc>
      </w:tr>
      <w:tr w14:paraId="04836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330FF3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高塘居民散户区</w:t>
            </w:r>
          </w:p>
        </w:tc>
        <w:tc>
          <w:tcPr>
            <w:tcW w:w="761" w:type="pct"/>
            <w:vAlign w:val="center"/>
          </w:tcPr>
          <w:p w14:paraId="76C44D7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112.637489</w:t>
            </w:r>
          </w:p>
        </w:tc>
        <w:tc>
          <w:tcPr>
            <w:tcW w:w="712" w:type="pct"/>
            <w:vAlign w:val="center"/>
          </w:tcPr>
          <w:p w14:paraId="4834545D">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26.992020</w:t>
            </w:r>
          </w:p>
        </w:tc>
        <w:tc>
          <w:tcPr>
            <w:tcW w:w="399" w:type="pct"/>
            <w:vAlign w:val="center"/>
          </w:tcPr>
          <w:p w14:paraId="591F8A32">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7497B9EC">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约15户</w:t>
            </w:r>
          </w:p>
        </w:tc>
        <w:tc>
          <w:tcPr>
            <w:tcW w:w="759" w:type="pct"/>
            <w:vMerge w:val="continue"/>
            <w:vAlign w:val="center"/>
          </w:tcPr>
          <w:p w14:paraId="2F280C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40924A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EN 2100~2400m</w:t>
            </w:r>
          </w:p>
        </w:tc>
      </w:tr>
      <w:tr w14:paraId="0B44C4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2CC9CC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邓老屋居民散户区</w:t>
            </w:r>
          </w:p>
        </w:tc>
        <w:tc>
          <w:tcPr>
            <w:tcW w:w="761" w:type="pct"/>
            <w:vAlign w:val="center"/>
          </w:tcPr>
          <w:p w14:paraId="0563136B">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112.641813</w:t>
            </w:r>
          </w:p>
        </w:tc>
        <w:tc>
          <w:tcPr>
            <w:tcW w:w="712" w:type="pct"/>
            <w:vAlign w:val="center"/>
          </w:tcPr>
          <w:p w14:paraId="1E0913A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26.995442</w:t>
            </w:r>
          </w:p>
        </w:tc>
        <w:tc>
          <w:tcPr>
            <w:tcW w:w="399" w:type="pct"/>
            <w:vAlign w:val="center"/>
          </w:tcPr>
          <w:p w14:paraId="025D48AB">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79A4920C">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约30户</w:t>
            </w:r>
          </w:p>
        </w:tc>
        <w:tc>
          <w:tcPr>
            <w:tcW w:w="759" w:type="pct"/>
            <w:vMerge w:val="continue"/>
            <w:vAlign w:val="center"/>
          </w:tcPr>
          <w:p w14:paraId="5255EA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39FECE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EN 2600~2800m</w:t>
            </w:r>
          </w:p>
        </w:tc>
      </w:tr>
      <w:tr w14:paraId="752B91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38CD0E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栗山港居民散户区</w:t>
            </w:r>
          </w:p>
        </w:tc>
        <w:tc>
          <w:tcPr>
            <w:tcW w:w="761" w:type="pct"/>
            <w:vAlign w:val="center"/>
          </w:tcPr>
          <w:p w14:paraId="5510ED5A">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112.650047</w:t>
            </w:r>
          </w:p>
        </w:tc>
        <w:tc>
          <w:tcPr>
            <w:tcW w:w="712" w:type="pct"/>
            <w:vAlign w:val="center"/>
          </w:tcPr>
          <w:p w14:paraId="0E00FD4C">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26.963921</w:t>
            </w:r>
          </w:p>
        </w:tc>
        <w:tc>
          <w:tcPr>
            <w:tcW w:w="399" w:type="pct"/>
            <w:vAlign w:val="center"/>
          </w:tcPr>
          <w:p w14:paraId="41078BDF">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7C9B8482">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约20户</w:t>
            </w:r>
          </w:p>
        </w:tc>
        <w:tc>
          <w:tcPr>
            <w:tcW w:w="759" w:type="pct"/>
            <w:vMerge w:val="continue"/>
            <w:vAlign w:val="center"/>
          </w:tcPr>
          <w:p w14:paraId="18CC3F9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00EBA1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SE 2400m</w:t>
            </w:r>
          </w:p>
        </w:tc>
      </w:tr>
      <w:tr w14:paraId="26DF60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31F1CD5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麻雀塘居民散户区</w:t>
            </w:r>
          </w:p>
        </w:tc>
        <w:tc>
          <w:tcPr>
            <w:tcW w:w="761" w:type="pct"/>
            <w:vAlign w:val="center"/>
          </w:tcPr>
          <w:p w14:paraId="4CBECA57">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112.646989</w:t>
            </w:r>
          </w:p>
        </w:tc>
        <w:tc>
          <w:tcPr>
            <w:tcW w:w="712" w:type="pct"/>
            <w:vAlign w:val="center"/>
          </w:tcPr>
          <w:p w14:paraId="6CCA0077">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26.959618</w:t>
            </w:r>
          </w:p>
        </w:tc>
        <w:tc>
          <w:tcPr>
            <w:tcW w:w="399" w:type="pct"/>
            <w:vAlign w:val="center"/>
          </w:tcPr>
          <w:p w14:paraId="633001DA">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712119AD">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napToGrid w:val="0"/>
                <w:color w:val="000000"/>
                <w:kern w:val="24"/>
                <w:szCs w:val="21"/>
                <w:u w:val="single"/>
              </w:rPr>
            </w:pPr>
            <w:r>
              <w:rPr>
                <w:rFonts w:hint="default" w:ascii="Times New Roman" w:hAnsi="Times New Roman" w:eastAsia="宋体" w:cs="Times New Roman"/>
                <w:szCs w:val="18"/>
                <w:u w:val="single"/>
              </w:rPr>
              <w:t>约40户</w:t>
            </w:r>
          </w:p>
        </w:tc>
        <w:tc>
          <w:tcPr>
            <w:tcW w:w="759" w:type="pct"/>
            <w:vMerge w:val="continue"/>
            <w:vAlign w:val="center"/>
          </w:tcPr>
          <w:p w14:paraId="54D05A2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2835521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 xml:space="preserve">SE </w:t>
            </w:r>
          </w:p>
          <w:p w14:paraId="2CC8541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2200~2400m</w:t>
            </w:r>
          </w:p>
        </w:tc>
      </w:tr>
      <w:tr w14:paraId="4F2DF6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515386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友谊村居民区</w:t>
            </w:r>
          </w:p>
        </w:tc>
        <w:tc>
          <w:tcPr>
            <w:tcW w:w="761" w:type="pct"/>
            <w:vAlign w:val="center"/>
          </w:tcPr>
          <w:p w14:paraId="53CF9441">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112.638063</w:t>
            </w:r>
          </w:p>
        </w:tc>
        <w:tc>
          <w:tcPr>
            <w:tcW w:w="712" w:type="pct"/>
            <w:vAlign w:val="center"/>
          </w:tcPr>
          <w:p w14:paraId="6502E02B">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26.956250</w:t>
            </w:r>
          </w:p>
        </w:tc>
        <w:tc>
          <w:tcPr>
            <w:tcW w:w="399" w:type="pct"/>
            <w:vAlign w:val="center"/>
          </w:tcPr>
          <w:p w14:paraId="3CF4B994">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70960FC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napToGrid w:val="0"/>
                <w:color w:val="000000"/>
                <w:kern w:val="24"/>
                <w:szCs w:val="21"/>
                <w:u w:val="single"/>
              </w:rPr>
            </w:pPr>
            <w:r>
              <w:rPr>
                <w:rFonts w:hint="default" w:ascii="Times New Roman" w:hAnsi="Times New Roman" w:eastAsia="宋体" w:cs="Times New Roman"/>
                <w:szCs w:val="18"/>
                <w:u w:val="single"/>
              </w:rPr>
              <w:t>约80户</w:t>
            </w:r>
          </w:p>
        </w:tc>
        <w:tc>
          <w:tcPr>
            <w:tcW w:w="759" w:type="pct"/>
            <w:vMerge w:val="continue"/>
            <w:vAlign w:val="center"/>
          </w:tcPr>
          <w:p w14:paraId="5B8B934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309E98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 xml:space="preserve">SE </w:t>
            </w:r>
          </w:p>
          <w:p w14:paraId="72F880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2000~2500m</w:t>
            </w:r>
          </w:p>
        </w:tc>
      </w:tr>
      <w:tr w14:paraId="0D1F05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005D45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江霞向阳安置房小区</w:t>
            </w:r>
          </w:p>
        </w:tc>
        <w:tc>
          <w:tcPr>
            <w:tcW w:w="761" w:type="pct"/>
            <w:vAlign w:val="center"/>
          </w:tcPr>
          <w:p w14:paraId="417F38E8">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112.646882</w:t>
            </w:r>
          </w:p>
        </w:tc>
        <w:tc>
          <w:tcPr>
            <w:tcW w:w="712" w:type="pct"/>
            <w:vAlign w:val="center"/>
          </w:tcPr>
          <w:p w14:paraId="538430BF">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26.950349</w:t>
            </w:r>
          </w:p>
        </w:tc>
        <w:tc>
          <w:tcPr>
            <w:tcW w:w="399" w:type="pct"/>
            <w:vAlign w:val="center"/>
          </w:tcPr>
          <w:p w14:paraId="6C37A1E4">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510F35CB">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napToGrid w:val="0"/>
                <w:color w:val="000000"/>
                <w:kern w:val="24"/>
                <w:szCs w:val="21"/>
                <w:u w:val="single"/>
              </w:rPr>
            </w:pPr>
            <w:r>
              <w:rPr>
                <w:rFonts w:hint="default" w:ascii="Times New Roman" w:hAnsi="Times New Roman" w:eastAsia="宋体" w:cs="Times New Roman"/>
                <w:szCs w:val="18"/>
                <w:u w:val="single"/>
              </w:rPr>
              <w:t>约600户</w:t>
            </w:r>
          </w:p>
        </w:tc>
        <w:tc>
          <w:tcPr>
            <w:tcW w:w="759" w:type="pct"/>
            <w:vMerge w:val="continue"/>
            <w:vAlign w:val="center"/>
          </w:tcPr>
          <w:p w14:paraId="6AE40EE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3C1F43F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 xml:space="preserve">SE </w:t>
            </w:r>
          </w:p>
          <w:p w14:paraId="1A855AC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3000~3200m</w:t>
            </w:r>
          </w:p>
        </w:tc>
      </w:tr>
      <w:tr w14:paraId="1C53E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720" w:type="pct"/>
            <w:vAlign w:val="center"/>
          </w:tcPr>
          <w:p w14:paraId="70D73D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在建居民小区</w:t>
            </w:r>
          </w:p>
        </w:tc>
        <w:tc>
          <w:tcPr>
            <w:tcW w:w="761" w:type="pct"/>
            <w:vAlign w:val="center"/>
          </w:tcPr>
          <w:p w14:paraId="0EDB7B58">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112.641937</w:t>
            </w:r>
          </w:p>
        </w:tc>
        <w:tc>
          <w:tcPr>
            <w:tcW w:w="712" w:type="pct"/>
            <w:vAlign w:val="center"/>
          </w:tcPr>
          <w:p w14:paraId="2FFFECEC">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26.950768</w:t>
            </w:r>
          </w:p>
        </w:tc>
        <w:tc>
          <w:tcPr>
            <w:tcW w:w="399" w:type="pct"/>
            <w:vAlign w:val="center"/>
          </w:tcPr>
          <w:p w14:paraId="6A48CA7E">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居民</w:t>
            </w:r>
          </w:p>
        </w:tc>
        <w:tc>
          <w:tcPr>
            <w:tcW w:w="654" w:type="pct"/>
            <w:vAlign w:val="center"/>
          </w:tcPr>
          <w:p w14:paraId="2C6EA2B9">
            <w:pPr>
              <w:keepNext w:val="0"/>
              <w:keepLines w:val="0"/>
              <w:suppressLineNumbers w:val="0"/>
              <w:tabs>
                <w:tab w:val="left" w:pos="2427"/>
                <w:tab w:val="left" w:pos="6075"/>
              </w:tabs>
              <w:spacing w:before="0" w:beforeAutospacing="0" w:after="0" w:afterAutospacing="0"/>
              <w:ind w:left="0" w:right="0"/>
              <w:jc w:val="center"/>
              <w:rPr>
                <w:rFonts w:hint="default" w:ascii="Times New Roman" w:hAnsi="Times New Roman" w:eastAsia="宋体" w:cs="Times New Roman"/>
                <w:snapToGrid w:val="0"/>
                <w:color w:val="000000"/>
                <w:kern w:val="24"/>
                <w:szCs w:val="21"/>
                <w:u w:val="single"/>
              </w:rPr>
            </w:pPr>
            <w:r>
              <w:rPr>
                <w:rFonts w:hint="default" w:ascii="Times New Roman" w:hAnsi="Times New Roman" w:eastAsia="宋体" w:cs="Times New Roman"/>
                <w:szCs w:val="18"/>
                <w:u w:val="single"/>
              </w:rPr>
              <w:t>约2000户</w:t>
            </w:r>
          </w:p>
        </w:tc>
        <w:tc>
          <w:tcPr>
            <w:tcW w:w="759" w:type="pct"/>
            <w:vMerge w:val="continue"/>
            <w:vAlign w:val="center"/>
          </w:tcPr>
          <w:p w14:paraId="221F6CB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p>
        </w:tc>
        <w:tc>
          <w:tcPr>
            <w:tcW w:w="996" w:type="pct"/>
            <w:vAlign w:val="center"/>
          </w:tcPr>
          <w:p w14:paraId="76FB13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 xml:space="preserve">SE </w:t>
            </w:r>
          </w:p>
          <w:p w14:paraId="273A4A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2600~2900m</w:t>
            </w:r>
          </w:p>
        </w:tc>
      </w:tr>
    </w:tbl>
    <w:p w14:paraId="1AF85D01">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表2.6-3  声、地下水、土壤及生态保护目标一览表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283"/>
        <w:gridCol w:w="1496"/>
        <w:gridCol w:w="2574"/>
        <w:gridCol w:w="3169"/>
      </w:tblGrid>
      <w:tr w14:paraId="1B6930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79" w:hRule="atLeast"/>
          <w:jc w:val="center"/>
        </w:trPr>
        <w:tc>
          <w:tcPr>
            <w:tcW w:w="753" w:type="pct"/>
            <w:vAlign w:val="center"/>
          </w:tcPr>
          <w:p w14:paraId="3AA08C8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类别</w:t>
            </w:r>
          </w:p>
        </w:tc>
        <w:tc>
          <w:tcPr>
            <w:tcW w:w="878" w:type="pct"/>
            <w:vAlign w:val="center"/>
          </w:tcPr>
          <w:p w14:paraId="4782AE7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保护对象</w:t>
            </w:r>
          </w:p>
        </w:tc>
        <w:tc>
          <w:tcPr>
            <w:tcW w:w="1510" w:type="pct"/>
            <w:vAlign w:val="center"/>
          </w:tcPr>
          <w:p w14:paraId="008B86A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18"/>
                <w:u w:val="single"/>
              </w:rPr>
            </w:pPr>
            <w:r>
              <w:rPr>
                <w:rFonts w:hint="default" w:ascii="Times New Roman" w:hAnsi="Times New Roman" w:eastAsia="宋体" w:cs="Times New Roman"/>
                <w:b/>
                <w:bCs/>
                <w:szCs w:val="18"/>
                <w:u w:val="single"/>
              </w:rPr>
              <w:t>与项目拟建区关系</w:t>
            </w:r>
          </w:p>
        </w:tc>
        <w:tc>
          <w:tcPr>
            <w:tcW w:w="1859" w:type="pct"/>
            <w:vAlign w:val="center"/>
          </w:tcPr>
          <w:p w14:paraId="168502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b/>
                <w:bCs/>
                <w:szCs w:val="18"/>
                <w:u w:val="single"/>
              </w:rPr>
              <w:t>保护要求</w:t>
            </w:r>
          </w:p>
        </w:tc>
      </w:tr>
      <w:tr w14:paraId="482C1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24" w:hRule="atLeast"/>
          <w:jc w:val="center"/>
        </w:trPr>
        <w:tc>
          <w:tcPr>
            <w:tcW w:w="753" w:type="pct"/>
            <w:vAlign w:val="center"/>
          </w:tcPr>
          <w:p w14:paraId="3274EA6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18"/>
                <w:u w:val="single"/>
              </w:rPr>
            </w:pPr>
            <w:r>
              <w:rPr>
                <w:rFonts w:hint="default" w:ascii="Times New Roman" w:hAnsi="Times New Roman" w:eastAsia="宋体" w:cs="Times New Roman"/>
                <w:bCs/>
                <w:szCs w:val="18"/>
                <w:u w:val="single"/>
              </w:rPr>
              <w:t>声环境</w:t>
            </w:r>
          </w:p>
        </w:tc>
        <w:tc>
          <w:tcPr>
            <w:tcW w:w="4247" w:type="pct"/>
            <w:gridSpan w:val="3"/>
            <w:vAlign w:val="center"/>
          </w:tcPr>
          <w:p w14:paraId="32F31D7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18"/>
                <w:u w:val="single"/>
              </w:rPr>
            </w:pPr>
            <w:r>
              <w:rPr>
                <w:rFonts w:hint="default" w:ascii="Times New Roman" w:hAnsi="Times New Roman" w:eastAsia="宋体" w:cs="Times New Roman"/>
                <w:bCs/>
                <w:szCs w:val="18"/>
                <w:u w:val="single"/>
              </w:rPr>
              <w:t>项目厂界200m范围内无声环境保护目标</w:t>
            </w:r>
          </w:p>
        </w:tc>
      </w:tr>
      <w:tr w14:paraId="496C66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3" w:type="pct"/>
            <w:vAlign w:val="center"/>
          </w:tcPr>
          <w:p w14:paraId="478787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地下水</w:t>
            </w:r>
          </w:p>
        </w:tc>
        <w:tc>
          <w:tcPr>
            <w:tcW w:w="2388" w:type="pct"/>
            <w:gridSpan w:val="2"/>
            <w:tcBorders>
              <w:right w:val="single" w:color="auto" w:sz="4" w:space="0"/>
            </w:tcBorders>
            <w:vAlign w:val="center"/>
          </w:tcPr>
          <w:p w14:paraId="56B467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u w:val="single"/>
              </w:rPr>
              <w:t>评价范围内的主要潜水含水层</w:t>
            </w:r>
          </w:p>
        </w:tc>
        <w:tc>
          <w:tcPr>
            <w:tcW w:w="1859" w:type="pct"/>
            <w:tcBorders>
              <w:left w:val="single" w:color="auto" w:sz="4" w:space="0"/>
            </w:tcBorders>
            <w:vAlign w:val="center"/>
          </w:tcPr>
          <w:p w14:paraId="77EE95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《地下水环境质量标准》（GB/T14848-2017）Ⅲ类标准</w:t>
            </w:r>
          </w:p>
        </w:tc>
      </w:tr>
      <w:tr w14:paraId="65813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3" w:type="pct"/>
            <w:vAlign w:val="center"/>
          </w:tcPr>
          <w:p w14:paraId="38016A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土壤</w:t>
            </w:r>
          </w:p>
        </w:tc>
        <w:tc>
          <w:tcPr>
            <w:tcW w:w="2388" w:type="pct"/>
            <w:gridSpan w:val="2"/>
            <w:tcBorders>
              <w:right w:val="single" w:color="auto" w:sz="4" w:space="0"/>
            </w:tcBorders>
            <w:vAlign w:val="center"/>
          </w:tcPr>
          <w:p w14:paraId="4642FB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21"/>
                <w:u w:val="single"/>
              </w:rPr>
              <w:t>项目周边200m的范围的土壤</w:t>
            </w:r>
          </w:p>
        </w:tc>
        <w:tc>
          <w:tcPr>
            <w:tcW w:w="1859" w:type="pct"/>
            <w:tcBorders>
              <w:left w:val="single" w:color="auto" w:sz="4" w:space="0"/>
            </w:tcBorders>
            <w:vAlign w:val="center"/>
          </w:tcPr>
          <w:p w14:paraId="66FC43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21"/>
                <w:u w:val="single"/>
              </w:rPr>
              <w:t>《土壤环境质量建设用地土壤污染风险管控标准（试行）》（GB36600-2018）</w:t>
            </w:r>
          </w:p>
        </w:tc>
      </w:tr>
      <w:tr w14:paraId="60FA62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53" w:type="pct"/>
            <w:vAlign w:val="center"/>
          </w:tcPr>
          <w:p w14:paraId="3DF90C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生态环境</w:t>
            </w:r>
          </w:p>
        </w:tc>
        <w:tc>
          <w:tcPr>
            <w:tcW w:w="878" w:type="pct"/>
            <w:vAlign w:val="center"/>
          </w:tcPr>
          <w:p w14:paraId="75972C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u w:val="single"/>
              </w:rPr>
              <w:t>植被、水土资源</w:t>
            </w:r>
          </w:p>
        </w:tc>
        <w:tc>
          <w:tcPr>
            <w:tcW w:w="1510" w:type="pct"/>
            <w:tcBorders>
              <w:right w:val="single" w:color="auto" w:sz="4" w:space="0"/>
            </w:tcBorders>
            <w:vAlign w:val="center"/>
          </w:tcPr>
          <w:p w14:paraId="4441C20A">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厂界外0.5km范围内植被、水土资源</w:t>
            </w:r>
          </w:p>
        </w:tc>
        <w:tc>
          <w:tcPr>
            <w:tcW w:w="1859" w:type="pct"/>
            <w:tcBorders>
              <w:left w:val="single" w:color="auto" w:sz="4" w:space="0"/>
            </w:tcBorders>
            <w:vAlign w:val="center"/>
          </w:tcPr>
          <w:p w14:paraId="491EDC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18"/>
                <w:u w:val="single"/>
              </w:rPr>
            </w:pPr>
            <w:r>
              <w:rPr>
                <w:rFonts w:hint="default" w:ascii="Times New Roman" w:hAnsi="Times New Roman" w:eastAsia="宋体" w:cs="Times New Roman"/>
                <w:szCs w:val="18"/>
                <w:u w:val="single"/>
              </w:rPr>
              <w:t>不使其生态功能发生变化</w:t>
            </w:r>
          </w:p>
        </w:tc>
      </w:tr>
    </w:tbl>
    <w:p w14:paraId="467D229D">
      <w:pPr>
        <w:autoSpaceDE w:val="0"/>
        <w:autoSpaceDN w:val="0"/>
        <w:spacing w:line="360" w:lineRule="auto"/>
        <w:ind w:firstLine="482" w:firstLineChars="200"/>
        <w:jc w:val="left"/>
        <w:rPr>
          <w:rFonts w:hint="default" w:ascii="Times New Roman" w:hAnsi="Times New Roman" w:eastAsia="宋体" w:cs="Times New Roman"/>
          <w:kern w:val="0"/>
          <w:sz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b/>
          <w:kern w:val="0"/>
          <w:sz w:val="24"/>
          <w:u w:val="single"/>
        </w:rPr>
        <w:t>注：</w:t>
      </w:r>
      <w:r>
        <w:rPr>
          <w:rFonts w:hint="default" w:ascii="Times New Roman" w:hAnsi="Times New Roman" w:eastAsia="宋体" w:cs="Times New Roman"/>
          <w:kern w:val="0"/>
          <w:sz w:val="24"/>
          <w:u w:val="single"/>
        </w:rPr>
        <w:t>项目厂界外500m范围内无地下集中式饮用水水源和热水、矿泉水、温泉等特殊地下水资源，不存在以上较为敏感的地下水环境保护目标</w:t>
      </w:r>
      <w:r>
        <w:rPr>
          <w:rFonts w:hint="default" w:ascii="Times New Roman" w:hAnsi="Times New Roman" w:eastAsia="宋体" w:cs="Times New Roman"/>
          <w:kern w:val="0"/>
          <w:sz w:val="24"/>
        </w:rPr>
        <w:t>。</w:t>
      </w:r>
    </w:p>
    <w:p w14:paraId="0CFA3229">
      <w:pPr>
        <w:pStyle w:val="2"/>
        <w:spacing w:before="0" w:after="0" w:line="360" w:lineRule="auto"/>
        <w:rPr>
          <w:rFonts w:hint="default" w:ascii="Times New Roman" w:hAnsi="Times New Roman" w:eastAsia="宋体" w:cs="Times New Roman"/>
        </w:rPr>
      </w:pPr>
      <w:bookmarkStart w:id="215" w:name="_Toc106961872"/>
      <w:bookmarkStart w:id="216" w:name="_Toc34723885"/>
      <w:bookmarkStart w:id="217" w:name="_Toc87016977"/>
      <w:bookmarkStart w:id="218" w:name="_Toc123733076"/>
      <w:bookmarkStart w:id="219" w:name="_Toc7755"/>
      <w:r>
        <w:rPr>
          <w:rFonts w:hint="default" w:ascii="Times New Roman" w:hAnsi="Times New Roman" w:eastAsia="宋体" w:cs="Times New Roman"/>
        </w:rPr>
        <w:t>3现有工程概况</w:t>
      </w:r>
      <w:bookmarkEnd w:id="215"/>
      <w:bookmarkEnd w:id="216"/>
      <w:bookmarkEnd w:id="217"/>
      <w:bookmarkEnd w:id="218"/>
      <w:bookmarkEnd w:id="219"/>
    </w:p>
    <w:p w14:paraId="1193333C">
      <w:pPr>
        <w:pStyle w:val="3"/>
        <w:spacing w:before="0" w:after="0" w:line="360" w:lineRule="auto"/>
        <w:jc w:val="left"/>
        <w:rPr>
          <w:rFonts w:hint="default" w:ascii="Times New Roman" w:hAnsi="Times New Roman" w:eastAsia="宋体" w:cs="Times New Roman"/>
          <w:kern w:val="0"/>
          <w:sz w:val="30"/>
          <w:szCs w:val="28"/>
          <w:u w:val="single"/>
        </w:rPr>
      </w:pPr>
      <w:bookmarkStart w:id="220" w:name="_Toc123733077"/>
      <w:bookmarkStart w:id="221" w:name="_Toc106961873"/>
      <w:bookmarkStart w:id="222" w:name="_Toc14532"/>
      <w:r>
        <w:rPr>
          <w:rFonts w:hint="default" w:ascii="Times New Roman" w:hAnsi="Times New Roman" w:eastAsia="宋体" w:cs="Times New Roman"/>
          <w:kern w:val="0"/>
          <w:sz w:val="30"/>
          <w:szCs w:val="28"/>
          <w:u w:val="single"/>
        </w:rPr>
        <w:t>3.1现有工程基本情况</w:t>
      </w:r>
      <w:bookmarkEnd w:id="220"/>
      <w:bookmarkEnd w:id="221"/>
      <w:bookmarkEnd w:id="222"/>
    </w:p>
    <w:p w14:paraId="16AFC807">
      <w:pPr>
        <w:spacing w:line="360" w:lineRule="auto"/>
        <w:ind w:firstLine="480" w:firstLineChars="200"/>
        <w:rPr>
          <w:rFonts w:hint="default" w:ascii="Times New Roman" w:hAnsi="Times New Roman" w:eastAsia="宋体" w:cs="Times New Roman"/>
          <w:sz w:val="24"/>
          <w:szCs w:val="28"/>
          <w:u w:val="single"/>
        </w:rPr>
      </w:pPr>
      <w:bookmarkStart w:id="223" w:name="_Toc5874"/>
      <w:bookmarkStart w:id="224" w:name="_Toc940"/>
      <w:r>
        <w:rPr>
          <w:rFonts w:hint="default" w:ascii="Times New Roman" w:hAnsi="Times New Roman" w:eastAsia="宋体" w:cs="Times New Roman"/>
          <w:color w:val="000000"/>
          <w:sz w:val="24"/>
          <w:szCs w:val="24"/>
          <w:u w:val="single"/>
        </w:rPr>
        <w:t>衡阳湘环环保科技有限公司于2022年4月投资500万元在湖南衡阳松木经济开发区金源路3号租赁衡阳市鑫鸿新材料有限公司已建厂房建设了“年收集贮存9800吨危险废物项目”，厂房总占地面积2100m</w:t>
      </w:r>
      <w:r>
        <w:rPr>
          <w:rFonts w:hint="default" w:ascii="Times New Roman" w:hAnsi="Times New Roman" w:eastAsia="宋体" w:cs="Times New Roman"/>
          <w:color w:val="000000"/>
          <w:sz w:val="24"/>
          <w:szCs w:val="24"/>
          <w:u w:val="single"/>
          <w:vertAlign w:val="superscript"/>
        </w:rPr>
        <w:t>2</w:t>
      </w:r>
      <w:r>
        <w:rPr>
          <w:rFonts w:hint="default" w:ascii="Times New Roman" w:hAnsi="Times New Roman" w:eastAsia="宋体" w:cs="Times New Roman"/>
          <w:color w:val="000000"/>
          <w:sz w:val="24"/>
          <w:szCs w:val="24"/>
          <w:u w:val="single"/>
        </w:rPr>
        <w:t>，废矿物油贮存区占地面积470m</w:t>
      </w:r>
      <w:r>
        <w:rPr>
          <w:rFonts w:hint="default" w:ascii="Times New Roman" w:hAnsi="Times New Roman" w:eastAsia="宋体" w:cs="Times New Roman"/>
          <w:color w:val="000000"/>
          <w:sz w:val="24"/>
          <w:szCs w:val="24"/>
          <w:u w:val="single"/>
          <w:vertAlign w:val="superscript"/>
        </w:rPr>
        <w:t>2</w:t>
      </w:r>
      <w:r>
        <w:rPr>
          <w:rFonts w:hint="default" w:ascii="Times New Roman" w:hAnsi="Times New Roman" w:eastAsia="宋体" w:cs="Times New Roman"/>
          <w:color w:val="000000"/>
          <w:sz w:val="24"/>
          <w:szCs w:val="24"/>
          <w:u w:val="single"/>
        </w:rPr>
        <w:t>，其它危废贮存区占地面积1630m</w:t>
      </w:r>
      <w:r>
        <w:rPr>
          <w:rFonts w:hint="default" w:ascii="Times New Roman" w:hAnsi="Times New Roman" w:eastAsia="宋体" w:cs="Times New Roman"/>
          <w:color w:val="000000"/>
          <w:sz w:val="24"/>
          <w:szCs w:val="24"/>
          <w:u w:val="single"/>
          <w:vertAlign w:val="superscript"/>
        </w:rPr>
        <w:t>2</w:t>
      </w:r>
      <w:r>
        <w:rPr>
          <w:rFonts w:hint="default" w:ascii="Times New Roman" w:hAnsi="Times New Roman" w:eastAsia="宋体" w:cs="Times New Roman"/>
          <w:color w:val="000000"/>
          <w:sz w:val="24"/>
          <w:szCs w:val="24"/>
          <w:u w:val="single"/>
        </w:rPr>
        <w:t>，年收集贮存9800吨危险废物（其中包括废矿物油4000吨、其它危险废物5800吨），</w:t>
      </w:r>
      <w:r>
        <w:rPr>
          <w:rFonts w:hint="default" w:ascii="Times New Roman" w:hAnsi="Times New Roman" w:eastAsia="宋体" w:cs="Times New Roman"/>
          <w:sz w:val="24"/>
          <w:szCs w:val="28"/>
          <w:u w:val="single"/>
        </w:rPr>
        <w:t xml:space="preserve">该项目《衡阳湘环环保科技有限公司年收集贮存9800吨危险废物项目环境影响报告表》于2022年4月取得衡阳市生态环境局关于该项目环评批复（衡环松评[2022]5号，详见附件）。 </w:t>
      </w:r>
    </w:p>
    <w:p w14:paraId="314FB5C9">
      <w:pPr>
        <w:spacing w:line="360" w:lineRule="auto"/>
        <w:ind w:firstLine="480" w:firstLineChars="200"/>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该项目经批复建设完成后，</w:t>
      </w:r>
      <w:r>
        <w:rPr>
          <w:rFonts w:hint="default" w:ascii="Times New Roman" w:hAnsi="Times New Roman" w:eastAsia="宋体" w:cs="Times New Roman"/>
          <w:color w:val="000000"/>
          <w:sz w:val="24"/>
          <w:szCs w:val="24"/>
          <w:u w:val="single"/>
        </w:rPr>
        <w:t>衡阳湘环环保科技有限公司于2022年7月编制了突发环境事件应急预案并完成了备案，</w:t>
      </w:r>
      <w:bookmarkEnd w:id="223"/>
      <w:bookmarkEnd w:id="224"/>
      <w:r>
        <w:rPr>
          <w:rFonts w:hint="default" w:ascii="Times New Roman" w:hAnsi="Times New Roman" w:eastAsia="宋体" w:cs="Times New Roman"/>
          <w:color w:val="000000"/>
          <w:sz w:val="24"/>
          <w:szCs w:val="24"/>
          <w:u w:val="single"/>
        </w:rPr>
        <w:t>并</w:t>
      </w:r>
      <w:r>
        <w:rPr>
          <w:rFonts w:hint="default" w:ascii="Times New Roman" w:hAnsi="Times New Roman" w:eastAsia="宋体" w:cs="Times New Roman"/>
          <w:sz w:val="24"/>
          <w:szCs w:val="28"/>
          <w:u w:val="single"/>
        </w:rPr>
        <w:t>于2022年8月1日取得排污许可证（证书编号：91430400MA7BT5692C001V），在取得排污许可证之后项目于</w:t>
      </w:r>
      <w:r>
        <w:rPr>
          <w:rFonts w:hint="default" w:ascii="Times New Roman" w:hAnsi="Times New Roman" w:eastAsia="宋体" w:cs="Times New Roman"/>
          <w:color w:val="000000"/>
          <w:sz w:val="24"/>
          <w:szCs w:val="24"/>
          <w:u w:val="single"/>
        </w:rPr>
        <w:t>2022年8月开始投入试运营</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该项目</w:t>
      </w:r>
      <w:r>
        <w:rPr>
          <w:rFonts w:hint="default" w:ascii="Times New Roman" w:hAnsi="Times New Roman" w:eastAsia="宋体" w:cs="Times New Roman"/>
          <w:sz w:val="24"/>
          <w:szCs w:val="24"/>
          <w:u w:val="single"/>
          <w:lang w:val="en-US" w:eastAsia="zh-CN"/>
        </w:rPr>
        <w:t>于2023年5月完成了竣工环境保护自主验收，项目</w:t>
      </w:r>
      <w:r>
        <w:rPr>
          <w:rFonts w:hint="default" w:ascii="Times New Roman" w:hAnsi="Times New Roman" w:eastAsia="宋体" w:cs="Times New Roman"/>
          <w:sz w:val="24"/>
          <w:szCs w:val="24"/>
          <w:u w:val="single"/>
        </w:rPr>
        <w:t>目前处于</w:t>
      </w:r>
      <w:r>
        <w:rPr>
          <w:rFonts w:hint="default" w:ascii="Times New Roman" w:hAnsi="Times New Roman" w:eastAsia="宋体" w:cs="Times New Roman"/>
          <w:sz w:val="24"/>
          <w:szCs w:val="24"/>
          <w:u w:val="single"/>
          <w:lang w:val="en-US" w:eastAsia="zh-CN"/>
        </w:rPr>
        <w:t>正常</w:t>
      </w:r>
      <w:r>
        <w:rPr>
          <w:rFonts w:hint="default" w:ascii="Times New Roman" w:hAnsi="Times New Roman" w:eastAsia="宋体" w:cs="Times New Roman"/>
          <w:sz w:val="24"/>
          <w:szCs w:val="24"/>
          <w:u w:val="single"/>
        </w:rPr>
        <w:t>运营状态。</w:t>
      </w:r>
    </w:p>
    <w:p w14:paraId="4E80BC18">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color w:val="000000"/>
          <w:sz w:val="24"/>
          <w:szCs w:val="24"/>
          <w:u w:val="single"/>
        </w:rPr>
        <w:t>衡阳湘环环保科技有限公司危险废物经营许可证（收</w:t>
      </w:r>
      <w:r>
        <w:rPr>
          <w:rFonts w:hint="default" w:ascii="Times New Roman" w:hAnsi="Times New Roman" w:eastAsia="宋体" w:cs="Times New Roman"/>
          <w:color w:val="000000"/>
          <w:sz w:val="24"/>
          <w:szCs w:val="24"/>
          <w:highlight w:val="none"/>
          <w:u w:val="single"/>
        </w:rPr>
        <w:t>集、贮存）有限期至202</w:t>
      </w:r>
      <w:r>
        <w:rPr>
          <w:rFonts w:hint="default" w:ascii="Times New Roman" w:hAnsi="Times New Roman" w:eastAsia="宋体" w:cs="Times New Roman"/>
          <w:color w:val="000000"/>
          <w:sz w:val="24"/>
          <w:szCs w:val="24"/>
          <w:highlight w:val="none"/>
          <w:u w:val="single"/>
          <w:lang w:val="en-US" w:eastAsia="zh-CN"/>
        </w:rPr>
        <w:t>4</w:t>
      </w:r>
      <w:r>
        <w:rPr>
          <w:rFonts w:hint="default" w:ascii="Times New Roman" w:hAnsi="Times New Roman" w:eastAsia="宋体" w:cs="Times New Roman"/>
          <w:color w:val="000000"/>
          <w:sz w:val="24"/>
          <w:szCs w:val="24"/>
          <w:highlight w:val="none"/>
          <w:u w:val="single"/>
        </w:rPr>
        <w:t>年</w:t>
      </w:r>
      <w:r>
        <w:rPr>
          <w:rFonts w:hint="default" w:ascii="Times New Roman" w:hAnsi="Times New Roman" w:eastAsia="宋体" w:cs="Times New Roman"/>
          <w:color w:val="000000"/>
          <w:sz w:val="24"/>
          <w:szCs w:val="24"/>
          <w:highlight w:val="none"/>
          <w:u w:val="single"/>
          <w:lang w:val="en-US" w:eastAsia="zh-CN"/>
        </w:rPr>
        <w:t>9</w:t>
      </w:r>
      <w:r>
        <w:rPr>
          <w:rFonts w:hint="default" w:ascii="Times New Roman" w:hAnsi="Times New Roman" w:eastAsia="宋体" w:cs="Times New Roman"/>
          <w:color w:val="000000"/>
          <w:sz w:val="24"/>
          <w:szCs w:val="24"/>
          <w:highlight w:val="none"/>
          <w:u w:val="single"/>
        </w:rPr>
        <w:t>月2</w:t>
      </w:r>
      <w:r>
        <w:rPr>
          <w:rFonts w:hint="default" w:ascii="Times New Roman" w:hAnsi="Times New Roman" w:eastAsia="宋体" w:cs="Times New Roman"/>
          <w:color w:val="000000"/>
          <w:sz w:val="24"/>
          <w:szCs w:val="24"/>
          <w:highlight w:val="none"/>
          <w:u w:val="single"/>
          <w:lang w:val="en-US" w:eastAsia="zh-CN"/>
        </w:rPr>
        <w:t>7</w:t>
      </w:r>
      <w:r>
        <w:rPr>
          <w:rFonts w:hint="default" w:ascii="Times New Roman" w:hAnsi="Times New Roman" w:eastAsia="宋体" w:cs="Times New Roman"/>
          <w:color w:val="000000"/>
          <w:sz w:val="24"/>
          <w:szCs w:val="24"/>
          <w:highlight w:val="none"/>
          <w:u w:val="single"/>
        </w:rPr>
        <w:t>日</w:t>
      </w:r>
      <w:r>
        <w:rPr>
          <w:rFonts w:hint="default" w:ascii="Times New Roman" w:hAnsi="Times New Roman" w:eastAsia="宋体" w:cs="Times New Roman"/>
          <w:color w:val="000000"/>
          <w:sz w:val="24"/>
          <w:szCs w:val="24"/>
          <w:highlight w:val="none"/>
          <w:u w:val="single"/>
          <w:lang w:eastAsia="zh-CN"/>
        </w:rPr>
        <w:t>，</w:t>
      </w:r>
      <w:r>
        <w:rPr>
          <w:rFonts w:hint="default" w:ascii="Times New Roman" w:hAnsi="Times New Roman" w:eastAsia="宋体" w:cs="Times New Roman"/>
          <w:color w:val="000000"/>
          <w:sz w:val="24"/>
          <w:szCs w:val="24"/>
          <w:highlight w:val="none"/>
          <w:u w:val="single"/>
          <w:lang w:val="en-US" w:eastAsia="zh-CN"/>
        </w:rPr>
        <w:t>由于项目暂未达到设计运营规模</w:t>
      </w:r>
      <w:r>
        <w:rPr>
          <w:rFonts w:hint="default" w:ascii="Times New Roman" w:hAnsi="Times New Roman" w:eastAsia="宋体" w:cs="Times New Roman"/>
          <w:color w:val="000000"/>
          <w:sz w:val="24"/>
          <w:szCs w:val="24"/>
          <w:highlight w:val="none"/>
          <w:u w:val="single"/>
          <w:lang w:eastAsia="zh-CN"/>
        </w:rPr>
        <w:t>，</w:t>
      </w:r>
      <w:r>
        <w:rPr>
          <w:rFonts w:hint="default" w:ascii="Times New Roman" w:hAnsi="Times New Roman" w:eastAsia="宋体" w:cs="Times New Roman"/>
          <w:color w:val="000000"/>
          <w:sz w:val="24"/>
          <w:szCs w:val="24"/>
          <w:highlight w:val="none"/>
          <w:u w:val="single"/>
          <w:lang w:val="en-US" w:eastAsia="zh-CN"/>
        </w:rPr>
        <w:t>其许可经营规模为7500t/a（其中废矿物油与含废矿物油废物1700t/a、其他危险废物5800t/a）</w:t>
      </w:r>
      <w:r>
        <w:rPr>
          <w:rFonts w:hint="default" w:ascii="Times New Roman" w:hAnsi="Times New Roman" w:eastAsia="宋体" w:cs="Times New Roman"/>
          <w:color w:val="000000"/>
          <w:sz w:val="24"/>
          <w:szCs w:val="24"/>
          <w:u w:val="single"/>
        </w:rPr>
        <w:t>。</w:t>
      </w:r>
      <w:r>
        <w:rPr>
          <w:rFonts w:hint="default" w:ascii="Times New Roman" w:hAnsi="Times New Roman" w:eastAsia="宋体" w:cs="Times New Roman"/>
          <w:sz w:val="24"/>
          <w:szCs w:val="24"/>
          <w:u w:val="single"/>
        </w:rPr>
        <w:t>通过对现有项目试运营状况的调查，该项目目前的运营状态尚未达到设计的运营规模，现有工程拟全部整体搬迁至本次扩建项目场地内。</w:t>
      </w:r>
    </w:p>
    <w:p w14:paraId="79041CEA">
      <w:pPr>
        <w:pStyle w:val="3"/>
        <w:spacing w:before="0" w:after="0" w:line="360" w:lineRule="auto"/>
        <w:jc w:val="left"/>
        <w:rPr>
          <w:rFonts w:hint="default" w:ascii="Times New Roman" w:hAnsi="Times New Roman" w:eastAsia="宋体" w:cs="Times New Roman"/>
          <w:kern w:val="0"/>
          <w:sz w:val="30"/>
          <w:szCs w:val="28"/>
        </w:rPr>
      </w:pPr>
      <w:bookmarkStart w:id="225" w:name="_Toc123733078"/>
      <w:bookmarkStart w:id="226" w:name="_Toc777"/>
      <w:bookmarkStart w:id="227" w:name="_Toc106961874"/>
      <w:r>
        <w:rPr>
          <w:rFonts w:hint="default" w:ascii="Times New Roman" w:hAnsi="Times New Roman" w:eastAsia="宋体" w:cs="Times New Roman"/>
          <w:kern w:val="0"/>
          <w:sz w:val="30"/>
          <w:szCs w:val="28"/>
        </w:rPr>
        <w:t>3.2现有工程地理位置及周边关系</w:t>
      </w:r>
      <w:bookmarkEnd w:id="225"/>
      <w:bookmarkEnd w:id="226"/>
      <w:bookmarkEnd w:id="227"/>
    </w:p>
    <w:p w14:paraId="210F7EB7">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color w:val="000000"/>
          <w:sz w:val="24"/>
          <w:szCs w:val="24"/>
        </w:rPr>
        <w:t>现有项目厂区位于衡阳市石鼓区松木经济开发区金源路3号</w:t>
      </w:r>
      <w:r>
        <w:rPr>
          <w:rFonts w:hint="default" w:ascii="Times New Roman" w:hAnsi="Times New Roman" w:eastAsia="宋体" w:cs="Times New Roman"/>
          <w:sz w:val="24"/>
          <w:szCs w:val="24"/>
        </w:rPr>
        <w:t>（东经112°38'48"，北纬26°58'31"），</w:t>
      </w:r>
      <w:r>
        <w:rPr>
          <w:rFonts w:hint="default" w:ascii="Times New Roman" w:hAnsi="Times New Roman" w:eastAsia="宋体" w:cs="Times New Roman"/>
          <w:color w:val="000000"/>
          <w:sz w:val="24"/>
          <w:szCs w:val="24"/>
        </w:rPr>
        <w:t>租赁衡阳市鑫鸿新材料有限公司的已建厂房，</w:t>
      </w:r>
      <w:r>
        <w:rPr>
          <w:rFonts w:hint="default" w:ascii="Times New Roman" w:hAnsi="Times New Roman" w:eastAsia="宋体" w:cs="Times New Roman"/>
          <w:sz w:val="24"/>
        </w:rPr>
        <w:t>厂区周边1km范围内均为园区企业，无居民等环境敏感点分布，厂区与东侧420m湘江之间有道路植被阻隔。</w:t>
      </w:r>
    </w:p>
    <w:p w14:paraId="33E07E65">
      <w:pPr>
        <w:pStyle w:val="3"/>
        <w:spacing w:before="0" w:after="0" w:line="360" w:lineRule="auto"/>
        <w:jc w:val="left"/>
        <w:rPr>
          <w:rFonts w:hint="default" w:ascii="Times New Roman" w:hAnsi="Times New Roman" w:eastAsia="宋体" w:cs="Times New Roman"/>
          <w:kern w:val="0"/>
          <w:sz w:val="30"/>
          <w:szCs w:val="28"/>
        </w:rPr>
      </w:pPr>
      <w:bookmarkStart w:id="228" w:name="_Toc123733079"/>
      <w:bookmarkStart w:id="229" w:name="_Toc106961875"/>
      <w:bookmarkStart w:id="230" w:name="_Toc7258"/>
      <w:r>
        <w:rPr>
          <w:rFonts w:hint="default" w:ascii="Times New Roman" w:hAnsi="Times New Roman" w:eastAsia="宋体" w:cs="Times New Roman"/>
          <w:kern w:val="0"/>
          <w:sz w:val="30"/>
          <w:szCs w:val="28"/>
        </w:rPr>
        <w:t>3.3现有工程建设内容及规模</w:t>
      </w:r>
      <w:bookmarkEnd w:id="228"/>
      <w:bookmarkEnd w:id="229"/>
      <w:bookmarkEnd w:id="230"/>
    </w:p>
    <w:p w14:paraId="0BFBC7BE">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3.3.1现有工程主要建设内容</w:t>
      </w:r>
    </w:p>
    <w:p w14:paraId="78309A9F">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lang w:val="en-US" w:eastAsia="zh-CN"/>
        </w:rPr>
        <w:t>结合项目现场及竣工验收情况，</w:t>
      </w:r>
      <w:r>
        <w:rPr>
          <w:rFonts w:hint="default" w:ascii="Times New Roman" w:hAnsi="Times New Roman" w:eastAsia="宋体" w:cs="Times New Roman"/>
          <w:sz w:val="24"/>
          <w:szCs w:val="24"/>
        </w:rPr>
        <w:t>现有工程项</w:t>
      </w:r>
      <w:r>
        <w:rPr>
          <w:rFonts w:hint="default" w:ascii="Times New Roman" w:hAnsi="Times New Roman" w:eastAsia="宋体" w:cs="Times New Roman"/>
          <w:color w:val="000000"/>
          <w:sz w:val="24"/>
          <w:szCs w:val="24"/>
        </w:rPr>
        <w:t>目组成内容见表3.3-1。</w:t>
      </w:r>
    </w:p>
    <w:p w14:paraId="0FB0DE57">
      <w:pPr>
        <w:spacing w:line="360" w:lineRule="auto"/>
        <w:ind w:firstLine="480" w:firstLineChars="200"/>
        <w:rPr>
          <w:rFonts w:hint="default" w:ascii="Times New Roman" w:hAnsi="Times New Roman" w:eastAsia="宋体" w:cs="Times New Roman"/>
          <w:color w:val="000000"/>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39A1313A">
      <w:pPr>
        <w:jc w:val="center"/>
        <w:rPr>
          <w:rFonts w:hint="default" w:ascii="Times New Roman" w:hAnsi="Times New Roman" w:eastAsia="宋体" w:cs="Times New Roman"/>
          <w:b/>
          <w:bCs/>
          <w:color w:val="000000"/>
        </w:rPr>
      </w:pPr>
      <w:r>
        <w:rPr>
          <w:rFonts w:hint="default" w:ascii="Times New Roman" w:hAnsi="Times New Roman" w:eastAsia="宋体" w:cs="Times New Roman"/>
          <w:b/>
          <w:bCs/>
          <w:color w:val="000000"/>
        </w:rPr>
        <w:t xml:space="preserve">表3.3-1  </w:t>
      </w:r>
      <w:r>
        <w:rPr>
          <w:rFonts w:hint="default" w:ascii="Times New Roman" w:hAnsi="Times New Roman" w:eastAsia="宋体" w:cs="Times New Roman"/>
          <w:b/>
          <w:bCs/>
        </w:rPr>
        <w:t>现有工程</w:t>
      </w:r>
      <w:r>
        <w:rPr>
          <w:rFonts w:hint="default" w:ascii="Times New Roman" w:hAnsi="Times New Roman" w:eastAsia="宋体" w:cs="Times New Roman"/>
          <w:b/>
          <w:bCs/>
          <w:color w:val="000000"/>
        </w:rPr>
        <w:t>项目组成一览表</w:t>
      </w:r>
    </w:p>
    <w:tbl>
      <w:tblPr>
        <w:tblStyle w:val="32"/>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28" w:type="dxa"/>
          <w:bottom w:w="0" w:type="dxa"/>
          <w:right w:w="28" w:type="dxa"/>
        </w:tblCellMar>
      </w:tblPr>
      <w:tblGrid>
        <w:gridCol w:w="344"/>
        <w:gridCol w:w="607"/>
        <w:gridCol w:w="896"/>
        <w:gridCol w:w="4785"/>
        <w:gridCol w:w="5594"/>
        <w:gridCol w:w="1648"/>
      </w:tblGrid>
      <w:tr w14:paraId="5B3658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666" w:type="pct"/>
            <w:gridSpan w:val="3"/>
            <w:tcBorders>
              <w:tl2br w:val="nil"/>
              <w:tr2bl w:val="nil"/>
            </w:tcBorders>
            <w:shd w:val="clear" w:color="auto" w:fill="auto"/>
            <w:vAlign w:val="center"/>
          </w:tcPr>
          <w:p w14:paraId="092AFC88">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z w:val="21"/>
                <w:szCs w:val="21"/>
                <w:lang w:val="en-US"/>
              </w:rPr>
            </w:pPr>
            <w:r>
              <w:rPr>
                <w:rFonts w:hint="default" w:ascii="Times New Roman" w:hAnsi="Times New Roman" w:eastAsia="宋体" w:cs="Times New Roman"/>
                <w:b/>
                <w:bCs w:val="0"/>
                <w:kern w:val="0"/>
                <w:sz w:val="21"/>
                <w:szCs w:val="21"/>
                <w:lang w:val="en-US" w:eastAsia="zh-CN" w:bidi="ar"/>
              </w:rPr>
              <w:t>项目组成</w:t>
            </w:r>
          </w:p>
        </w:tc>
        <w:tc>
          <w:tcPr>
            <w:tcW w:w="1724" w:type="pct"/>
            <w:tcBorders>
              <w:tl2br w:val="nil"/>
              <w:tr2bl w:val="nil"/>
            </w:tcBorders>
            <w:shd w:val="clear" w:color="auto" w:fill="auto"/>
            <w:vAlign w:val="center"/>
          </w:tcPr>
          <w:p w14:paraId="598BBC5B">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z w:val="21"/>
                <w:szCs w:val="21"/>
                <w:lang w:val="de"/>
              </w:rPr>
            </w:pPr>
            <w:r>
              <w:rPr>
                <w:rFonts w:hint="default" w:ascii="Times New Roman" w:hAnsi="Times New Roman" w:eastAsia="宋体" w:cs="Times New Roman"/>
                <w:b/>
                <w:bCs w:val="0"/>
                <w:kern w:val="0"/>
                <w:sz w:val="21"/>
                <w:szCs w:val="21"/>
                <w:lang w:val="en-US" w:eastAsia="zh-CN" w:bidi="ar"/>
              </w:rPr>
              <w:t>原环评</w:t>
            </w:r>
            <w:r>
              <w:rPr>
                <w:rFonts w:hint="default" w:ascii="Times New Roman" w:hAnsi="Times New Roman" w:eastAsia="宋体" w:cs="Times New Roman"/>
                <w:b/>
                <w:bCs w:val="0"/>
                <w:kern w:val="0"/>
                <w:sz w:val="21"/>
                <w:szCs w:val="21"/>
                <w:lang w:val="de" w:eastAsia="zh-CN" w:bidi="ar"/>
              </w:rPr>
              <w:t>内容</w:t>
            </w:r>
          </w:p>
        </w:tc>
        <w:tc>
          <w:tcPr>
            <w:tcW w:w="2016" w:type="pct"/>
            <w:tcBorders>
              <w:tl2br w:val="nil"/>
              <w:tr2bl w:val="nil"/>
            </w:tcBorders>
            <w:shd w:val="clear" w:color="auto" w:fill="auto"/>
            <w:vAlign w:val="center"/>
          </w:tcPr>
          <w:p w14:paraId="43FFAA48">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z w:val="21"/>
                <w:szCs w:val="21"/>
                <w:lang w:val="de"/>
              </w:rPr>
            </w:pPr>
            <w:r>
              <w:rPr>
                <w:rFonts w:hint="default" w:ascii="Times New Roman" w:hAnsi="Times New Roman" w:eastAsia="宋体" w:cs="Times New Roman"/>
                <w:b/>
                <w:bCs w:val="0"/>
                <w:kern w:val="0"/>
                <w:sz w:val="21"/>
                <w:szCs w:val="21"/>
                <w:lang w:val="en-US" w:eastAsia="zh-CN" w:bidi="ar"/>
              </w:rPr>
              <w:t>实际建设</w:t>
            </w:r>
            <w:r>
              <w:rPr>
                <w:rFonts w:hint="default" w:ascii="Times New Roman" w:hAnsi="Times New Roman" w:eastAsia="宋体" w:cs="Times New Roman"/>
                <w:b/>
                <w:bCs w:val="0"/>
                <w:kern w:val="0"/>
                <w:sz w:val="21"/>
                <w:szCs w:val="21"/>
                <w:lang w:val="de" w:eastAsia="zh-CN" w:bidi="ar"/>
              </w:rPr>
              <w:t>内容</w:t>
            </w:r>
          </w:p>
        </w:tc>
        <w:tc>
          <w:tcPr>
            <w:tcW w:w="592" w:type="pct"/>
            <w:tcBorders>
              <w:tl2br w:val="nil"/>
              <w:tr2bl w:val="nil"/>
            </w:tcBorders>
            <w:shd w:val="clear" w:color="auto" w:fill="auto"/>
            <w:vAlign w:val="center"/>
          </w:tcPr>
          <w:p w14:paraId="7FF33014">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val="0"/>
                <w:sz w:val="21"/>
                <w:szCs w:val="21"/>
                <w:lang w:val="en-US"/>
              </w:rPr>
            </w:pPr>
            <w:r>
              <w:rPr>
                <w:rFonts w:hint="default" w:ascii="Times New Roman" w:hAnsi="Times New Roman" w:eastAsia="宋体" w:cs="Times New Roman"/>
                <w:b/>
                <w:bCs w:val="0"/>
                <w:kern w:val="0"/>
                <w:sz w:val="21"/>
                <w:szCs w:val="21"/>
                <w:lang w:val="en-US" w:eastAsia="zh-CN" w:bidi="ar"/>
              </w:rPr>
              <w:t>变动情况</w:t>
            </w:r>
          </w:p>
        </w:tc>
      </w:tr>
      <w:tr w14:paraId="4A4E3D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restart"/>
            <w:tcBorders>
              <w:tl2br w:val="nil"/>
              <w:tr2bl w:val="nil"/>
            </w:tcBorders>
            <w:shd w:val="clear" w:color="auto" w:fill="auto"/>
            <w:vAlign w:val="center"/>
          </w:tcPr>
          <w:p w14:paraId="0F50E3DB">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主</w:t>
            </w:r>
          </w:p>
          <w:p w14:paraId="0736602D">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体</w:t>
            </w:r>
          </w:p>
          <w:p w14:paraId="188CBB7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工</w:t>
            </w:r>
          </w:p>
          <w:p w14:paraId="66FBB77F">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程</w:t>
            </w:r>
          </w:p>
        </w:tc>
        <w:tc>
          <w:tcPr>
            <w:tcW w:w="541" w:type="pct"/>
            <w:gridSpan w:val="2"/>
            <w:tcBorders>
              <w:tl2br w:val="nil"/>
              <w:tr2bl w:val="nil"/>
            </w:tcBorders>
            <w:shd w:val="clear" w:color="auto" w:fill="auto"/>
            <w:vAlign w:val="center"/>
          </w:tcPr>
          <w:p w14:paraId="212BA930">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废矿物油储罐区</w:t>
            </w:r>
          </w:p>
        </w:tc>
        <w:tc>
          <w:tcPr>
            <w:tcW w:w="1724" w:type="pct"/>
            <w:tcBorders>
              <w:tl2br w:val="nil"/>
              <w:tr2bl w:val="nil"/>
            </w:tcBorders>
            <w:shd w:val="clear" w:color="auto" w:fill="auto"/>
            <w:vAlign w:val="center"/>
          </w:tcPr>
          <w:p w14:paraId="0E0C5365">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内砖混+外钢架棚结构，2个50t碳钢卧式储油罐，严格按照《危险废物储存污染控制标准》（GB18597-2001）要求设置防渗、防漏地坪，四周设置11m×9m×1.2m（118.8m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）围堰以及导流沟槽；设计为封闭式、防风、防雨、防晒，总建筑面积约99m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。年周转4000吨废矿物油。</w:t>
            </w:r>
          </w:p>
        </w:tc>
        <w:tc>
          <w:tcPr>
            <w:tcW w:w="2016" w:type="pct"/>
            <w:tcBorders>
              <w:tl2br w:val="nil"/>
              <w:tr2bl w:val="nil"/>
            </w:tcBorders>
            <w:shd w:val="clear" w:color="auto" w:fill="auto"/>
            <w:vAlign w:val="center"/>
          </w:tcPr>
          <w:p w14:paraId="0B210FF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内砖混+外钢架棚结构，2个50t碳钢卧式储油罐，按照《危险废物储存污染控制标准》（GB18597-2001）要求设置防渗、防漏地坪，四周设置11m×9m×1.2m（118.8m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）围堰以及导流沟槽；设计为封闭式、防风、防雨、防晒，总建筑面积约99m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。年周转4000吨废矿物油。</w:t>
            </w:r>
          </w:p>
        </w:tc>
        <w:tc>
          <w:tcPr>
            <w:tcW w:w="592" w:type="pct"/>
            <w:tcBorders>
              <w:tl2br w:val="nil"/>
              <w:tr2bl w:val="nil"/>
            </w:tcBorders>
            <w:shd w:val="clear" w:color="auto" w:fill="auto"/>
            <w:vAlign w:val="center"/>
          </w:tcPr>
          <w:p w14:paraId="446BAA84">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de" w:eastAsia="zh-CN" w:bidi="ar"/>
              </w:rPr>
              <w:t>与环评一致</w:t>
            </w:r>
          </w:p>
        </w:tc>
      </w:tr>
      <w:tr w14:paraId="7BFA12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356379FE">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541" w:type="pct"/>
            <w:gridSpan w:val="2"/>
            <w:tcBorders>
              <w:tl2br w:val="nil"/>
              <w:tr2bl w:val="nil"/>
            </w:tcBorders>
            <w:shd w:val="clear" w:color="auto" w:fill="auto"/>
            <w:vAlign w:val="center"/>
          </w:tcPr>
          <w:p w14:paraId="1438A163">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其它危险废物暂存区</w:t>
            </w:r>
          </w:p>
        </w:tc>
        <w:tc>
          <w:tcPr>
            <w:tcW w:w="1724" w:type="pct"/>
            <w:tcBorders>
              <w:tl2br w:val="nil"/>
              <w:tr2bl w:val="nil"/>
            </w:tcBorders>
            <w:shd w:val="clear" w:color="auto" w:fill="auto"/>
            <w:vAlign w:val="center"/>
          </w:tcPr>
          <w:p w14:paraId="27E79E3B">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内砖混+外钢架棚结构，分类分区贮存，相邻两个区设2.7m高挡墙间隔，共设27个暂存仓库，1-12#仓库33.6m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、13-14#仓库28.4m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、15-16#仓库27.72m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、17#仓库28.56m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、18#仓库33.6m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、19#仓库41.58m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、20#仓库49.14m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、21-26#仓库24.36m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、27#仓库91.56m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严格按照《危险废物储存污染控制标准》（GB18597 -2001）要求设置防腐、防渗地坪，四周设置围堰以及导流沟槽；衬里放在一个托盘或架子上；衬里材料与各类危险废物相容；危险废物贮存库设计为封闭式、防风、防雨、防晒，总占地面积约906.04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。年周转5800吨危险废物。</w:t>
            </w:r>
          </w:p>
        </w:tc>
        <w:tc>
          <w:tcPr>
            <w:tcW w:w="2016" w:type="pct"/>
            <w:tcBorders>
              <w:tl2br w:val="nil"/>
              <w:tr2bl w:val="nil"/>
            </w:tcBorders>
            <w:shd w:val="clear" w:color="auto" w:fill="auto"/>
            <w:vAlign w:val="center"/>
          </w:tcPr>
          <w:p w14:paraId="4C92BEAF">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内砖混+外钢架棚结构，分类分区贮存，相邻两个区设2.7m高挡墙间隔，共设25个暂存仓库，1-12#仓库33.6m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、13-14#仓库28.4m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、15-16#仓库27.72m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、17#仓库28.56m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、18#仓库33.6m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、19#仓库41.58m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、20#仓库49.14m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、21-23#仓库24.36m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、24#仓库73.08m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（即原环评24#、25#、26#仓库合并）、25#仓库91.56m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即原环评27#仓库），按照《危险废物储存污染控制标准》（GB18597 -2001）要求设置防腐、防渗地坪，四周设置围堰以及导流沟槽；衬里放在一个托盘或架子上；衬里材料与各类危险废物相容；危险废物贮存库设计为封闭式、防风、防雨、防晒，总占地面积约906.04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。年周转5800吨危险废物。</w:t>
            </w:r>
          </w:p>
        </w:tc>
        <w:tc>
          <w:tcPr>
            <w:tcW w:w="592" w:type="pct"/>
            <w:tcBorders>
              <w:tl2br w:val="nil"/>
              <w:tr2bl w:val="nil"/>
            </w:tcBorders>
            <w:shd w:val="clear" w:color="auto" w:fill="auto"/>
            <w:vAlign w:val="center"/>
          </w:tcPr>
          <w:p w14:paraId="187E5474">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整个厂房内危废仓库总面积不变</w:t>
            </w:r>
            <w:r>
              <w:rPr>
                <w:rFonts w:hint="default" w:ascii="Times New Roman" w:hAnsi="Times New Roman" w:eastAsia="宋体" w:cs="Times New Roman"/>
                <w:b w:val="0"/>
                <w:bCs/>
                <w:kern w:val="0"/>
                <w:sz w:val="21"/>
                <w:szCs w:val="21"/>
                <w:lang w:val="de" w:eastAsia="zh-CN" w:bidi="ar"/>
              </w:rPr>
              <w:t>。</w:t>
            </w:r>
            <w:r>
              <w:rPr>
                <w:rFonts w:hint="default" w:ascii="Times New Roman" w:hAnsi="Times New Roman" w:eastAsia="宋体" w:cs="Times New Roman"/>
                <w:b w:val="0"/>
                <w:bCs/>
                <w:kern w:val="0"/>
                <w:sz w:val="21"/>
                <w:szCs w:val="21"/>
                <w:lang w:val="en-US" w:eastAsia="zh-CN" w:bidi="ar"/>
              </w:rPr>
              <w:t>原环评24#、25#、26#仓库，统一与24#仓库合并（24#仓库由24.36m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增加为73.08m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），其他</w:t>
            </w:r>
            <w:r>
              <w:rPr>
                <w:rFonts w:hint="default" w:ascii="Times New Roman" w:hAnsi="Times New Roman" w:eastAsia="宋体" w:cs="Times New Roman"/>
                <w:b w:val="0"/>
                <w:bCs/>
                <w:kern w:val="0"/>
                <w:sz w:val="21"/>
                <w:szCs w:val="21"/>
                <w:lang w:val="de" w:eastAsia="zh-CN" w:bidi="ar"/>
              </w:rPr>
              <w:t>与环评一致</w:t>
            </w:r>
          </w:p>
        </w:tc>
      </w:tr>
      <w:tr w14:paraId="248029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restart"/>
            <w:tcBorders>
              <w:tl2br w:val="nil"/>
              <w:tr2bl w:val="nil"/>
            </w:tcBorders>
            <w:shd w:val="clear" w:color="auto" w:fill="auto"/>
            <w:vAlign w:val="center"/>
          </w:tcPr>
          <w:p w14:paraId="212DBEAA">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辅助</w:t>
            </w:r>
          </w:p>
          <w:p w14:paraId="3428227A">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工程</w:t>
            </w:r>
          </w:p>
        </w:tc>
        <w:tc>
          <w:tcPr>
            <w:tcW w:w="541" w:type="pct"/>
            <w:gridSpan w:val="2"/>
            <w:tcBorders>
              <w:tl2br w:val="nil"/>
              <w:tr2bl w:val="nil"/>
            </w:tcBorders>
            <w:shd w:val="clear" w:color="auto" w:fill="auto"/>
            <w:vAlign w:val="center"/>
          </w:tcPr>
          <w:p w14:paraId="7CA32EB6">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压缩机房</w:t>
            </w:r>
          </w:p>
        </w:tc>
        <w:tc>
          <w:tcPr>
            <w:tcW w:w="1724" w:type="pct"/>
            <w:tcBorders>
              <w:tl2br w:val="nil"/>
              <w:tr2bl w:val="nil"/>
            </w:tcBorders>
            <w:shd w:val="clear" w:color="auto" w:fill="auto"/>
            <w:vAlign w:val="center"/>
          </w:tcPr>
          <w:p w14:paraId="35F3363B">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砖混结构，用于打包和缩小废铁桶等危险废物体积，便于贮存，建筑面积39.23m</w:t>
            </w:r>
            <w:r>
              <w:rPr>
                <w:rFonts w:hint="default" w:ascii="Times New Roman" w:hAnsi="Times New Roman" w:eastAsia="宋体" w:cs="Times New Roman"/>
                <w:b w:val="0"/>
                <w:bCs/>
                <w:kern w:val="0"/>
                <w:sz w:val="21"/>
                <w:szCs w:val="21"/>
                <w:vertAlign w:val="superscript"/>
                <w:lang w:val="en-US" w:eastAsia="zh-CN" w:bidi="ar"/>
              </w:rPr>
              <w:t>2</w:t>
            </w:r>
          </w:p>
        </w:tc>
        <w:tc>
          <w:tcPr>
            <w:tcW w:w="2016" w:type="pct"/>
            <w:tcBorders>
              <w:tl2br w:val="nil"/>
              <w:tr2bl w:val="nil"/>
            </w:tcBorders>
            <w:shd w:val="clear" w:color="auto" w:fill="auto"/>
            <w:vAlign w:val="center"/>
          </w:tcPr>
          <w:p w14:paraId="7A773492">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无</w:t>
            </w:r>
          </w:p>
        </w:tc>
        <w:tc>
          <w:tcPr>
            <w:tcW w:w="592" w:type="pct"/>
            <w:tcBorders>
              <w:tl2br w:val="nil"/>
              <w:tr2bl w:val="nil"/>
            </w:tcBorders>
            <w:shd w:val="clear" w:color="auto" w:fill="auto"/>
            <w:vAlign w:val="center"/>
          </w:tcPr>
          <w:p w14:paraId="6C836228">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未建设</w:t>
            </w:r>
          </w:p>
        </w:tc>
      </w:tr>
      <w:tr w14:paraId="2568B1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4FAB0093">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541" w:type="pct"/>
            <w:gridSpan w:val="2"/>
            <w:tcBorders>
              <w:tl2br w:val="nil"/>
              <w:tr2bl w:val="nil"/>
            </w:tcBorders>
            <w:shd w:val="clear" w:color="auto" w:fill="auto"/>
            <w:vAlign w:val="center"/>
          </w:tcPr>
          <w:p w14:paraId="5E402B18">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办公区</w:t>
            </w:r>
          </w:p>
        </w:tc>
        <w:tc>
          <w:tcPr>
            <w:tcW w:w="1724" w:type="pct"/>
            <w:tcBorders>
              <w:tl2br w:val="nil"/>
              <w:tr2bl w:val="nil"/>
            </w:tcBorders>
            <w:shd w:val="clear" w:color="auto" w:fill="auto"/>
            <w:vAlign w:val="center"/>
          </w:tcPr>
          <w:p w14:paraId="7CA7F99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员工办公建筑面积40m</w:t>
            </w:r>
            <w:r>
              <w:rPr>
                <w:rFonts w:hint="default" w:ascii="Times New Roman" w:hAnsi="Times New Roman" w:eastAsia="宋体" w:cs="Times New Roman"/>
                <w:b w:val="0"/>
                <w:bCs/>
                <w:kern w:val="0"/>
                <w:sz w:val="21"/>
                <w:szCs w:val="21"/>
                <w:vertAlign w:val="superscript"/>
                <w:lang w:val="en-US" w:eastAsia="zh-CN" w:bidi="ar"/>
              </w:rPr>
              <w:t>2</w:t>
            </w:r>
          </w:p>
        </w:tc>
        <w:tc>
          <w:tcPr>
            <w:tcW w:w="2016" w:type="pct"/>
            <w:tcBorders>
              <w:tl2br w:val="nil"/>
              <w:tr2bl w:val="nil"/>
            </w:tcBorders>
            <w:shd w:val="clear" w:color="auto" w:fill="auto"/>
            <w:vAlign w:val="center"/>
          </w:tcPr>
          <w:p w14:paraId="504E2E0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车间北侧板房3间，员工办公区建筑面积59.4m</w:t>
            </w:r>
            <w:r>
              <w:rPr>
                <w:rFonts w:hint="default" w:ascii="Times New Roman" w:hAnsi="Times New Roman" w:eastAsia="宋体" w:cs="Times New Roman"/>
                <w:b w:val="0"/>
                <w:bCs/>
                <w:kern w:val="0"/>
                <w:sz w:val="21"/>
                <w:szCs w:val="21"/>
                <w:vertAlign w:val="superscript"/>
                <w:lang w:val="en-US" w:eastAsia="zh-CN" w:bidi="ar"/>
              </w:rPr>
              <w:t>2</w:t>
            </w:r>
          </w:p>
        </w:tc>
        <w:tc>
          <w:tcPr>
            <w:tcW w:w="592" w:type="pct"/>
            <w:tcBorders>
              <w:tl2br w:val="nil"/>
              <w:tr2bl w:val="nil"/>
            </w:tcBorders>
            <w:shd w:val="clear" w:color="auto" w:fill="auto"/>
            <w:vAlign w:val="center"/>
          </w:tcPr>
          <w:p w14:paraId="554CCCED">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面积增加</w:t>
            </w:r>
          </w:p>
        </w:tc>
      </w:tr>
      <w:tr w14:paraId="1967AF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restart"/>
            <w:tcBorders>
              <w:tl2br w:val="nil"/>
              <w:tr2bl w:val="nil"/>
            </w:tcBorders>
            <w:shd w:val="clear" w:color="auto" w:fill="auto"/>
            <w:vAlign w:val="center"/>
          </w:tcPr>
          <w:p w14:paraId="6685C8A4">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储运工程</w:t>
            </w:r>
          </w:p>
        </w:tc>
        <w:tc>
          <w:tcPr>
            <w:tcW w:w="541" w:type="pct"/>
            <w:gridSpan w:val="2"/>
            <w:tcBorders>
              <w:tl2br w:val="nil"/>
              <w:tr2bl w:val="nil"/>
            </w:tcBorders>
            <w:shd w:val="clear" w:color="auto" w:fill="auto"/>
            <w:vAlign w:val="center"/>
          </w:tcPr>
          <w:p w14:paraId="7C8E4571">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过道、运货通道</w:t>
            </w:r>
          </w:p>
        </w:tc>
        <w:tc>
          <w:tcPr>
            <w:tcW w:w="1724" w:type="pct"/>
            <w:tcBorders>
              <w:tl2br w:val="nil"/>
              <w:tr2bl w:val="nil"/>
            </w:tcBorders>
            <w:shd w:val="clear" w:color="auto" w:fill="auto"/>
            <w:vAlign w:val="center"/>
          </w:tcPr>
          <w:p w14:paraId="15D808D8">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防腐、防渗地坪，面积约535m</w:t>
            </w:r>
            <w:r>
              <w:rPr>
                <w:rFonts w:hint="default" w:ascii="Times New Roman" w:hAnsi="Times New Roman" w:eastAsia="宋体" w:cs="Times New Roman"/>
                <w:b w:val="0"/>
                <w:bCs/>
                <w:kern w:val="0"/>
                <w:sz w:val="21"/>
                <w:szCs w:val="21"/>
                <w:vertAlign w:val="superscript"/>
                <w:lang w:val="en-US" w:eastAsia="zh-CN" w:bidi="ar"/>
              </w:rPr>
              <w:t>2</w:t>
            </w:r>
          </w:p>
        </w:tc>
        <w:tc>
          <w:tcPr>
            <w:tcW w:w="2016" w:type="pct"/>
            <w:tcBorders>
              <w:tl2br w:val="nil"/>
              <w:tr2bl w:val="nil"/>
            </w:tcBorders>
            <w:shd w:val="clear" w:color="auto" w:fill="auto"/>
            <w:vAlign w:val="center"/>
          </w:tcPr>
          <w:p w14:paraId="5F3027F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防腐、防渗地坪，面积约535m</w:t>
            </w:r>
            <w:r>
              <w:rPr>
                <w:rFonts w:hint="default" w:ascii="Times New Roman" w:hAnsi="Times New Roman" w:eastAsia="宋体" w:cs="Times New Roman"/>
                <w:b w:val="0"/>
                <w:bCs/>
                <w:kern w:val="0"/>
                <w:sz w:val="21"/>
                <w:szCs w:val="21"/>
                <w:vertAlign w:val="superscript"/>
                <w:lang w:val="en-US" w:eastAsia="zh-CN" w:bidi="ar"/>
              </w:rPr>
              <w:t>2</w:t>
            </w:r>
          </w:p>
        </w:tc>
        <w:tc>
          <w:tcPr>
            <w:tcW w:w="592" w:type="pct"/>
            <w:tcBorders>
              <w:tl2br w:val="nil"/>
              <w:tr2bl w:val="nil"/>
            </w:tcBorders>
            <w:shd w:val="clear" w:color="auto" w:fill="auto"/>
            <w:vAlign w:val="center"/>
          </w:tcPr>
          <w:p w14:paraId="7F48D5D3">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de" w:eastAsia="zh-CN" w:bidi="ar"/>
              </w:rPr>
              <w:t>与环评一致</w:t>
            </w:r>
          </w:p>
        </w:tc>
      </w:tr>
      <w:tr w14:paraId="028152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4B7F8A17">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541" w:type="pct"/>
            <w:gridSpan w:val="2"/>
            <w:tcBorders>
              <w:tl2br w:val="nil"/>
              <w:tr2bl w:val="nil"/>
            </w:tcBorders>
            <w:shd w:val="clear" w:color="auto" w:fill="auto"/>
            <w:vAlign w:val="center"/>
          </w:tcPr>
          <w:p w14:paraId="13071FA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厂外运输</w:t>
            </w:r>
          </w:p>
        </w:tc>
        <w:tc>
          <w:tcPr>
            <w:tcW w:w="1724" w:type="pct"/>
            <w:tcBorders>
              <w:tl2br w:val="nil"/>
              <w:tr2bl w:val="nil"/>
            </w:tcBorders>
            <w:shd w:val="clear" w:color="auto" w:fill="auto"/>
            <w:vAlign w:val="center"/>
          </w:tcPr>
          <w:p w14:paraId="22D43143">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公路运输（衡阳地区-湖南衡阳松木经济开发区-长沙），委托衡阳盛泰物流有限公司承运</w:t>
            </w:r>
          </w:p>
        </w:tc>
        <w:tc>
          <w:tcPr>
            <w:tcW w:w="2016" w:type="pct"/>
            <w:tcBorders>
              <w:tl2br w:val="nil"/>
              <w:tr2bl w:val="nil"/>
            </w:tcBorders>
            <w:shd w:val="clear" w:color="auto" w:fill="auto"/>
            <w:vAlign w:val="center"/>
          </w:tcPr>
          <w:p w14:paraId="4DE3A874">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公路运输（衡阳地区-松木经开区-资质单位），委托湖南安畅物流有限公司、娄底市新强物流有限公司及其他资质公司承运</w:t>
            </w:r>
          </w:p>
        </w:tc>
        <w:tc>
          <w:tcPr>
            <w:tcW w:w="592" w:type="pct"/>
            <w:tcBorders>
              <w:tl2br w:val="nil"/>
              <w:tr2bl w:val="nil"/>
            </w:tcBorders>
            <w:shd w:val="clear" w:color="auto" w:fill="auto"/>
            <w:vAlign w:val="center"/>
          </w:tcPr>
          <w:p w14:paraId="62EDF4AE">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针对不同类别及资质单位采取不同物流公司和运输路线</w:t>
            </w:r>
          </w:p>
        </w:tc>
      </w:tr>
      <w:tr w14:paraId="73744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restart"/>
            <w:tcBorders>
              <w:tl2br w:val="nil"/>
              <w:tr2bl w:val="nil"/>
            </w:tcBorders>
            <w:shd w:val="clear" w:color="auto" w:fill="auto"/>
            <w:vAlign w:val="center"/>
          </w:tcPr>
          <w:p w14:paraId="3BF8A24C">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公用</w:t>
            </w:r>
          </w:p>
          <w:p w14:paraId="620613F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工程</w:t>
            </w:r>
          </w:p>
        </w:tc>
        <w:tc>
          <w:tcPr>
            <w:tcW w:w="541" w:type="pct"/>
            <w:gridSpan w:val="2"/>
            <w:tcBorders>
              <w:tl2br w:val="nil"/>
              <w:tr2bl w:val="nil"/>
            </w:tcBorders>
            <w:shd w:val="clear" w:color="auto" w:fill="auto"/>
            <w:vAlign w:val="center"/>
          </w:tcPr>
          <w:p w14:paraId="3A8EB691">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供电</w:t>
            </w:r>
          </w:p>
        </w:tc>
        <w:tc>
          <w:tcPr>
            <w:tcW w:w="1724" w:type="pct"/>
            <w:tcBorders>
              <w:tl2br w:val="nil"/>
              <w:tr2bl w:val="nil"/>
            </w:tcBorders>
            <w:shd w:val="clear" w:color="auto" w:fill="auto"/>
            <w:vAlign w:val="center"/>
          </w:tcPr>
          <w:p w14:paraId="7BA2E60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由园区供电电网供电</w:t>
            </w:r>
          </w:p>
        </w:tc>
        <w:tc>
          <w:tcPr>
            <w:tcW w:w="2016" w:type="pct"/>
            <w:tcBorders>
              <w:tl2br w:val="nil"/>
              <w:tr2bl w:val="nil"/>
            </w:tcBorders>
            <w:shd w:val="clear" w:color="auto" w:fill="auto"/>
            <w:vAlign w:val="center"/>
          </w:tcPr>
          <w:p w14:paraId="288DD354">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由园区供电电网供电</w:t>
            </w:r>
          </w:p>
        </w:tc>
        <w:tc>
          <w:tcPr>
            <w:tcW w:w="592" w:type="pct"/>
            <w:tcBorders>
              <w:tl2br w:val="nil"/>
              <w:tr2bl w:val="nil"/>
            </w:tcBorders>
            <w:shd w:val="clear" w:color="auto" w:fill="auto"/>
            <w:vAlign w:val="center"/>
          </w:tcPr>
          <w:p w14:paraId="722A8EE2">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de" w:eastAsia="zh-CN" w:bidi="ar"/>
              </w:rPr>
              <w:t>与环评一致</w:t>
            </w:r>
          </w:p>
        </w:tc>
      </w:tr>
      <w:tr w14:paraId="2BDB4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3AD941E0">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541" w:type="pct"/>
            <w:gridSpan w:val="2"/>
            <w:tcBorders>
              <w:tl2br w:val="nil"/>
              <w:tr2bl w:val="nil"/>
            </w:tcBorders>
            <w:shd w:val="clear" w:color="auto" w:fill="auto"/>
            <w:vAlign w:val="center"/>
          </w:tcPr>
          <w:p w14:paraId="24AE8452">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供水</w:t>
            </w:r>
          </w:p>
        </w:tc>
        <w:tc>
          <w:tcPr>
            <w:tcW w:w="1724" w:type="pct"/>
            <w:tcBorders>
              <w:tl2br w:val="nil"/>
              <w:tr2bl w:val="nil"/>
            </w:tcBorders>
            <w:shd w:val="clear" w:color="auto" w:fill="auto"/>
            <w:vAlign w:val="center"/>
          </w:tcPr>
          <w:p w14:paraId="047C522D">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主要来源于市政供水管网</w:t>
            </w:r>
          </w:p>
        </w:tc>
        <w:tc>
          <w:tcPr>
            <w:tcW w:w="2016" w:type="pct"/>
            <w:tcBorders>
              <w:tl2br w:val="nil"/>
              <w:tr2bl w:val="nil"/>
            </w:tcBorders>
            <w:shd w:val="clear" w:color="auto" w:fill="auto"/>
            <w:vAlign w:val="center"/>
          </w:tcPr>
          <w:p w14:paraId="76AEC700">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主要来源于市政供水管网</w:t>
            </w:r>
          </w:p>
        </w:tc>
        <w:tc>
          <w:tcPr>
            <w:tcW w:w="592" w:type="pct"/>
            <w:tcBorders>
              <w:tl2br w:val="nil"/>
              <w:tr2bl w:val="nil"/>
            </w:tcBorders>
            <w:shd w:val="clear" w:color="auto" w:fill="auto"/>
            <w:vAlign w:val="center"/>
          </w:tcPr>
          <w:p w14:paraId="54C2FCE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de" w:eastAsia="zh-CN" w:bidi="ar"/>
              </w:rPr>
              <w:t>与环评一致</w:t>
            </w:r>
          </w:p>
        </w:tc>
      </w:tr>
      <w:tr w14:paraId="4B51AB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578CFEB1">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541" w:type="pct"/>
            <w:gridSpan w:val="2"/>
            <w:tcBorders>
              <w:tl2br w:val="nil"/>
              <w:tr2bl w:val="nil"/>
            </w:tcBorders>
            <w:shd w:val="clear" w:color="auto" w:fill="auto"/>
            <w:vAlign w:val="center"/>
          </w:tcPr>
          <w:p w14:paraId="6B91258F">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排水</w:t>
            </w:r>
          </w:p>
        </w:tc>
        <w:tc>
          <w:tcPr>
            <w:tcW w:w="1724" w:type="pct"/>
            <w:tcBorders>
              <w:tl2br w:val="nil"/>
              <w:tr2bl w:val="nil"/>
            </w:tcBorders>
            <w:shd w:val="clear" w:color="auto" w:fill="auto"/>
            <w:vAlign w:val="center"/>
          </w:tcPr>
          <w:p w14:paraId="581DA420">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雨污分流，排入园区市政雨水、污水管网</w:t>
            </w:r>
          </w:p>
        </w:tc>
        <w:tc>
          <w:tcPr>
            <w:tcW w:w="2016" w:type="pct"/>
            <w:tcBorders>
              <w:tl2br w:val="nil"/>
              <w:tr2bl w:val="nil"/>
            </w:tcBorders>
            <w:shd w:val="clear" w:color="auto" w:fill="auto"/>
            <w:vAlign w:val="center"/>
          </w:tcPr>
          <w:p w14:paraId="76F858D3">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雨污分流系统；生活污水经化粪池处理后排入园区市政污水管网；初期雨水经厂内雨水沟收集后进入初期雨水沉淀池沉淀处理后排入园区市政污水管网，后期雨水排入雨水管网</w:t>
            </w:r>
          </w:p>
        </w:tc>
        <w:tc>
          <w:tcPr>
            <w:tcW w:w="592" w:type="pct"/>
            <w:tcBorders>
              <w:tl2br w:val="nil"/>
              <w:tr2bl w:val="nil"/>
            </w:tcBorders>
            <w:shd w:val="clear" w:color="auto" w:fill="auto"/>
            <w:vAlign w:val="center"/>
          </w:tcPr>
          <w:p w14:paraId="73DD9934">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de" w:eastAsia="zh-CN" w:bidi="ar"/>
              </w:rPr>
              <w:t>与环评一致</w:t>
            </w:r>
          </w:p>
        </w:tc>
      </w:tr>
      <w:tr w14:paraId="27011B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restart"/>
            <w:tcBorders>
              <w:tl2br w:val="nil"/>
              <w:tr2bl w:val="nil"/>
            </w:tcBorders>
            <w:shd w:val="clear" w:color="auto" w:fill="auto"/>
            <w:vAlign w:val="center"/>
          </w:tcPr>
          <w:p w14:paraId="3F84BFED">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环保</w:t>
            </w:r>
          </w:p>
          <w:p w14:paraId="4A3C306F">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工程</w:t>
            </w:r>
          </w:p>
        </w:tc>
        <w:tc>
          <w:tcPr>
            <w:tcW w:w="541" w:type="pct"/>
            <w:gridSpan w:val="2"/>
            <w:tcBorders>
              <w:tl2br w:val="nil"/>
              <w:tr2bl w:val="nil"/>
            </w:tcBorders>
            <w:shd w:val="clear" w:color="auto" w:fill="auto"/>
            <w:vAlign w:val="center"/>
          </w:tcPr>
          <w:p w14:paraId="473092F3">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废气治理设施</w:t>
            </w:r>
          </w:p>
        </w:tc>
        <w:tc>
          <w:tcPr>
            <w:tcW w:w="1724" w:type="pct"/>
            <w:tcBorders>
              <w:tl2br w:val="nil"/>
              <w:tr2bl w:val="nil"/>
            </w:tcBorders>
            <w:shd w:val="clear" w:color="auto" w:fill="auto"/>
            <w:vAlign w:val="center"/>
          </w:tcPr>
          <w:p w14:paraId="252F6D92">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废气净化机房：建筑面积10m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，设置净排风系统。其他危废贮存所产生挥发性有机物：密闭仓库负压集气+二级活性炭吸附装置+15m排气筒。</w:t>
            </w:r>
          </w:p>
        </w:tc>
        <w:tc>
          <w:tcPr>
            <w:tcW w:w="2016" w:type="pct"/>
            <w:tcBorders>
              <w:tl2br w:val="nil"/>
              <w:tr2bl w:val="nil"/>
            </w:tcBorders>
            <w:shd w:val="clear" w:color="auto" w:fill="auto"/>
            <w:vAlign w:val="center"/>
          </w:tcPr>
          <w:p w14:paraId="553894D3">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废气净化区：建筑面积10m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，设置排风系统。其他危废贮存所产生挥发性有机物：1~14#、20#、25#仓库上方设集气罩、15~19#、21~24#仓库密闭负压集气，所有废气全部经管道收集至一套UV光解+活性炭吸附装置+15m排气筒。</w:t>
            </w:r>
          </w:p>
        </w:tc>
        <w:tc>
          <w:tcPr>
            <w:tcW w:w="592" w:type="pct"/>
            <w:tcBorders>
              <w:tl2br w:val="nil"/>
              <w:tr2bl w:val="nil"/>
            </w:tcBorders>
            <w:shd w:val="clear" w:color="auto" w:fill="auto"/>
            <w:vAlign w:val="center"/>
          </w:tcPr>
          <w:p w14:paraId="6A5ED710">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厂房内1~14#、20#、25#仓库暂存不易挥发废气的固体类危废，上方设集气罩收集废气；考虑到有臭气废气措施优化为UV光解+活性炭吸附</w:t>
            </w:r>
          </w:p>
        </w:tc>
      </w:tr>
      <w:tr w14:paraId="503BC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3966813B">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219" w:type="pct"/>
            <w:vMerge w:val="restart"/>
            <w:tcBorders>
              <w:tl2br w:val="nil"/>
              <w:tr2bl w:val="nil"/>
            </w:tcBorders>
            <w:shd w:val="clear" w:color="auto" w:fill="auto"/>
            <w:vAlign w:val="center"/>
          </w:tcPr>
          <w:p w14:paraId="59E657EB">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废水治理设施</w:t>
            </w:r>
          </w:p>
        </w:tc>
        <w:tc>
          <w:tcPr>
            <w:tcW w:w="322" w:type="pct"/>
            <w:tcBorders>
              <w:tl2br w:val="nil"/>
              <w:tr2bl w:val="nil"/>
            </w:tcBorders>
            <w:shd w:val="clear" w:color="auto" w:fill="auto"/>
            <w:vAlign w:val="center"/>
          </w:tcPr>
          <w:p w14:paraId="62E706CC">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生活污水</w:t>
            </w:r>
          </w:p>
        </w:tc>
        <w:tc>
          <w:tcPr>
            <w:tcW w:w="1724" w:type="pct"/>
            <w:tcBorders>
              <w:tl2br w:val="nil"/>
              <w:tr2bl w:val="nil"/>
            </w:tcBorders>
            <w:shd w:val="clear" w:color="auto" w:fill="auto"/>
            <w:vAlign w:val="center"/>
          </w:tcPr>
          <w:p w14:paraId="2BC9667C">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生活废水经化粪池预处理后通过污水管网排入衡阳市松木污水处理厂处理</w:t>
            </w:r>
          </w:p>
        </w:tc>
        <w:tc>
          <w:tcPr>
            <w:tcW w:w="2016" w:type="pct"/>
            <w:tcBorders>
              <w:tl2br w:val="nil"/>
              <w:tr2bl w:val="nil"/>
            </w:tcBorders>
            <w:shd w:val="clear" w:color="auto" w:fill="auto"/>
            <w:vAlign w:val="center"/>
          </w:tcPr>
          <w:p w14:paraId="492BE6EF">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生活污水经化粪池处理后通过园区市政污水管网排入衡阳市松木</w:t>
            </w:r>
            <w:r>
              <w:rPr>
                <w:rFonts w:hint="eastAsia" w:ascii="Times New Roman" w:hAnsi="Times New Roman" w:eastAsia="宋体" w:cs="Times New Roman"/>
                <w:b w:val="0"/>
                <w:bCs/>
                <w:kern w:val="0"/>
                <w:sz w:val="21"/>
                <w:szCs w:val="21"/>
                <w:lang w:val="en-US" w:eastAsia="zh-CN" w:bidi="ar"/>
              </w:rPr>
              <w:t>污水处理厂</w:t>
            </w:r>
            <w:r>
              <w:rPr>
                <w:rFonts w:hint="default" w:ascii="Times New Roman" w:hAnsi="Times New Roman" w:eastAsia="宋体" w:cs="Times New Roman"/>
                <w:b w:val="0"/>
                <w:bCs/>
                <w:kern w:val="0"/>
                <w:sz w:val="21"/>
                <w:szCs w:val="21"/>
                <w:lang w:val="en-US" w:eastAsia="zh-CN" w:bidi="ar"/>
              </w:rPr>
              <w:t>深度处理</w:t>
            </w:r>
          </w:p>
        </w:tc>
        <w:tc>
          <w:tcPr>
            <w:tcW w:w="592" w:type="pct"/>
            <w:tcBorders>
              <w:tl2br w:val="nil"/>
              <w:tr2bl w:val="nil"/>
            </w:tcBorders>
            <w:shd w:val="clear" w:color="auto" w:fill="auto"/>
            <w:vAlign w:val="center"/>
          </w:tcPr>
          <w:p w14:paraId="56DCD480">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de" w:eastAsia="zh-CN" w:bidi="ar"/>
              </w:rPr>
              <w:t>与环评一致</w:t>
            </w:r>
          </w:p>
        </w:tc>
      </w:tr>
      <w:tr w14:paraId="3A3078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4532AC0D">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219" w:type="pct"/>
            <w:vMerge w:val="continue"/>
            <w:tcBorders>
              <w:tl2br w:val="nil"/>
              <w:tr2bl w:val="nil"/>
            </w:tcBorders>
            <w:shd w:val="clear" w:color="auto" w:fill="auto"/>
            <w:vAlign w:val="center"/>
          </w:tcPr>
          <w:p w14:paraId="099925AF">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322" w:type="pct"/>
            <w:tcBorders>
              <w:tl2br w:val="nil"/>
              <w:tr2bl w:val="nil"/>
            </w:tcBorders>
            <w:shd w:val="clear" w:color="auto" w:fill="auto"/>
            <w:vAlign w:val="center"/>
          </w:tcPr>
          <w:p w14:paraId="74BD7174">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初期雨水</w:t>
            </w:r>
          </w:p>
        </w:tc>
        <w:tc>
          <w:tcPr>
            <w:tcW w:w="1724" w:type="pct"/>
            <w:tcBorders>
              <w:tl2br w:val="nil"/>
              <w:tr2bl w:val="nil"/>
            </w:tcBorders>
            <w:shd w:val="clear" w:color="auto" w:fill="auto"/>
            <w:vAlign w:val="center"/>
          </w:tcPr>
          <w:p w14:paraId="322B38BF">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在厂区大门口东面建设一个20m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初期雨水收集池与消防废水池（容积50m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w:t>
            </w:r>
          </w:p>
        </w:tc>
        <w:tc>
          <w:tcPr>
            <w:tcW w:w="2016" w:type="pct"/>
            <w:tcBorders>
              <w:tl2br w:val="nil"/>
              <w:tr2bl w:val="nil"/>
            </w:tcBorders>
            <w:shd w:val="clear" w:color="auto" w:fill="auto"/>
            <w:vAlign w:val="center"/>
          </w:tcPr>
          <w:p w14:paraId="47E63A4A">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已在厂房外东北侧地势较低处建设50m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池体，将该池体一分为二，池体前端25m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为初期雨水池（应急情况下初期雨水池兼事故应急池），池体后端25m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为消防事故应急池；厂房外东侧1个20m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初期雨水收集池（收集厂房南、东侧雨水）</w:t>
            </w:r>
          </w:p>
        </w:tc>
        <w:tc>
          <w:tcPr>
            <w:tcW w:w="592" w:type="pct"/>
            <w:tcBorders>
              <w:tl2br w:val="nil"/>
              <w:tr2bl w:val="nil"/>
            </w:tcBorders>
            <w:shd w:val="clear" w:color="auto" w:fill="auto"/>
            <w:vAlign w:val="center"/>
          </w:tcPr>
          <w:p w14:paraId="41411E56">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优于环评措施</w:t>
            </w:r>
          </w:p>
        </w:tc>
      </w:tr>
      <w:tr w14:paraId="636E7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4EADAD60">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219" w:type="pct"/>
            <w:vMerge w:val="restart"/>
            <w:tcBorders>
              <w:tl2br w:val="nil"/>
              <w:tr2bl w:val="nil"/>
            </w:tcBorders>
            <w:shd w:val="clear" w:color="auto" w:fill="auto"/>
            <w:vAlign w:val="center"/>
          </w:tcPr>
          <w:p w14:paraId="09DCDF1E">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固废处置措施</w:t>
            </w:r>
          </w:p>
        </w:tc>
        <w:tc>
          <w:tcPr>
            <w:tcW w:w="322" w:type="pct"/>
            <w:tcBorders>
              <w:tl2br w:val="nil"/>
              <w:tr2bl w:val="nil"/>
            </w:tcBorders>
            <w:shd w:val="clear" w:color="auto" w:fill="auto"/>
            <w:vAlign w:val="center"/>
          </w:tcPr>
          <w:p w14:paraId="7B7CF1C0">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生活垃圾</w:t>
            </w:r>
          </w:p>
        </w:tc>
        <w:tc>
          <w:tcPr>
            <w:tcW w:w="1724" w:type="pct"/>
            <w:tcBorders>
              <w:tl2br w:val="nil"/>
              <w:tr2bl w:val="nil"/>
            </w:tcBorders>
            <w:shd w:val="clear" w:color="auto" w:fill="auto"/>
            <w:vAlign w:val="center"/>
          </w:tcPr>
          <w:p w14:paraId="74D237E3">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生活垃圾经垃圾桶收集后交由当地环卫部门统一清运</w:t>
            </w:r>
          </w:p>
        </w:tc>
        <w:tc>
          <w:tcPr>
            <w:tcW w:w="2016" w:type="pct"/>
            <w:tcBorders>
              <w:tl2br w:val="nil"/>
              <w:tr2bl w:val="nil"/>
            </w:tcBorders>
            <w:shd w:val="clear" w:color="auto" w:fill="auto"/>
            <w:vAlign w:val="center"/>
          </w:tcPr>
          <w:p w14:paraId="46D4A7A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垃圾桶集中收集后交由当地环卫部门处理</w:t>
            </w:r>
          </w:p>
        </w:tc>
        <w:tc>
          <w:tcPr>
            <w:tcW w:w="592" w:type="pct"/>
            <w:tcBorders>
              <w:tl2br w:val="nil"/>
              <w:tr2bl w:val="nil"/>
            </w:tcBorders>
            <w:shd w:val="clear" w:color="auto" w:fill="auto"/>
            <w:vAlign w:val="center"/>
          </w:tcPr>
          <w:p w14:paraId="55403300">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de" w:eastAsia="zh-CN" w:bidi="ar"/>
              </w:rPr>
              <w:t>与环评一致</w:t>
            </w:r>
          </w:p>
        </w:tc>
      </w:tr>
      <w:tr w14:paraId="21D6D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3C5FBF03">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219" w:type="pct"/>
            <w:vMerge w:val="continue"/>
            <w:tcBorders>
              <w:tl2br w:val="nil"/>
              <w:tr2bl w:val="nil"/>
            </w:tcBorders>
            <w:shd w:val="clear" w:color="auto" w:fill="auto"/>
            <w:vAlign w:val="center"/>
          </w:tcPr>
          <w:p w14:paraId="24673B26">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322" w:type="pct"/>
            <w:tcBorders>
              <w:tl2br w:val="nil"/>
              <w:tr2bl w:val="nil"/>
            </w:tcBorders>
            <w:shd w:val="clear" w:color="auto" w:fill="auto"/>
            <w:vAlign w:val="center"/>
          </w:tcPr>
          <w:p w14:paraId="33DEBE57">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危险废物</w:t>
            </w:r>
          </w:p>
        </w:tc>
        <w:tc>
          <w:tcPr>
            <w:tcW w:w="1724" w:type="pct"/>
            <w:tcBorders>
              <w:tl2br w:val="nil"/>
              <w:tr2bl w:val="nil"/>
            </w:tcBorders>
            <w:shd w:val="clear" w:color="auto" w:fill="auto"/>
            <w:vAlign w:val="center"/>
          </w:tcPr>
          <w:p w14:paraId="48FCF8B7">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危险废物贮存过程中产生的废含危险废物抹布、废含危险废物劳保用品、废活性炭等危险废物集中暂存后随本项目收集、贮存的危险废物定期交由有危废资质的单位处置</w:t>
            </w:r>
          </w:p>
        </w:tc>
        <w:tc>
          <w:tcPr>
            <w:tcW w:w="2016" w:type="pct"/>
            <w:tcBorders>
              <w:tl2br w:val="nil"/>
              <w:tr2bl w:val="nil"/>
            </w:tcBorders>
            <w:shd w:val="clear" w:color="auto" w:fill="auto"/>
            <w:vAlign w:val="center"/>
          </w:tcPr>
          <w:p w14:paraId="2EF8D5F3">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单独分类收集与对外收集贮存的危废统一暂存于相应危废暂存库，委托有相应的资质危废单位回收处置</w:t>
            </w:r>
          </w:p>
        </w:tc>
        <w:tc>
          <w:tcPr>
            <w:tcW w:w="592" w:type="pct"/>
            <w:tcBorders>
              <w:tl2br w:val="nil"/>
              <w:tr2bl w:val="nil"/>
            </w:tcBorders>
            <w:shd w:val="clear" w:color="auto" w:fill="auto"/>
            <w:vAlign w:val="center"/>
          </w:tcPr>
          <w:p w14:paraId="0F8B2DC5">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de" w:eastAsia="zh-CN" w:bidi="ar"/>
              </w:rPr>
              <w:t>与环评一致</w:t>
            </w:r>
          </w:p>
        </w:tc>
      </w:tr>
      <w:tr w14:paraId="37716C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2BC90829">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219" w:type="pct"/>
            <w:vMerge w:val="restart"/>
            <w:tcBorders>
              <w:tl2br w:val="nil"/>
              <w:tr2bl w:val="nil"/>
            </w:tcBorders>
            <w:shd w:val="clear" w:color="auto" w:fill="auto"/>
            <w:vAlign w:val="center"/>
          </w:tcPr>
          <w:p w14:paraId="2F5043B6">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环境风险</w:t>
            </w:r>
          </w:p>
        </w:tc>
        <w:tc>
          <w:tcPr>
            <w:tcW w:w="322" w:type="pct"/>
            <w:tcBorders>
              <w:tl2br w:val="nil"/>
              <w:tr2bl w:val="nil"/>
            </w:tcBorders>
            <w:shd w:val="clear" w:color="auto" w:fill="auto"/>
            <w:vAlign w:val="center"/>
          </w:tcPr>
          <w:p w14:paraId="71F4E73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废矿物油贮存区</w:t>
            </w:r>
          </w:p>
        </w:tc>
        <w:tc>
          <w:tcPr>
            <w:tcW w:w="1724" w:type="pct"/>
            <w:tcBorders>
              <w:tl2br w:val="nil"/>
              <w:tr2bl w:val="nil"/>
            </w:tcBorders>
            <w:shd w:val="clear" w:color="auto" w:fill="auto"/>
            <w:vAlign w:val="center"/>
          </w:tcPr>
          <w:p w14:paraId="328927B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设导流沟槽，防泄漏事故应急池规格为6m×7m（42m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），高度1.5m，容积为63m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，满足废矿物油仓库、危废仓库应急要求，运营期保持常空，收集场内事故状态消防废水。</w:t>
            </w:r>
          </w:p>
          <w:p w14:paraId="0F40679E">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油储罐区设消防沙池1.5m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（约存沙2t）；配备充足的消防栓及灭火器等消防应急设施。</w:t>
            </w:r>
          </w:p>
        </w:tc>
        <w:tc>
          <w:tcPr>
            <w:tcW w:w="2016" w:type="pct"/>
            <w:tcBorders>
              <w:tl2br w:val="nil"/>
              <w:tr2bl w:val="nil"/>
            </w:tcBorders>
            <w:shd w:val="clear" w:color="auto" w:fill="auto"/>
            <w:vAlign w:val="center"/>
          </w:tcPr>
          <w:p w14:paraId="112E3949">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废矿物油罐区设1.2m高围堰，围堰区容积118.8m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，设导流沟槽，罐区西侧设防泄漏事故应急池容积为63m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围堰区导流口与罐区西侧应急池连通，之间采取活动式阻隔阀及沙包堵截措施，满足废矿物油仓库、危废仓库应急要求，运营期保持常空，收集油罐区事故状态泄漏废油或消防废水。同时围堰内油罐一用一备（备用罐容积50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），之间有管道泵阀连通供应急转移油品。</w:t>
            </w:r>
          </w:p>
          <w:p w14:paraId="5DFC269D">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废矿物油贮存区装卸门口外东侧设10m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废水应急池，油储罐区设消防沙池1.5m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（约存沙2t）；配备足够的消防栓及灭火器等消防应急设施。</w:t>
            </w:r>
          </w:p>
        </w:tc>
        <w:tc>
          <w:tcPr>
            <w:tcW w:w="592" w:type="pct"/>
            <w:tcBorders>
              <w:tl2br w:val="nil"/>
              <w:tr2bl w:val="nil"/>
            </w:tcBorders>
            <w:shd w:val="clear" w:color="auto" w:fill="auto"/>
            <w:vAlign w:val="center"/>
          </w:tcPr>
          <w:p w14:paraId="5DBE7A34">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优于环评措施</w:t>
            </w:r>
          </w:p>
        </w:tc>
      </w:tr>
      <w:tr w14:paraId="407405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24" w:type="pct"/>
            <w:vMerge w:val="continue"/>
            <w:tcBorders>
              <w:tl2br w:val="nil"/>
              <w:tr2bl w:val="nil"/>
            </w:tcBorders>
            <w:shd w:val="clear" w:color="auto" w:fill="auto"/>
            <w:vAlign w:val="center"/>
          </w:tcPr>
          <w:p w14:paraId="642A47CD">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219" w:type="pct"/>
            <w:vMerge w:val="continue"/>
            <w:tcBorders>
              <w:tl2br w:val="nil"/>
              <w:tr2bl w:val="nil"/>
            </w:tcBorders>
            <w:shd w:val="clear" w:color="auto" w:fill="auto"/>
            <w:vAlign w:val="center"/>
          </w:tcPr>
          <w:p w14:paraId="08A53BD6">
            <w:pPr>
              <w:keepNext w:val="0"/>
              <w:keepLines w:val="0"/>
              <w:suppressLineNumbers w:val="0"/>
              <w:spacing w:before="0" w:beforeAutospacing="0" w:after="0" w:afterAutospacing="0"/>
              <w:ind w:left="0" w:right="0"/>
              <w:rPr>
                <w:rFonts w:hint="default" w:ascii="Times New Roman" w:hAnsi="Times New Roman" w:eastAsia="宋体" w:cs="Times New Roman"/>
                <w:sz w:val="21"/>
                <w:szCs w:val="21"/>
              </w:rPr>
            </w:pPr>
          </w:p>
        </w:tc>
        <w:tc>
          <w:tcPr>
            <w:tcW w:w="322" w:type="pct"/>
            <w:tcBorders>
              <w:tl2br w:val="nil"/>
              <w:tr2bl w:val="nil"/>
            </w:tcBorders>
            <w:shd w:val="clear" w:color="auto" w:fill="auto"/>
            <w:vAlign w:val="center"/>
          </w:tcPr>
          <w:p w14:paraId="57797AAE">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其它危废贮存区</w:t>
            </w:r>
          </w:p>
        </w:tc>
        <w:tc>
          <w:tcPr>
            <w:tcW w:w="1724" w:type="pct"/>
            <w:tcBorders>
              <w:tl2br w:val="nil"/>
              <w:tr2bl w:val="nil"/>
            </w:tcBorders>
            <w:shd w:val="clear" w:color="auto" w:fill="auto"/>
            <w:vAlign w:val="center"/>
          </w:tcPr>
          <w:p w14:paraId="65CEE398">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液体危险废物贮存下设托盘等防泄漏设施，并在贮存区设导流沟槽，防泄漏事故应急池规格为7.9×8.5m（建筑面积67.15m</w:t>
            </w:r>
            <w:r>
              <w:rPr>
                <w:rFonts w:hint="default" w:ascii="Times New Roman" w:hAnsi="Times New Roman" w:eastAsia="宋体" w:cs="Times New Roman"/>
                <w:b w:val="0"/>
                <w:bCs/>
                <w:kern w:val="0"/>
                <w:sz w:val="21"/>
                <w:szCs w:val="21"/>
                <w:vertAlign w:val="superscript"/>
                <w:lang w:val="en-US" w:eastAsia="zh-CN" w:bidi="ar"/>
              </w:rPr>
              <w:t>2</w:t>
            </w:r>
            <w:r>
              <w:rPr>
                <w:rFonts w:hint="default" w:ascii="Times New Roman" w:hAnsi="Times New Roman" w:eastAsia="宋体" w:cs="Times New Roman"/>
                <w:b w:val="0"/>
                <w:bCs/>
                <w:kern w:val="0"/>
                <w:sz w:val="21"/>
                <w:szCs w:val="21"/>
                <w:lang w:val="en-US" w:eastAsia="zh-CN" w:bidi="ar"/>
              </w:rPr>
              <w:t>），高度1.5m，容积为100.73m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w:t>
            </w:r>
          </w:p>
          <w:p w14:paraId="4B32B243">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两个相邻贮存区中间共设消防沙池4.37m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（约存沙5.6t），其中7个1.68m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消防沙池、2个1.43m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消防沙池、1个1.26m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消防沙池；配备消防栓及灭火器等消防应急设施。</w:t>
            </w:r>
          </w:p>
        </w:tc>
        <w:tc>
          <w:tcPr>
            <w:tcW w:w="2016" w:type="pct"/>
            <w:tcBorders>
              <w:tl2br w:val="nil"/>
              <w:tr2bl w:val="nil"/>
            </w:tcBorders>
            <w:shd w:val="clear" w:color="auto" w:fill="auto"/>
            <w:vAlign w:val="center"/>
          </w:tcPr>
          <w:p w14:paraId="768E2D1B">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液体危废贮存在托盘等防泄漏设施内，厂房内各个危废仓库内均设有0.2~0.5m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应急收集槽（采取活动式阻隔物及沙包堵截措施）；并在各贮存仓库设导流沟槽，厂房内东南角设事故应急池容积为100.73m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，各仓库导流槽均与东侧应急池连通；运营期保持常空，收集事故状态泄漏废液或消防废水。</w:t>
            </w:r>
          </w:p>
          <w:p w14:paraId="0E5FB606">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每两个相邻仓库中间共设1个消防沙池或无相邻仓库单独设1个，共12个，其中10个1.68m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消防沙池、2个1.2m</w:t>
            </w:r>
            <w:r>
              <w:rPr>
                <w:rFonts w:hint="default" w:ascii="Times New Roman" w:hAnsi="Times New Roman" w:eastAsia="宋体" w:cs="Times New Roman"/>
                <w:b w:val="0"/>
                <w:bCs/>
                <w:kern w:val="0"/>
                <w:sz w:val="21"/>
                <w:szCs w:val="21"/>
                <w:vertAlign w:val="superscript"/>
                <w:lang w:val="en-US" w:eastAsia="zh-CN" w:bidi="ar"/>
              </w:rPr>
              <w:t>3</w:t>
            </w:r>
            <w:r>
              <w:rPr>
                <w:rFonts w:hint="default" w:ascii="Times New Roman" w:hAnsi="Times New Roman" w:eastAsia="宋体" w:cs="Times New Roman"/>
                <w:b w:val="0"/>
                <w:bCs/>
                <w:kern w:val="0"/>
                <w:sz w:val="21"/>
                <w:szCs w:val="21"/>
                <w:lang w:val="en-US" w:eastAsia="zh-CN" w:bidi="ar"/>
              </w:rPr>
              <w:t>消防沙池；配备消防栓及灭火器等消防应急设施。</w:t>
            </w:r>
          </w:p>
        </w:tc>
        <w:tc>
          <w:tcPr>
            <w:tcW w:w="592" w:type="pct"/>
            <w:tcBorders>
              <w:tl2br w:val="nil"/>
              <w:tr2bl w:val="nil"/>
            </w:tcBorders>
            <w:shd w:val="clear" w:color="auto" w:fill="auto"/>
            <w:vAlign w:val="center"/>
          </w:tcPr>
          <w:p w14:paraId="456BEA3A">
            <w:pPr>
              <w:pStyle w:val="28"/>
              <w:keepNext w:val="0"/>
              <w:keepLines w:val="0"/>
              <w:widowControl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kern w:val="0"/>
                <w:sz w:val="21"/>
                <w:szCs w:val="21"/>
                <w:lang w:val="en-US" w:eastAsia="zh-CN" w:bidi="ar"/>
              </w:rPr>
              <w:t>优于环评措施</w:t>
            </w:r>
          </w:p>
        </w:tc>
      </w:tr>
    </w:tbl>
    <w:p w14:paraId="4386FBF4">
      <w:pPr>
        <w:ind w:firstLine="480" w:firstLineChars="200"/>
        <w:jc w:val="left"/>
        <w:rPr>
          <w:rFonts w:hint="default" w:ascii="Times New Roman" w:hAnsi="Times New Roman" w:eastAsia="宋体" w:cs="Times New Roman"/>
          <w:b/>
          <w:bCs/>
          <w:color w:val="000000"/>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auto"/>
          <w:spacing w:val="0"/>
          <w:sz w:val="24"/>
          <w:szCs w:val="24"/>
          <w:u w:val="single" w:color="auto"/>
          <w:lang w:val="en-US" w:eastAsia="zh-CN"/>
        </w:rPr>
        <w:t>湘环公司结合后期发展将</w:t>
      </w:r>
      <w:r>
        <w:rPr>
          <w:rFonts w:hint="default" w:ascii="Times New Roman" w:hAnsi="Times New Roman" w:eastAsia="宋体" w:cs="Times New Roman"/>
          <w:b w:val="0"/>
          <w:bCs/>
          <w:sz w:val="24"/>
          <w:szCs w:val="24"/>
          <w:u w:val="single" w:color="auto"/>
          <w:lang w:val="en-US" w:eastAsia="zh-CN"/>
        </w:rPr>
        <w:t>原环评24#、25#、26#仓库合并为目前的24#仓库（仓库总面积不变），从而导致仓库数量变化。原环评批复了27个暂存仓库，现阶段实际建设了25个暂存仓库，其中1~23#仓库均与原环评一致，原环评</w:t>
      </w:r>
      <w:r>
        <w:rPr>
          <w:rFonts w:hint="default" w:ascii="Times New Roman" w:hAnsi="Times New Roman" w:eastAsia="宋体" w:cs="Times New Roman"/>
          <w:b w:val="0"/>
          <w:bCs/>
          <w:sz w:val="24"/>
          <w:szCs w:val="24"/>
          <w:u w:val="single" w:color="auto"/>
          <w:vertAlign w:val="baseline"/>
          <w:lang w:val="en-US" w:eastAsia="zh-CN"/>
        </w:rPr>
        <w:t>24#、25#、26#仓库合并为现有的24#仓库</w:t>
      </w:r>
      <w:r>
        <w:rPr>
          <w:rFonts w:hint="default" w:ascii="Times New Roman" w:hAnsi="Times New Roman" w:eastAsia="宋体" w:cs="Times New Roman"/>
          <w:b w:val="0"/>
          <w:bCs/>
          <w:sz w:val="24"/>
          <w:szCs w:val="24"/>
          <w:u w:val="single" w:color="auto"/>
          <w:lang w:val="en-US" w:eastAsia="zh-CN"/>
        </w:rPr>
        <w:t>（24#仓库由24.36m</w:t>
      </w:r>
      <w:r>
        <w:rPr>
          <w:rFonts w:hint="default" w:ascii="Times New Roman" w:hAnsi="Times New Roman" w:eastAsia="宋体" w:cs="Times New Roman"/>
          <w:b w:val="0"/>
          <w:bCs/>
          <w:sz w:val="24"/>
          <w:szCs w:val="24"/>
          <w:u w:val="single" w:color="auto"/>
          <w:vertAlign w:val="superscript"/>
          <w:lang w:val="en-US" w:eastAsia="zh-CN"/>
        </w:rPr>
        <w:t>2</w:t>
      </w:r>
      <w:r>
        <w:rPr>
          <w:rFonts w:hint="default" w:ascii="Times New Roman" w:hAnsi="Times New Roman" w:eastAsia="宋体" w:cs="Times New Roman"/>
          <w:b w:val="0"/>
          <w:bCs/>
          <w:sz w:val="24"/>
          <w:szCs w:val="24"/>
          <w:u w:val="single" w:color="auto"/>
          <w:lang w:val="en-US" w:eastAsia="zh-CN"/>
        </w:rPr>
        <w:t>增加为73.08m</w:t>
      </w:r>
      <w:r>
        <w:rPr>
          <w:rFonts w:hint="default" w:ascii="Times New Roman" w:hAnsi="Times New Roman" w:eastAsia="宋体" w:cs="Times New Roman"/>
          <w:b w:val="0"/>
          <w:bCs/>
          <w:sz w:val="24"/>
          <w:szCs w:val="24"/>
          <w:u w:val="single" w:color="auto"/>
          <w:vertAlign w:val="superscript"/>
          <w:lang w:val="en-US" w:eastAsia="zh-CN"/>
        </w:rPr>
        <w:t>2</w:t>
      </w:r>
      <w:r>
        <w:rPr>
          <w:rFonts w:hint="default" w:ascii="Times New Roman" w:hAnsi="Times New Roman" w:eastAsia="宋体" w:cs="Times New Roman"/>
          <w:color w:val="auto"/>
          <w:spacing w:val="0"/>
          <w:sz w:val="24"/>
          <w:szCs w:val="24"/>
          <w:u w:val="single" w:color="auto"/>
          <w:lang w:val="en-US" w:eastAsia="zh-CN"/>
        </w:rPr>
        <w:t>，仍然按照原环评暂存900-005-09、900-06-09、900-07-09三类危废，通过仓库内部隔断实现分区分类暂存</w:t>
      </w:r>
      <w:r>
        <w:rPr>
          <w:rFonts w:hint="default" w:ascii="Times New Roman" w:hAnsi="Times New Roman" w:eastAsia="宋体" w:cs="Times New Roman"/>
          <w:b w:val="0"/>
          <w:bCs/>
          <w:sz w:val="24"/>
          <w:szCs w:val="24"/>
          <w:u w:val="single" w:color="auto"/>
          <w:lang w:val="en-US" w:eastAsia="zh-CN"/>
        </w:rPr>
        <w:t>），25#仓库91.56m</w:t>
      </w:r>
      <w:r>
        <w:rPr>
          <w:rFonts w:hint="default" w:ascii="Times New Roman" w:hAnsi="Times New Roman" w:eastAsia="宋体" w:cs="Times New Roman"/>
          <w:b w:val="0"/>
          <w:bCs/>
          <w:sz w:val="24"/>
          <w:szCs w:val="24"/>
          <w:u w:val="single" w:color="auto"/>
          <w:vertAlign w:val="superscript"/>
          <w:lang w:val="en-US" w:eastAsia="zh-CN"/>
        </w:rPr>
        <w:t>2</w:t>
      </w:r>
      <w:r>
        <w:rPr>
          <w:rFonts w:hint="default" w:ascii="Times New Roman" w:hAnsi="Times New Roman" w:eastAsia="宋体" w:cs="Times New Roman"/>
          <w:b w:val="0"/>
          <w:bCs/>
          <w:sz w:val="24"/>
          <w:szCs w:val="24"/>
          <w:u w:val="single" w:color="auto"/>
          <w:vertAlign w:val="baseline"/>
          <w:lang w:val="en-US" w:eastAsia="zh-CN"/>
        </w:rPr>
        <w:t>（即原环评27#仓库）。整个厂房内危废仓库总面积不变</w:t>
      </w:r>
      <w:r>
        <w:rPr>
          <w:rFonts w:hint="default" w:ascii="Times New Roman" w:hAnsi="Times New Roman" w:eastAsia="宋体" w:cs="Times New Roman"/>
          <w:b w:val="0"/>
          <w:bCs/>
          <w:sz w:val="24"/>
          <w:szCs w:val="24"/>
          <w:u w:val="single" w:color="auto"/>
          <w:lang w:val="de-DE" w:eastAsia="zh-CN"/>
        </w:rPr>
        <w:t>。</w:t>
      </w:r>
    </w:p>
    <w:p w14:paraId="3AEFA439">
      <w:pPr>
        <w:jc w:val="center"/>
        <w:rPr>
          <w:rFonts w:hint="default" w:ascii="Times New Roman" w:hAnsi="Times New Roman" w:eastAsia="宋体" w:cs="Times New Roman"/>
          <w:b/>
          <w:bCs/>
          <w:color w:val="000000"/>
        </w:rPr>
      </w:pPr>
    </w:p>
    <w:p w14:paraId="288F6571">
      <w:pPr>
        <w:pStyle w:val="4"/>
        <w:spacing w:before="0" w:after="0" w:line="360" w:lineRule="auto"/>
        <w:jc w:val="left"/>
        <w:rPr>
          <w:rFonts w:hint="default" w:ascii="Times New Roman" w:hAnsi="Times New Roman" w:eastAsia="宋体" w:cs="Times New Roman"/>
          <w:kern w:val="0"/>
          <w:sz w:val="24"/>
        </w:rPr>
      </w:pPr>
      <w:r>
        <w:rPr>
          <w:rFonts w:hint="default" w:ascii="Times New Roman" w:hAnsi="Times New Roman" w:eastAsia="宋体" w:cs="Times New Roman"/>
          <w:sz w:val="24"/>
        </w:rPr>
        <w:t>3.3.2</w:t>
      </w:r>
      <w:r>
        <w:rPr>
          <w:rFonts w:hint="default" w:ascii="Times New Roman" w:hAnsi="Times New Roman" w:eastAsia="宋体" w:cs="Times New Roman"/>
          <w:kern w:val="0"/>
          <w:sz w:val="24"/>
        </w:rPr>
        <w:t>现有工程总平面布置</w:t>
      </w:r>
    </w:p>
    <w:p w14:paraId="79A13787">
      <w:pPr>
        <w:widowControl/>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项目租赁松木经济开发区衡阳市鑫鸿新材料有限公司的现有钢架结构厂房东侧，根据建设单位提供的平面布置图，简述如下：</w:t>
      </w:r>
    </w:p>
    <w:p w14:paraId="352FD508">
      <w:pPr>
        <w:widowControl/>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贮存仓库分为两大区：废矿物油贮存区与其它危废贮存区。</w:t>
      </w:r>
    </w:p>
    <w:p w14:paraId="0824D951">
      <w:pPr>
        <w:widowControl/>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项目入口为东侧金源路，通过厂区道路进入依次为其它危废贮存区、废矿物油贮存区；贮存区北面各设置1个出入口，用于运输车辆进出，在项目东南侧设1个安全出口，其它危废贮存区内南侧和北侧偏中部各设置1条东西走向的导流沟及东侧设置1条南北走向的导流沟，连通东南侧的1个应急事故池（规格为7.9m×8.5m×1.5m，容积100.73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）废矿物油贮存区内南侧靠外墙体设置导流沟，连通西侧的1个应急事故池（规格为6m×7m×1.5m，容积63m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），位于厂区西侧的储油罐区内设2个50t的碳钢卧式储油罐，储油罐区四周设一个规格为11m×9.0m×1.2m（容积118.8m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）的围堰，围堰顶部连通导流沟流入罐区西侧应急事故池。</w:t>
      </w:r>
    </w:p>
    <w:p w14:paraId="6B9A7F69">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暂存间内分类暂存区依次沿厂房布置，做到分区明确，固液分离，其它危废贮存区内产生微量有机废气经分区收集，并设置集气系统，经UV+活性炭吸附后于15m排气筒高空排放，厂区总平面布置详见附图。</w:t>
      </w:r>
    </w:p>
    <w:p w14:paraId="455C800B">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3.3.3</w:t>
      </w:r>
      <w:r>
        <w:rPr>
          <w:rFonts w:hint="default" w:ascii="Times New Roman" w:hAnsi="Times New Roman" w:eastAsia="宋体" w:cs="Times New Roman"/>
          <w:kern w:val="0"/>
          <w:sz w:val="24"/>
        </w:rPr>
        <w:t>现有工程收集贮存方案</w:t>
      </w:r>
    </w:p>
    <w:p w14:paraId="54BE27B8">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color w:val="auto"/>
          <w:spacing w:val="0"/>
          <w:sz w:val="24"/>
          <w:szCs w:val="24"/>
          <w:u w:val="none" w:color="auto"/>
          <w:lang w:val="en-US" w:eastAsia="zh-CN"/>
        </w:rPr>
        <w:t>现有项目已经办理危废经营许可证，通过对比环评批复的危废经营范围和危废经营许可证许可的经营范围，确定了经环评批复但未办理危废经营许可的危废有HW12、HW13、HW16、HW49（</w:t>
      </w:r>
      <w:r>
        <w:rPr>
          <w:rFonts w:hint="default" w:ascii="Times New Roman" w:hAnsi="Times New Roman" w:eastAsia="宋体" w:cs="Times New Roman"/>
          <w:b w:val="0"/>
          <w:bCs/>
          <w:sz w:val="24"/>
          <w:szCs w:val="24"/>
          <w:lang w:val="en-US" w:eastAsia="zh-CN"/>
        </w:rPr>
        <w:t>900-999-49</w:t>
      </w:r>
      <w:r>
        <w:rPr>
          <w:rFonts w:hint="default" w:ascii="Times New Roman" w:hAnsi="Times New Roman" w:eastAsia="宋体" w:cs="Times New Roman"/>
          <w:color w:val="auto"/>
          <w:spacing w:val="0"/>
          <w:sz w:val="24"/>
          <w:szCs w:val="24"/>
          <w:u w:val="none" w:color="auto"/>
          <w:lang w:val="en-US" w:eastAsia="zh-CN"/>
        </w:rPr>
        <w:t>）及部分HW08（</w:t>
      </w:r>
      <w:r>
        <w:rPr>
          <w:rFonts w:hint="default" w:ascii="Times New Roman" w:hAnsi="Times New Roman" w:eastAsia="宋体" w:cs="Times New Roman"/>
          <w:b w:val="0"/>
          <w:bCs/>
          <w:sz w:val="24"/>
          <w:szCs w:val="24"/>
          <w:lang w:val="en-US" w:eastAsia="zh-CN"/>
        </w:rPr>
        <w:t>具体9个代码详见下表</w:t>
      </w:r>
      <w:r>
        <w:rPr>
          <w:rFonts w:hint="default" w:ascii="Times New Roman" w:hAnsi="Times New Roman" w:eastAsia="宋体" w:cs="Times New Roman"/>
          <w:color w:val="auto"/>
          <w:spacing w:val="0"/>
          <w:sz w:val="24"/>
          <w:szCs w:val="24"/>
          <w:u w:val="none" w:color="auto"/>
          <w:lang w:val="en-US" w:eastAsia="zh-CN"/>
        </w:rPr>
        <w:t>）。其中收集危险废物类别包括HW03、HW06、HW09、HW10、HW29、HW36、HW49、HW50及HW08等</w:t>
      </w:r>
      <w:r>
        <w:rPr>
          <w:rFonts w:hint="default" w:ascii="Times New Roman" w:hAnsi="Times New Roman" w:eastAsia="宋体" w:cs="Times New Roman"/>
          <w:color w:val="000000"/>
          <w:sz w:val="24"/>
          <w:szCs w:val="24"/>
          <w:u w:val="none"/>
          <w:lang w:val="en-US" w:eastAsia="zh-CN"/>
        </w:rPr>
        <w:t>9个大类，25个小类</w:t>
      </w:r>
      <w:r>
        <w:rPr>
          <w:rFonts w:hint="default" w:ascii="Times New Roman" w:hAnsi="Times New Roman" w:eastAsia="宋体" w:cs="Times New Roman"/>
          <w:color w:val="auto"/>
          <w:spacing w:val="0"/>
          <w:sz w:val="24"/>
          <w:szCs w:val="24"/>
          <w:u w:val="none" w:color="auto"/>
          <w:lang w:val="en-US" w:eastAsia="zh-CN"/>
        </w:rPr>
        <w:t>。</w:t>
      </w:r>
      <w:r>
        <w:rPr>
          <w:rFonts w:hint="default" w:ascii="Times New Roman" w:hAnsi="Times New Roman" w:eastAsia="宋体" w:cs="Times New Roman"/>
          <w:color w:val="auto"/>
          <w:spacing w:val="0"/>
          <w:sz w:val="24"/>
          <w:szCs w:val="24"/>
          <w:u w:val="single" w:color="auto"/>
          <w:lang w:val="en-US" w:eastAsia="zh-CN"/>
        </w:rPr>
        <w:t>现有项目现阶段</w:t>
      </w:r>
      <w:r>
        <w:rPr>
          <w:rFonts w:hint="default" w:ascii="Times New Roman" w:hAnsi="Times New Roman" w:eastAsia="宋体" w:cs="Times New Roman"/>
          <w:color w:val="auto"/>
          <w:sz w:val="24"/>
          <w:u w:val="single" w:color="auto"/>
          <w:lang w:val="en-US" w:eastAsia="zh-CN"/>
        </w:rPr>
        <w:t>具体</w:t>
      </w:r>
      <w:r>
        <w:rPr>
          <w:rFonts w:hint="default" w:ascii="Times New Roman" w:hAnsi="Times New Roman" w:eastAsia="宋体" w:cs="Times New Roman"/>
          <w:color w:val="auto"/>
          <w:sz w:val="24"/>
          <w:u w:val="single" w:color="auto"/>
        </w:rPr>
        <w:t>年收集、贮存危险废物类别、规模及周转情况，详见下表。</w:t>
      </w:r>
    </w:p>
    <w:p w14:paraId="5F9B13BA">
      <w:pPr>
        <w:spacing w:line="360" w:lineRule="auto"/>
        <w:ind w:firstLine="480" w:firstLineChars="200"/>
        <w:rPr>
          <w:rFonts w:hint="default" w:ascii="Times New Roman" w:hAnsi="Times New Roman" w:eastAsia="宋体" w:cs="Times New Roman"/>
          <w:sz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525FF6B3">
      <w:pPr>
        <w:spacing w:line="360" w:lineRule="auto"/>
        <w:jc w:val="center"/>
        <w:rPr>
          <w:rFonts w:hint="default" w:ascii="Times New Roman" w:hAnsi="Times New Roman" w:eastAsia="宋体" w:cs="Times New Roman"/>
          <w:b/>
          <w:color w:val="auto"/>
          <w:sz w:val="21"/>
          <w:szCs w:val="21"/>
          <w:u w:val="single" w:color="auto"/>
        </w:rPr>
      </w:pPr>
      <w:r>
        <w:rPr>
          <w:rFonts w:hint="default" w:ascii="Times New Roman" w:hAnsi="Times New Roman" w:eastAsia="宋体" w:cs="Times New Roman"/>
          <w:b/>
          <w:color w:val="auto"/>
          <w:sz w:val="21"/>
          <w:szCs w:val="21"/>
          <w:u w:val="single" w:color="auto"/>
        </w:rPr>
        <w:t>表</w:t>
      </w:r>
      <w:r>
        <w:rPr>
          <w:rFonts w:hint="default" w:ascii="Times New Roman" w:hAnsi="Times New Roman" w:eastAsia="宋体" w:cs="Times New Roman"/>
          <w:b/>
          <w:color w:val="auto"/>
          <w:sz w:val="21"/>
          <w:szCs w:val="21"/>
          <w:u w:val="single" w:color="auto"/>
          <w:lang w:val="en-US" w:eastAsia="zh-CN"/>
        </w:rPr>
        <w:t>3.3-2</w:t>
      </w:r>
      <w:r>
        <w:rPr>
          <w:rFonts w:hint="default" w:ascii="Times New Roman" w:hAnsi="Times New Roman" w:eastAsia="宋体" w:cs="Times New Roman"/>
          <w:b/>
          <w:color w:val="auto"/>
          <w:sz w:val="21"/>
          <w:szCs w:val="21"/>
          <w:u w:val="single" w:color="auto"/>
        </w:rPr>
        <w:t xml:space="preserve">  </w:t>
      </w:r>
      <w:r>
        <w:rPr>
          <w:rFonts w:hint="default" w:ascii="Times New Roman" w:hAnsi="Times New Roman" w:eastAsia="宋体" w:cs="Times New Roman"/>
          <w:b/>
          <w:color w:val="auto"/>
          <w:sz w:val="21"/>
          <w:szCs w:val="21"/>
          <w:u w:val="single" w:color="auto"/>
          <w:lang w:val="en-US" w:eastAsia="zh-CN"/>
        </w:rPr>
        <w:t>现有项目实际与原环评</w:t>
      </w:r>
      <w:r>
        <w:rPr>
          <w:rFonts w:hint="default" w:ascii="Times New Roman" w:hAnsi="Times New Roman" w:eastAsia="宋体" w:cs="Times New Roman"/>
          <w:b/>
          <w:color w:val="auto"/>
          <w:sz w:val="21"/>
          <w:szCs w:val="21"/>
          <w:u w:val="single" w:color="auto"/>
        </w:rPr>
        <w:t>危险废物收集、贮存类别及规模</w:t>
      </w:r>
      <w:r>
        <w:rPr>
          <w:rFonts w:hint="default" w:ascii="Times New Roman" w:hAnsi="Times New Roman" w:eastAsia="宋体" w:cs="Times New Roman"/>
          <w:b/>
          <w:color w:val="auto"/>
          <w:sz w:val="21"/>
          <w:szCs w:val="21"/>
          <w:u w:val="single" w:color="auto"/>
          <w:lang w:val="en-US" w:eastAsia="zh-CN"/>
        </w:rPr>
        <w:t>变化情况</w:t>
      </w:r>
      <w:r>
        <w:rPr>
          <w:rFonts w:hint="default" w:ascii="Times New Roman" w:hAnsi="Times New Roman" w:eastAsia="宋体" w:cs="Times New Roman"/>
          <w:b/>
          <w:color w:val="auto"/>
          <w:sz w:val="21"/>
          <w:szCs w:val="21"/>
          <w:u w:val="single" w:color="auto"/>
        </w:rPr>
        <w:t>一览表</w:t>
      </w:r>
    </w:p>
    <w:tbl>
      <w:tblPr>
        <w:tblStyle w:val="32"/>
        <w:tblW w:w="498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7"/>
        <w:gridCol w:w="2246"/>
        <w:gridCol w:w="1322"/>
        <w:gridCol w:w="1129"/>
        <w:gridCol w:w="1401"/>
        <w:gridCol w:w="1191"/>
        <w:gridCol w:w="1206"/>
        <w:gridCol w:w="698"/>
        <w:gridCol w:w="700"/>
        <w:gridCol w:w="955"/>
        <w:gridCol w:w="1078"/>
        <w:gridCol w:w="1590"/>
      </w:tblGrid>
      <w:tr w14:paraId="78097D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blHeader/>
          <w:jc w:val="center"/>
        </w:trPr>
        <w:tc>
          <w:tcPr>
            <w:tcW w:w="218" w:type="pct"/>
            <w:vMerge w:val="restart"/>
            <w:tcBorders>
              <w:tl2br w:val="nil"/>
              <w:tr2bl w:val="nil"/>
            </w:tcBorders>
            <w:noWrap w:val="0"/>
            <w:vAlign w:val="center"/>
          </w:tcPr>
          <w:p w14:paraId="133CF8B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lang w:val="en-US" w:eastAsia="zh-CN"/>
              </w:rPr>
              <w:t>序号</w:t>
            </w:r>
          </w:p>
        </w:tc>
        <w:tc>
          <w:tcPr>
            <w:tcW w:w="1262" w:type="pct"/>
            <w:gridSpan w:val="2"/>
            <w:vMerge w:val="restart"/>
            <w:tcBorders>
              <w:tl2br w:val="nil"/>
              <w:tr2bl w:val="nil"/>
            </w:tcBorders>
            <w:noWrap w:val="0"/>
            <w:vAlign w:val="center"/>
          </w:tcPr>
          <w:p w14:paraId="2BD8131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lang w:val="en-US" w:eastAsia="zh-CN"/>
              </w:rPr>
              <w:t>原环评危废种类及代码</w:t>
            </w:r>
          </w:p>
        </w:tc>
        <w:tc>
          <w:tcPr>
            <w:tcW w:w="399" w:type="pct"/>
            <w:vMerge w:val="restart"/>
            <w:tcBorders>
              <w:tl2br w:val="nil"/>
              <w:tr2bl w:val="nil"/>
            </w:tcBorders>
            <w:noWrap w:val="0"/>
            <w:vAlign w:val="center"/>
          </w:tcPr>
          <w:p w14:paraId="5F85A81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实际贮存仓库（不含矿物油）</w:t>
            </w:r>
          </w:p>
        </w:tc>
        <w:tc>
          <w:tcPr>
            <w:tcW w:w="495" w:type="pct"/>
            <w:vMerge w:val="restart"/>
            <w:tcBorders>
              <w:tl2br w:val="nil"/>
              <w:tr2bl w:val="nil"/>
            </w:tcBorders>
            <w:noWrap w:val="0"/>
            <w:vAlign w:val="center"/>
          </w:tcPr>
          <w:p w14:paraId="2582078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类别（已办危废经营许可证）</w:t>
            </w:r>
          </w:p>
        </w:tc>
        <w:tc>
          <w:tcPr>
            <w:tcW w:w="421" w:type="pct"/>
            <w:vMerge w:val="restart"/>
            <w:tcBorders>
              <w:tl2br w:val="nil"/>
              <w:tr2bl w:val="nil"/>
            </w:tcBorders>
            <w:noWrap w:val="0"/>
            <w:vAlign w:val="center"/>
          </w:tcPr>
          <w:p w14:paraId="2BC42D7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危险特性</w:t>
            </w:r>
          </w:p>
        </w:tc>
        <w:tc>
          <w:tcPr>
            <w:tcW w:w="426" w:type="pct"/>
            <w:vMerge w:val="restart"/>
            <w:tcBorders>
              <w:tl2br w:val="nil"/>
              <w:tr2bl w:val="nil"/>
            </w:tcBorders>
            <w:noWrap w:val="0"/>
            <w:vAlign w:val="center"/>
          </w:tcPr>
          <w:p w14:paraId="18B1C51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物理性状</w:t>
            </w:r>
          </w:p>
        </w:tc>
        <w:tc>
          <w:tcPr>
            <w:tcW w:w="494" w:type="pct"/>
            <w:gridSpan w:val="2"/>
            <w:tcBorders>
              <w:tl2br w:val="nil"/>
              <w:tr2bl w:val="nil"/>
            </w:tcBorders>
            <w:noWrap w:val="0"/>
            <w:vAlign w:val="center"/>
          </w:tcPr>
          <w:p w14:paraId="346E00C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最大年周转量（t）</w:t>
            </w:r>
          </w:p>
        </w:tc>
        <w:tc>
          <w:tcPr>
            <w:tcW w:w="337" w:type="pct"/>
            <w:vMerge w:val="restart"/>
            <w:tcBorders>
              <w:tl2br w:val="nil"/>
              <w:tr2bl w:val="nil"/>
            </w:tcBorders>
            <w:noWrap w:val="0"/>
            <w:vAlign w:val="center"/>
          </w:tcPr>
          <w:p w14:paraId="1B0AE79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最大贮存量（t）</w:t>
            </w:r>
          </w:p>
        </w:tc>
        <w:tc>
          <w:tcPr>
            <w:tcW w:w="381" w:type="pct"/>
            <w:vMerge w:val="restart"/>
            <w:tcBorders>
              <w:tl2br w:val="nil"/>
              <w:tr2bl w:val="nil"/>
            </w:tcBorders>
            <w:noWrap w:val="0"/>
            <w:vAlign w:val="center"/>
          </w:tcPr>
          <w:p w14:paraId="7A282C6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周转周期</w:t>
            </w:r>
          </w:p>
        </w:tc>
        <w:tc>
          <w:tcPr>
            <w:tcW w:w="562" w:type="pct"/>
            <w:vMerge w:val="restart"/>
            <w:tcBorders>
              <w:tl2br w:val="nil"/>
              <w:tr2bl w:val="nil"/>
            </w:tcBorders>
            <w:noWrap w:val="0"/>
            <w:vAlign w:val="center"/>
          </w:tcPr>
          <w:p w14:paraId="09681ED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贮存方式</w:t>
            </w:r>
          </w:p>
        </w:tc>
      </w:tr>
      <w:tr w14:paraId="73AC0F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tblHeader/>
          <w:jc w:val="center"/>
        </w:trPr>
        <w:tc>
          <w:tcPr>
            <w:tcW w:w="218" w:type="pct"/>
            <w:vMerge w:val="continue"/>
            <w:tcBorders>
              <w:tl2br w:val="nil"/>
              <w:tr2bl w:val="nil"/>
            </w:tcBorders>
            <w:noWrap w:val="0"/>
            <w:vAlign w:val="center"/>
          </w:tcPr>
          <w:p w14:paraId="0344248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rPr>
            </w:pPr>
          </w:p>
        </w:tc>
        <w:tc>
          <w:tcPr>
            <w:tcW w:w="1262" w:type="pct"/>
            <w:gridSpan w:val="2"/>
            <w:vMerge w:val="continue"/>
            <w:tcBorders>
              <w:tl2br w:val="nil"/>
              <w:tr2bl w:val="nil"/>
            </w:tcBorders>
            <w:noWrap w:val="0"/>
            <w:vAlign w:val="center"/>
          </w:tcPr>
          <w:p w14:paraId="7B03B13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rPr>
            </w:pPr>
          </w:p>
        </w:tc>
        <w:tc>
          <w:tcPr>
            <w:tcW w:w="399" w:type="pct"/>
            <w:vMerge w:val="continue"/>
            <w:tcBorders>
              <w:tl2br w:val="nil"/>
              <w:tr2bl w:val="nil"/>
            </w:tcBorders>
            <w:noWrap w:val="0"/>
            <w:vAlign w:val="center"/>
          </w:tcPr>
          <w:p w14:paraId="7257500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rPr>
            </w:pPr>
          </w:p>
        </w:tc>
        <w:tc>
          <w:tcPr>
            <w:tcW w:w="495" w:type="pct"/>
            <w:vMerge w:val="continue"/>
            <w:tcBorders>
              <w:tl2br w:val="nil"/>
              <w:tr2bl w:val="nil"/>
            </w:tcBorders>
            <w:noWrap w:val="0"/>
            <w:vAlign w:val="center"/>
          </w:tcPr>
          <w:p w14:paraId="3F64122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rPr>
            </w:pPr>
          </w:p>
        </w:tc>
        <w:tc>
          <w:tcPr>
            <w:tcW w:w="421" w:type="pct"/>
            <w:vMerge w:val="continue"/>
            <w:tcBorders>
              <w:tl2br w:val="nil"/>
              <w:tr2bl w:val="nil"/>
            </w:tcBorders>
            <w:noWrap w:val="0"/>
            <w:vAlign w:val="center"/>
          </w:tcPr>
          <w:p w14:paraId="1385972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rPr>
            </w:pPr>
          </w:p>
        </w:tc>
        <w:tc>
          <w:tcPr>
            <w:tcW w:w="426" w:type="pct"/>
            <w:vMerge w:val="continue"/>
            <w:tcBorders>
              <w:tl2br w:val="nil"/>
              <w:tr2bl w:val="nil"/>
            </w:tcBorders>
            <w:noWrap w:val="0"/>
            <w:vAlign w:val="center"/>
          </w:tcPr>
          <w:p w14:paraId="6A4DD3E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rPr>
            </w:pPr>
          </w:p>
        </w:tc>
        <w:tc>
          <w:tcPr>
            <w:tcW w:w="247" w:type="pct"/>
            <w:tcBorders>
              <w:tl2br w:val="nil"/>
              <w:tr2bl w:val="nil"/>
            </w:tcBorders>
            <w:noWrap w:val="0"/>
            <w:vAlign w:val="center"/>
          </w:tcPr>
          <w:p w14:paraId="2558F5F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lang w:val="en-US" w:eastAsia="zh-CN"/>
              </w:rPr>
            </w:pPr>
            <w:r>
              <w:rPr>
                <w:rFonts w:hint="default" w:ascii="Times New Roman" w:hAnsi="Times New Roman" w:eastAsia="宋体" w:cs="Times New Roman"/>
                <w:b/>
                <w:bCs w:val="0"/>
                <w:sz w:val="21"/>
                <w:szCs w:val="21"/>
                <w:lang w:val="en-US" w:eastAsia="zh-CN"/>
              </w:rPr>
              <w:t>环评</w:t>
            </w:r>
          </w:p>
        </w:tc>
        <w:tc>
          <w:tcPr>
            <w:tcW w:w="247" w:type="pct"/>
            <w:tcBorders>
              <w:tl2br w:val="nil"/>
              <w:tr2bl w:val="nil"/>
            </w:tcBorders>
            <w:noWrap w:val="0"/>
            <w:vAlign w:val="center"/>
          </w:tcPr>
          <w:p w14:paraId="0E077E6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bCs w:val="0"/>
                <w:lang w:val="en-US" w:eastAsia="zh-CN"/>
              </w:rPr>
            </w:pPr>
            <w:r>
              <w:rPr>
                <w:rFonts w:hint="default" w:ascii="Times New Roman" w:hAnsi="Times New Roman" w:eastAsia="宋体" w:cs="Times New Roman"/>
                <w:b/>
                <w:bCs w:val="0"/>
                <w:sz w:val="21"/>
                <w:szCs w:val="21"/>
                <w:lang w:val="en-US" w:eastAsia="zh-CN"/>
              </w:rPr>
              <w:t>验收</w:t>
            </w:r>
          </w:p>
        </w:tc>
        <w:tc>
          <w:tcPr>
            <w:tcW w:w="337" w:type="pct"/>
            <w:vMerge w:val="continue"/>
            <w:tcBorders>
              <w:tl2br w:val="nil"/>
              <w:tr2bl w:val="nil"/>
            </w:tcBorders>
            <w:noWrap w:val="0"/>
            <w:vAlign w:val="center"/>
          </w:tcPr>
          <w:p w14:paraId="1363778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rPr>
            </w:pPr>
          </w:p>
        </w:tc>
        <w:tc>
          <w:tcPr>
            <w:tcW w:w="381" w:type="pct"/>
            <w:vMerge w:val="continue"/>
            <w:tcBorders>
              <w:tl2br w:val="nil"/>
              <w:tr2bl w:val="nil"/>
            </w:tcBorders>
            <w:noWrap w:val="0"/>
            <w:vAlign w:val="center"/>
          </w:tcPr>
          <w:p w14:paraId="0029C6B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rPr>
            </w:pPr>
          </w:p>
        </w:tc>
        <w:tc>
          <w:tcPr>
            <w:tcW w:w="562" w:type="pct"/>
            <w:vMerge w:val="continue"/>
            <w:tcBorders>
              <w:tl2br w:val="nil"/>
              <w:tr2bl w:val="nil"/>
            </w:tcBorders>
            <w:noWrap w:val="0"/>
            <w:vAlign w:val="center"/>
          </w:tcPr>
          <w:p w14:paraId="4F4419D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rPr>
            </w:pPr>
          </w:p>
        </w:tc>
      </w:tr>
      <w:tr w14:paraId="5A935B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tcBorders>
              <w:tl2br w:val="nil"/>
              <w:tr2bl w:val="nil"/>
            </w:tcBorders>
            <w:noWrap w:val="0"/>
            <w:vAlign w:val="center"/>
          </w:tcPr>
          <w:p w14:paraId="5EA1721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w:t>
            </w:r>
          </w:p>
        </w:tc>
        <w:tc>
          <w:tcPr>
            <w:tcW w:w="794" w:type="pct"/>
            <w:tcBorders>
              <w:tl2br w:val="nil"/>
              <w:tr2bl w:val="nil"/>
            </w:tcBorders>
            <w:noWrap w:val="0"/>
            <w:vAlign w:val="center"/>
          </w:tcPr>
          <w:p w14:paraId="3FFC3FB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HW03废药物、药品</w:t>
            </w:r>
          </w:p>
        </w:tc>
        <w:tc>
          <w:tcPr>
            <w:tcW w:w="467" w:type="pct"/>
            <w:tcBorders>
              <w:tl2br w:val="nil"/>
              <w:tr2bl w:val="nil"/>
            </w:tcBorders>
            <w:noWrap w:val="0"/>
            <w:vAlign w:val="center"/>
          </w:tcPr>
          <w:p w14:paraId="584B1DC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900-002-03</w:t>
            </w:r>
          </w:p>
        </w:tc>
        <w:tc>
          <w:tcPr>
            <w:tcW w:w="399" w:type="pct"/>
            <w:tcBorders>
              <w:tl2br w:val="nil"/>
              <w:tr2bl w:val="nil"/>
            </w:tcBorders>
            <w:noWrap w:val="0"/>
            <w:vAlign w:val="center"/>
          </w:tcPr>
          <w:p w14:paraId="12A5286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w:t>
            </w:r>
          </w:p>
        </w:tc>
        <w:tc>
          <w:tcPr>
            <w:tcW w:w="495" w:type="pct"/>
            <w:tcBorders>
              <w:tl2br w:val="nil"/>
              <w:tr2bl w:val="nil"/>
            </w:tcBorders>
            <w:noWrap w:val="0"/>
            <w:vAlign w:val="center"/>
          </w:tcPr>
          <w:p w14:paraId="72A04DE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3090466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3F75890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固态</w:t>
            </w:r>
          </w:p>
        </w:tc>
        <w:tc>
          <w:tcPr>
            <w:tcW w:w="247" w:type="pct"/>
            <w:tcBorders>
              <w:tl2br w:val="nil"/>
              <w:tr2bl w:val="nil"/>
            </w:tcBorders>
            <w:noWrap w:val="0"/>
            <w:vAlign w:val="center"/>
          </w:tcPr>
          <w:p w14:paraId="6EEA21D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100</w:t>
            </w:r>
          </w:p>
        </w:tc>
        <w:tc>
          <w:tcPr>
            <w:tcW w:w="247" w:type="pct"/>
            <w:tcBorders>
              <w:tl2br w:val="nil"/>
              <w:tr2bl w:val="nil"/>
            </w:tcBorders>
            <w:noWrap w:val="0"/>
            <w:vAlign w:val="center"/>
          </w:tcPr>
          <w:p w14:paraId="5A1E319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100</w:t>
            </w:r>
          </w:p>
        </w:tc>
        <w:tc>
          <w:tcPr>
            <w:tcW w:w="337" w:type="pct"/>
            <w:tcBorders>
              <w:tl2br w:val="nil"/>
              <w:tr2bl w:val="nil"/>
            </w:tcBorders>
            <w:noWrap w:val="0"/>
            <w:vAlign w:val="center"/>
          </w:tcPr>
          <w:p w14:paraId="31CED02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w:t>
            </w:r>
          </w:p>
        </w:tc>
        <w:tc>
          <w:tcPr>
            <w:tcW w:w="381" w:type="pct"/>
            <w:tcBorders>
              <w:tl2br w:val="nil"/>
              <w:tr2bl w:val="nil"/>
            </w:tcBorders>
            <w:noWrap w:val="0"/>
            <w:vAlign w:val="center"/>
          </w:tcPr>
          <w:p w14:paraId="54C9086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8次/月</w:t>
            </w:r>
          </w:p>
        </w:tc>
        <w:tc>
          <w:tcPr>
            <w:tcW w:w="562" w:type="pct"/>
            <w:tcBorders>
              <w:tl2br w:val="nil"/>
              <w:tr2bl w:val="nil"/>
            </w:tcBorders>
            <w:noWrap w:val="0"/>
            <w:vAlign w:val="center"/>
          </w:tcPr>
          <w:p w14:paraId="715A4DC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桶装/箱装</w:t>
            </w:r>
          </w:p>
        </w:tc>
      </w:tr>
      <w:tr w14:paraId="3E5635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tcBorders>
              <w:tl2br w:val="nil"/>
              <w:tr2bl w:val="nil"/>
            </w:tcBorders>
            <w:noWrap w:val="0"/>
            <w:vAlign w:val="center"/>
          </w:tcPr>
          <w:p w14:paraId="39CEB0C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2</w:t>
            </w:r>
          </w:p>
        </w:tc>
        <w:tc>
          <w:tcPr>
            <w:tcW w:w="794" w:type="pct"/>
            <w:tcBorders>
              <w:tl2br w:val="nil"/>
              <w:tr2bl w:val="nil"/>
            </w:tcBorders>
            <w:noWrap w:val="0"/>
            <w:vAlign w:val="center"/>
          </w:tcPr>
          <w:p w14:paraId="6600BB8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HW06废有机溶剂与含有机溶剂废物</w:t>
            </w:r>
          </w:p>
        </w:tc>
        <w:tc>
          <w:tcPr>
            <w:tcW w:w="467" w:type="pct"/>
            <w:tcBorders>
              <w:tl2br w:val="nil"/>
              <w:tr2bl w:val="nil"/>
            </w:tcBorders>
            <w:noWrap w:val="0"/>
            <w:vAlign w:val="center"/>
          </w:tcPr>
          <w:p w14:paraId="145E35E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900-402-06</w:t>
            </w:r>
          </w:p>
        </w:tc>
        <w:tc>
          <w:tcPr>
            <w:tcW w:w="399" w:type="pct"/>
            <w:tcBorders>
              <w:tl2br w:val="nil"/>
              <w:tr2bl w:val="nil"/>
            </w:tcBorders>
            <w:noWrap w:val="0"/>
            <w:vAlign w:val="center"/>
          </w:tcPr>
          <w:p w14:paraId="28DA8A3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16#</w:t>
            </w:r>
          </w:p>
        </w:tc>
        <w:tc>
          <w:tcPr>
            <w:tcW w:w="495" w:type="pct"/>
            <w:tcBorders>
              <w:tl2br w:val="nil"/>
              <w:tr2bl w:val="nil"/>
            </w:tcBorders>
            <w:noWrap w:val="0"/>
            <w:vAlign w:val="center"/>
          </w:tcPr>
          <w:p w14:paraId="082C02F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3FBD7FF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T，I，R</w:t>
            </w:r>
          </w:p>
        </w:tc>
        <w:tc>
          <w:tcPr>
            <w:tcW w:w="426" w:type="pct"/>
            <w:tcBorders>
              <w:tl2br w:val="nil"/>
              <w:tr2bl w:val="nil"/>
            </w:tcBorders>
            <w:noWrap w:val="0"/>
            <w:vAlign w:val="center"/>
          </w:tcPr>
          <w:p w14:paraId="4DB49AB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液态/半固态</w:t>
            </w:r>
          </w:p>
        </w:tc>
        <w:tc>
          <w:tcPr>
            <w:tcW w:w="247" w:type="pct"/>
            <w:tcBorders>
              <w:tl2br w:val="nil"/>
              <w:tr2bl w:val="nil"/>
            </w:tcBorders>
            <w:noWrap w:val="0"/>
            <w:vAlign w:val="center"/>
          </w:tcPr>
          <w:p w14:paraId="2517662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100</w:t>
            </w:r>
          </w:p>
        </w:tc>
        <w:tc>
          <w:tcPr>
            <w:tcW w:w="247" w:type="pct"/>
            <w:tcBorders>
              <w:tl2br w:val="nil"/>
              <w:tr2bl w:val="nil"/>
            </w:tcBorders>
            <w:noWrap w:val="0"/>
            <w:vAlign w:val="center"/>
          </w:tcPr>
          <w:p w14:paraId="345FC87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130</w:t>
            </w:r>
          </w:p>
        </w:tc>
        <w:tc>
          <w:tcPr>
            <w:tcW w:w="337" w:type="pct"/>
            <w:tcBorders>
              <w:tl2br w:val="nil"/>
              <w:tr2bl w:val="nil"/>
            </w:tcBorders>
            <w:noWrap w:val="0"/>
            <w:vAlign w:val="center"/>
          </w:tcPr>
          <w:p w14:paraId="639136B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w:t>
            </w:r>
          </w:p>
        </w:tc>
        <w:tc>
          <w:tcPr>
            <w:tcW w:w="381" w:type="pct"/>
            <w:tcBorders>
              <w:tl2br w:val="nil"/>
              <w:tr2bl w:val="nil"/>
            </w:tcBorders>
            <w:noWrap w:val="0"/>
            <w:vAlign w:val="center"/>
          </w:tcPr>
          <w:p w14:paraId="3A3E580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4次/月</w:t>
            </w:r>
          </w:p>
        </w:tc>
        <w:tc>
          <w:tcPr>
            <w:tcW w:w="562" w:type="pct"/>
            <w:tcBorders>
              <w:tl2br w:val="nil"/>
              <w:tr2bl w:val="nil"/>
            </w:tcBorders>
            <w:noWrap w:val="0"/>
            <w:vAlign w:val="center"/>
          </w:tcPr>
          <w:p w14:paraId="7BFB310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桶装</w:t>
            </w:r>
          </w:p>
        </w:tc>
      </w:tr>
      <w:tr w14:paraId="68433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restart"/>
            <w:tcBorders>
              <w:tl2br w:val="nil"/>
              <w:tr2bl w:val="nil"/>
            </w:tcBorders>
            <w:noWrap w:val="0"/>
            <w:vAlign w:val="center"/>
          </w:tcPr>
          <w:p w14:paraId="068458F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3</w:t>
            </w:r>
          </w:p>
        </w:tc>
        <w:tc>
          <w:tcPr>
            <w:tcW w:w="794" w:type="pct"/>
            <w:vMerge w:val="restart"/>
            <w:tcBorders>
              <w:tl2br w:val="nil"/>
              <w:tr2bl w:val="nil"/>
            </w:tcBorders>
            <w:noWrap w:val="0"/>
            <w:vAlign w:val="center"/>
          </w:tcPr>
          <w:p w14:paraId="4E3A685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HW09油/水、烃/水混合物或乳化液</w:t>
            </w:r>
          </w:p>
        </w:tc>
        <w:tc>
          <w:tcPr>
            <w:tcW w:w="467" w:type="pct"/>
            <w:tcBorders>
              <w:tl2br w:val="nil"/>
              <w:tr2bl w:val="nil"/>
            </w:tcBorders>
            <w:noWrap w:val="0"/>
            <w:vAlign w:val="center"/>
          </w:tcPr>
          <w:p w14:paraId="1A41161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900-005-09</w:t>
            </w:r>
          </w:p>
        </w:tc>
        <w:tc>
          <w:tcPr>
            <w:tcW w:w="399" w:type="pct"/>
            <w:tcBorders>
              <w:tl2br w:val="nil"/>
              <w:tr2bl w:val="nil"/>
            </w:tcBorders>
            <w:noWrap w:val="0"/>
            <w:vAlign w:val="center"/>
          </w:tcPr>
          <w:p w14:paraId="4797CED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24#</w:t>
            </w:r>
          </w:p>
        </w:tc>
        <w:tc>
          <w:tcPr>
            <w:tcW w:w="495" w:type="pct"/>
            <w:tcBorders>
              <w:tl2br w:val="nil"/>
              <w:tr2bl w:val="nil"/>
            </w:tcBorders>
            <w:noWrap w:val="0"/>
            <w:vAlign w:val="center"/>
          </w:tcPr>
          <w:p w14:paraId="06D6308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16474E9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4934E5B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液态</w:t>
            </w:r>
          </w:p>
        </w:tc>
        <w:tc>
          <w:tcPr>
            <w:tcW w:w="247" w:type="pct"/>
            <w:vMerge w:val="restart"/>
            <w:tcBorders>
              <w:tl2br w:val="nil"/>
              <w:tr2bl w:val="nil"/>
            </w:tcBorders>
            <w:noWrap w:val="0"/>
            <w:vAlign w:val="center"/>
          </w:tcPr>
          <w:p w14:paraId="78F59CB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1100</w:t>
            </w:r>
          </w:p>
        </w:tc>
        <w:tc>
          <w:tcPr>
            <w:tcW w:w="247" w:type="pct"/>
            <w:tcBorders>
              <w:tl2br w:val="nil"/>
              <w:tr2bl w:val="nil"/>
            </w:tcBorders>
            <w:noWrap w:val="0"/>
            <w:vAlign w:val="center"/>
          </w:tcPr>
          <w:p w14:paraId="45AB47A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415</w:t>
            </w:r>
          </w:p>
        </w:tc>
        <w:tc>
          <w:tcPr>
            <w:tcW w:w="337" w:type="pct"/>
            <w:tcBorders>
              <w:tl2br w:val="nil"/>
              <w:tr2bl w:val="nil"/>
            </w:tcBorders>
            <w:noWrap w:val="0"/>
            <w:vAlign w:val="center"/>
          </w:tcPr>
          <w:p w14:paraId="5A5203B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w:t>
            </w:r>
          </w:p>
        </w:tc>
        <w:tc>
          <w:tcPr>
            <w:tcW w:w="381" w:type="pct"/>
            <w:vMerge w:val="restart"/>
            <w:tcBorders>
              <w:tl2br w:val="nil"/>
              <w:tr2bl w:val="nil"/>
            </w:tcBorders>
            <w:noWrap w:val="0"/>
            <w:vAlign w:val="center"/>
          </w:tcPr>
          <w:p w14:paraId="30B2122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9次/月</w:t>
            </w:r>
          </w:p>
        </w:tc>
        <w:tc>
          <w:tcPr>
            <w:tcW w:w="562" w:type="pct"/>
            <w:tcBorders>
              <w:tl2br w:val="nil"/>
              <w:tr2bl w:val="nil"/>
            </w:tcBorders>
            <w:noWrap w:val="0"/>
            <w:vAlign w:val="center"/>
          </w:tcPr>
          <w:p w14:paraId="1F5713A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桶装</w:t>
            </w:r>
          </w:p>
        </w:tc>
      </w:tr>
      <w:tr w14:paraId="1310C3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noWrap w:val="0"/>
            <w:vAlign w:val="center"/>
          </w:tcPr>
          <w:p w14:paraId="62CC02F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noWrap w:val="0"/>
            <w:vAlign w:val="center"/>
          </w:tcPr>
          <w:p w14:paraId="23C0B09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noWrap w:val="0"/>
            <w:vAlign w:val="center"/>
          </w:tcPr>
          <w:p w14:paraId="084BE42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900-006-09</w:t>
            </w:r>
          </w:p>
        </w:tc>
        <w:tc>
          <w:tcPr>
            <w:tcW w:w="399" w:type="pct"/>
            <w:tcBorders>
              <w:tl2br w:val="nil"/>
              <w:tr2bl w:val="nil"/>
            </w:tcBorders>
            <w:noWrap w:val="0"/>
            <w:vAlign w:val="center"/>
          </w:tcPr>
          <w:p w14:paraId="3B4D0FD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24#</w:t>
            </w:r>
          </w:p>
        </w:tc>
        <w:tc>
          <w:tcPr>
            <w:tcW w:w="495" w:type="pct"/>
            <w:tcBorders>
              <w:tl2br w:val="nil"/>
              <w:tr2bl w:val="nil"/>
            </w:tcBorders>
            <w:noWrap w:val="0"/>
            <w:vAlign w:val="center"/>
          </w:tcPr>
          <w:p w14:paraId="28A4011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36ECDD8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1A29C60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p>
        </w:tc>
        <w:tc>
          <w:tcPr>
            <w:tcW w:w="247" w:type="pct"/>
            <w:vMerge w:val="continue"/>
            <w:tcBorders>
              <w:tl2br w:val="nil"/>
              <w:tr2bl w:val="nil"/>
            </w:tcBorders>
            <w:noWrap w:val="0"/>
            <w:vAlign w:val="center"/>
          </w:tcPr>
          <w:p w14:paraId="6E624BA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247" w:type="pct"/>
            <w:tcBorders>
              <w:tl2br w:val="nil"/>
              <w:tr2bl w:val="nil"/>
            </w:tcBorders>
            <w:noWrap w:val="0"/>
            <w:vAlign w:val="center"/>
          </w:tcPr>
          <w:p w14:paraId="252FE7D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415</w:t>
            </w:r>
          </w:p>
        </w:tc>
        <w:tc>
          <w:tcPr>
            <w:tcW w:w="337" w:type="pct"/>
            <w:tcBorders>
              <w:tl2br w:val="nil"/>
              <w:tr2bl w:val="nil"/>
            </w:tcBorders>
            <w:noWrap w:val="0"/>
            <w:vAlign w:val="center"/>
          </w:tcPr>
          <w:p w14:paraId="2F049D8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w:t>
            </w:r>
          </w:p>
        </w:tc>
        <w:tc>
          <w:tcPr>
            <w:tcW w:w="381" w:type="pct"/>
            <w:vMerge w:val="continue"/>
            <w:tcBorders>
              <w:tl2br w:val="nil"/>
              <w:tr2bl w:val="nil"/>
            </w:tcBorders>
            <w:noWrap w:val="0"/>
            <w:vAlign w:val="center"/>
          </w:tcPr>
          <w:p w14:paraId="1BB6D9E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noWrap w:val="0"/>
            <w:vAlign w:val="center"/>
          </w:tcPr>
          <w:p w14:paraId="071CB22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桶装</w:t>
            </w:r>
          </w:p>
        </w:tc>
      </w:tr>
      <w:tr w14:paraId="1A410D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noWrap w:val="0"/>
            <w:vAlign w:val="center"/>
          </w:tcPr>
          <w:p w14:paraId="0360123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noWrap w:val="0"/>
            <w:vAlign w:val="center"/>
          </w:tcPr>
          <w:p w14:paraId="7A28504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noWrap w:val="0"/>
            <w:vAlign w:val="center"/>
          </w:tcPr>
          <w:p w14:paraId="26A592B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900-007-09</w:t>
            </w:r>
          </w:p>
        </w:tc>
        <w:tc>
          <w:tcPr>
            <w:tcW w:w="399" w:type="pct"/>
            <w:tcBorders>
              <w:tl2br w:val="nil"/>
              <w:tr2bl w:val="nil"/>
            </w:tcBorders>
            <w:noWrap w:val="0"/>
            <w:vAlign w:val="center"/>
          </w:tcPr>
          <w:p w14:paraId="02AB533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24#</w:t>
            </w:r>
          </w:p>
        </w:tc>
        <w:tc>
          <w:tcPr>
            <w:tcW w:w="495" w:type="pct"/>
            <w:tcBorders>
              <w:tl2br w:val="nil"/>
              <w:tr2bl w:val="nil"/>
            </w:tcBorders>
            <w:noWrap w:val="0"/>
            <w:vAlign w:val="center"/>
          </w:tcPr>
          <w:p w14:paraId="0FD97D4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39A5C1F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7BA612A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p>
        </w:tc>
        <w:tc>
          <w:tcPr>
            <w:tcW w:w="247" w:type="pct"/>
            <w:vMerge w:val="continue"/>
            <w:tcBorders>
              <w:tl2br w:val="nil"/>
              <w:tr2bl w:val="nil"/>
            </w:tcBorders>
            <w:noWrap w:val="0"/>
            <w:vAlign w:val="center"/>
          </w:tcPr>
          <w:p w14:paraId="18C482D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247" w:type="pct"/>
            <w:tcBorders>
              <w:tl2br w:val="nil"/>
              <w:tr2bl w:val="nil"/>
            </w:tcBorders>
            <w:noWrap w:val="0"/>
            <w:vAlign w:val="center"/>
          </w:tcPr>
          <w:p w14:paraId="3D97AC3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420</w:t>
            </w:r>
          </w:p>
        </w:tc>
        <w:tc>
          <w:tcPr>
            <w:tcW w:w="337" w:type="pct"/>
            <w:tcBorders>
              <w:tl2br w:val="nil"/>
              <w:tr2bl w:val="nil"/>
            </w:tcBorders>
            <w:noWrap w:val="0"/>
            <w:vAlign w:val="center"/>
          </w:tcPr>
          <w:p w14:paraId="2AD9CDF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w:t>
            </w:r>
          </w:p>
        </w:tc>
        <w:tc>
          <w:tcPr>
            <w:tcW w:w="381" w:type="pct"/>
            <w:vMerge w:val="continue"/>
            <w:tcBorders>
              <w:tl2br w:val="nil"/>
              <w:tr2bl w:val="nil"/>
            </w:tcBorders>
            <w:noWrap w:val="0"/>
            <w:vAlign w:val="center"/>
          </w:tcPr>
          <w:p w14:paraId="3F75B01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noWrap w:val="0"/>
            <w:vAlign w:val="center"/>
          </w:tcPr>
          <w:p w14:paraId="5C092B1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桶装</w:t>
            </w:r>
          </w:p>
        </w:tc>
      </w:tr>
      <w:tr w14:paraId="0798E2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218" w:type="pct"/>
            <w:tcBorders>
              <w:tl2br w:val="nil"/>
              <w:tr2bl w:val="nil"/>
            </w:tcBorders>
            <w:noWrap w:val="0"/>
            <w:vAlign w:val="center"/>
          </w:tcPr>
          <w:p w14:paraId="5EBBF8D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w:t>
            </w:r>
          </w:p>
        </w:tc>
        <w:tc>
          <w:tcPr>
            <w:tcW w:w="794" w:type="pct"/>
            <w:tcBorders>
              <w:tl2br w:val="nil"/>
              <w:tr2bl w:val="nil"/>
            </w:tcBorders>
            <w:noWrap w:val="0"/>
            <w:vAlign w:val="center"/>
          </w:tcPr>
          <w:p w14:paraId="02E4557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HW10多氯（溴）联苯类废物</w:t>
            </w:r>
          </w:p>
        </w:tc>
        <w:tc>
          <w:tcPr>
            <w:tcW w:w="467" w:type="pct"/>
            <w:tcBorders>
              <w:tl2br w:val="nil"/>
              <w:tr2bl w:val="nil"/>
            </w:tcBorders>
            <w:noWrap w:val="0"/>
            <w:vAlign w:val="center"/>
          </w:tcPr>
          <w:p w14:paraId="1176B07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900-008-10</w:t>
            </w:r>
          </w:p>
        </w:tc>
        <w:tc>
          <w:tcPr>
            <w:tcW w:w="399" w:type="pct"/>
            <w:tcBorders>
              <w:tl2br w:val="nil"/>
              <w:tr2bl w:val="nil"/>
            </w:tcBorders>
            <w:noWrap w:val="0"/>
            <w:vAlign w:val="center"/>
          </w:tcPr>
          <w:p w14:paraId="51A5FF2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14#</w:t>
            </w:r>
          </w:p>
        </w:tc>
        <w:tc>
          <w:tcPr>
            <w:tcW w:w="495" w:type="pct"/>
            <w:tcBorders>
              <w:tl2br w:val="nil"/>
              <w:tr2bl w:val="nil"/>
            </w:tcBorders>
            <w:noWrap w:val="0"/>
            <w:vAlign w:val="center"/>
          </w:tcPr>
          <w:p w14:paraId="5D02BF2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03A593E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054AC39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固态</w:t>
            </w:r>
          </w:p>
        </w:tc>
        <w:tc>
          <w:tcPr>
            <w:tcW w:w="247" w:type="pct"/>
            <w:tcBorders>
              <w:tl2br w:val="nil"/>
              <w:tr2bl w:val="nil"/>
            </w:tcBorders>
            <w:noWrap w:val="0"/>
            <w:vAlign w:val="center"/>
          </w:tcPr>
          <w:p w14:paraId="3DC48CD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30</w:t>
            </w:r>
          </w:p>
        </w:tc>
        <w:tc>
          <w:tcPr>
            <w:tcW w:w="247" w:type="pct"/>
            <w:tcBorders>
              <w:tl2br w:val="nil"/>
              <w:tr2bl w:val="nil"/>
            </w:tcBorders>
            <w:noWrap w:val="0"/>
            <w:vAlign w:val="center"/>
          </w:tcPr>
          <w:p w14:paraId="25DCB89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30</w:t>
            </w:r>
          </w:p>
        </w:tc>
        <w:tc>
          <w:tcPr>
            <w:tcW w:w="337" w:type="pct"/>
            <w:tcBorders>
              <w:tl2br w:val="nil"/>
              <w:tr2bl w:val="nil"/>
            </w:tcBorders>
            <w:noWrap w:val="0"/>
            <w:vAlign w:val="center"/>
          </w:tcPr>
          <w:p w14:paraId="4071A3E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w:t>
            </w:r>
          </w:p>
        </w:tc>
        <w:tc>
          <w:tcPr>
            <w:tcW w:w="381" w:type="pct"/>
            <w:tcBorders>
              <w:tl2br w:val="nil"/>
              <w:tr2bl w:val="nil"/>
            </w:tcBorders>
            <w:noWrap w:val="0"/>
            <w:vAlign w:val="center"/>
          </w:tcPr>
          <w:p w14:paraId="773133A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6次/月</w:t>
            </w:r>
          </w:p>
        </w:tc>
        <w:tc>
          <w:tcPr>
            <w:tcW w:w="562" w:type="pct"/>
            <w:tcBorders>
              <w:tl2br w:val="nil"/>
              <w:tr2bl w:val="nil"/>
            </w:tcBorders>
            <w:noWrap w:val="0"/>
            <w:vAlign w:val="center"/>
          </w:tcPr>
          <w:p w14:paraId="093D56A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箱装</w:t>
            </w:r>
          </w:p>
        </w:tc>
      </w:tr>
      <w:tr w14:paraId="3FF0C9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restart"/>
            <w:tcBorders>
              <w:tl2br w:val="nil"/>
              <w:tr2bl w:val="nil"/>
            </w:tcBorders>
            <w:shd w:val="clear" w:color="auto" w:fill="D7D7D7"/>
            <w:noWrap w:val="0"/>
            <w:vAlign w:val="center"/>
          </w:tcPr>
          <w:p w14:paraId="0504C76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5</w:t>
            </w:r>
          </w:p>
        </w:tc>
        <w:tc>
          <w:tcPr>
            <w:tcW w:w="794" w:type="pct"/>
            <w:vMerge w:val="restart"/>
            <w:tcBorders>
              <w:tl2br w:val="nil"/>
              <w:tr2bl w:val="nil"/>
            </w:tcBorders>
            <w:shd w:val="clear" w:color="auto" w:fill="D7D7D7"/>
            <w:noWrap w:val="0"/>
            <w:vAlign w:val="center"/>
          </w:tcPr>
          <w:p w14:paraId="691FBFE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HW12染料、涂料废物</w:t>
            </w:r>
          </w:p>
        </w:tc>
        <w:tc>
          <w:tcPr>
            <w:tcW w:w="467" w:type="pct"/>
            <w:tcBorders>
              <w:tl2br w:val="nil"/>
              <w:tr2bl w:val="nil"/>
            </w:tcBorders>
            <w:shd w:val="clear" w:color="auto" w:fill="D7D7D7"/>
            <w:noWrap w:val="0"/>
            <w:vAlign w:val="center"/>
          </w:tcPr>
          <w:p w14:paraId="3D189C6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264-012-12</w:t>
            </w:r>
          </w:p>
        </w:tc>
        <w:tc>
          <w:tcPr>
            <w:tcW w:w="399" w:type="pct"/>
            <w:vMerge w:val="restart"/>
            <w:tcBorders>
              <w:tl2br w:val="nil"/>
              <w:tr2bl w:val="nil"/>
            </w:tcBorders>
            <w:shd w:val="clear" w:color="auto" w:fill="D7D7D7"/>
            <w:noWrap w:val="0"/>
            <w:vAlign w:val="center"/>
          </w:tcPr>
          <w:p w14:paraId="19567DC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t>
            </w:r>
          </w:p>
        </w:tc>
        <w:tc>
          <w:tcPr>
            <w:tcW w:w="495" w:type="pct"/>
            <w:vMerge w:val="restart"/>
            <w:tcBorders>
              <w:tl2br w:val="nil"/>
              <w:tr2bl w:val="nil"/>
            </w:tcBorders>
            <w:shd w:val="clear" w:color="auto" w:fill="D7D7D7"/>
            <w:noWrap w:val="0"/>
            <w:vAlign w:val="center"/>
          </w:tcPr>
          <w:p w14:paraId="3422A97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已批复</w:t>
            </w:r>
          </w:p>
          <w:p w14:paraId="4B34A80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未纳入本次许可证</w:t>
            </w:r>
          </w:p>
        </w:tc>
        <w:tc>
          <w:tcPr>
            <w:tcW w:w="421" w:type="pct"/>
            <w:tcBorders>
              <w:tl2br w:val="nil"/>
              <w:tr2bl w:val="nil"/>
            </w:tcBorders>
            <w:shd w:val="clear" w:color="auto" w:fill="D7D7D7"/>
            <w:noWrap w:val="0"/>
            <w:vAlign w:val="center"/>
          </w:tcPr>
          <w:p w14:paraId="4D4A1FC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shd w:val="clear" w:color="auto" w:fill="D7D7D7"/>
            <w:noWrap w:val="0"/>
            <w:vAlign w:val="center"/>
          </w:tcPr>
          <w:p w14:paraId="355A8C9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固态</w:t>
            </w:r>
          </w:p>
        </w:tc>
        <w:tc>
          <w:tcPr>
            <w:tcW w:w="247" w:type="pct"/>
            <w:vMerge w:val="restart"/>
            <w:tcBorders>
              <w:tl2br w:val="nil"/>
              <w:tr2bl w:val="nil"/>
            </w:tcBorders>
            <w:shd w:val="clear" w:color="auto" w:fill="D7D7D7"/>
            <w:noWrap w:val="0"/>
            <w:vAlign w:val="center"/>
          </w:tcPr>
          <w:p w14:paraId="03F9C27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800</w:t>
            </w:r>
          </w:p>
        </w:tc>
        <w:tc>
          <w:tcPr>
            <w:tcW w:w="247" w:type="pct"/>
            <w:vMerge w:val="restart"/>
            <w:tcBorders>
              <w:tl2br w:val="nil"/>
              <w:tr2bl w:val="nil"/>
            </w:tcBorders>
            <w:shd w:val="clear" w:color="auto" w:fill="D7D7D7"/>
            <w:noWrap w:val="0"/>
            <w:vAlign w:val="center"/>
          </w:tcPr>
          <w:p w14:paraId="3ACE060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337" w:type="pct"/>
            <w:tcBorders>
              <w:tl2br w:val="nil"/>
              <w:tr2bl w:val="nil"/>
            </w:tcBorders>
            <w:shd w:val="clear" w:color="auto" w:fill="D7D7D7"/>
            <w:noWrap w:val="0"/>
            <w:vAlign w:val="center"/>
          </w:tcPr>
          <w:p w14:paraId="40AA8BB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381" w:type="pct"/>
            <w:vMerge w:val="restart"/>
            <w:tcBorders>
              <w:tl2br w:val="nil"/>
              <w:tr2bl w:val="nil"/>
            </w:tcBorders>
            <w:shd w:val="clear" w:color="auto" w:fill="D7D7D7"/>
            <w:noWrap w:val="0"/>
            <w:vAlign w:val="center"/>
          </w:tcPr>
          <w:p w14:paraId="157CA5A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562" w:type="pct"/>
            <w:tcBorders>
              <w:tl2br w:val="nil"/>
              <w:tr2bl w:val="nil"/>
            </w:tcBorders>
            <w:shd w:val="clear" w:color="auto" w:fill="D7D7D7"/>
            <w:noWrap w:val="0"/>
            <w:vAlign w:val="center"/>
          </w:tcPr>
          <w:p w14:paraId="3974847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桶装</w:t>
            </w:r>
          </w:p>
        </w:tc>
      </w:tr>
      <w:tr w14:paraId="254900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218" w:type="pct"/>
            <w:vMerge w:val="continue"/>
            <w:tcBorders>
              <w:tl2br w:val="nil"/>
              <w:tr2bl w:val="nil"/>
            </w:tcBorders>
            <w:shd w:val="clear" w:color="auto" w:fill="D7D7D7"/>
            <w:noWrap w:val="0"/>
            <w:vAlign w:val="center"/>
          </w:tcPr>
          <w:p w14:paraId="59D1795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shd w:val="clear" w:color="auto" w:fill="D7D7D7"/>
            <w:noWrap w:val="0"/>
            <w:vAlign w:val="center"/>
          </w:tcPr>
          <w:p w14:paraId="1DD73A7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shd w:val="clear" w:color="auto" w:fill="D7D7D7"/>
            <w:noWrap w:val="0"/>
            <w:vAlign w:val="center"/>
          </w:tcPr>
          <w:p w14:paraId="2A7C43D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900-252-12</w:t>
            </w:r>
          </w:p>
        </w:tc>
        <w:tc>
          <w:tcPr>
            <w:tcW w:w="399" w:type="pct"/>
            <w:vMerge w:val="continue"/>
            <w:tcBorders>
              <w:tl2br w:val="nil"/>
              <w:tr2bl w:val="nil"/>
            </w:tcBorders>
            <w:shd w:val="clear" w:color="auto" w:fill="D7D7D7"/>
            <w:noWrap w:val="0"/>
            <w:vAlign w:val="center"/>
          </w:tcPr>
          <w:p w14:paraId="050C489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95" w:type="pct"/>
            <w:vMerge w:val="continue"/>
            <w:tcBorders>
              <w:tl2br w:val="nil"/>
              <w:tr2bl w:val="nil"/>
            </w:tcBorders>
            <w:shd w:val="clear" w:color="auto" w:fill="D7D7D7"/>
            <w:noWrap w:val="0"/>
            <w:vAlign w:val="center"/>
          </w:tcPr>
          <w:p w14:paraId="1A35D53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3A9D1E6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D7D7D7"/>
            <w:noWrap w:val="0"/>
            <w:vAlign w:val="center"/>
          </w:tcPr>
          <w:p w14:paraId="3AD4950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r>
              <w:rPr>
                <w:rFonts w:hint="default" w:ascii="Times New Roman" w:hAnsi="Times New Roman" w:eastAsia="宋体" w:cs="Times New Roman"/>
                <w:b w:val="0"/>
                <w:bCs/>
                <w:sz w:val="21"/>
                <w:szCs w:val="21"/>
                <w:lang w:val="en-US" w:eastAsia="zh-CN"/>
              </w:rPr>
              <w:t>/</w:t>
            </w:r>
            <w:r>
              <w:rPr>
                <w:rFonts w:hint="default" w:ascii="Times New Roman" w:hAnsi="Times New Roman" w:eastAsia="宋体" w:cs="Times New Roman"/>
                <w:b w:val="0"/>
                <w:bCs/>
                <w:sz w:val="21"/>
                <w:szCs w:val="21"/>
                <w:lang w:eastAsia="zh-CN"/>
              </w:rPr>
              <w:t>固态</w:t>
            </w:r>
          </w:p>
        </w:tc>
        <w:tc>
          <w:tcPr>
            <w:tcW w:w="247" w:type="pct"/>
            <w:vMerge w:val="continue"/>
            <w:tcBorders>
              <w:tl2br w:val="nil"/>
              <w:tr2bl w:val="nil"/>
            </w:tcBorders>
            <w:shd w:val="clear" w:color="auto" w:fill="D7D7D7"/>
            <w:noWrap w:val="0"/>
            <w:vAlign w:val="center"/>
          </w:tcPr>
          <w:p w14:paraId="724B3E7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247" w:type="pct"/>
            <w:vMerge w:val="continue"/>
            <w:tcBorders>
              <w:tl2br w:val="nil"/>
              <w:tr2bl w:val="nil"/>
            </w:tcBorders>
            <w:shd w:val="clear" w:color="auto" w:fill="D7D7D7"/>
            <w:noWrap w:val="0"/>
            <w:vAlign w:val="center"/>
          </w:tcPr>
          <w:p w14:paraId="0867C00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shd w:val="clear" w:color="auto" w:fill="D7D7D7"/>
            <w:noWrap w:val="0"/>
            <w:vAlign w:val="center"/>
          </w:tcPr>
          <w:p w14:paraId="58EE2FE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381" w:type="pct"/>
            <w:vMerge w:val="continue"/>
            <w:tcBorders>
              <w:tl2br w:val="nil"/>
              <w:tr2bl w:val="nil"/>
            </w:tcBorders>
            <w:shd w:val="clear" w:color="auto" w:fill="D7D7D7"/>
            <w:noWrap w:val="0"/>
            <w:vAlign w:val="center"/>
          </w:tcPr>
          <w:p w14:paraId="3CCB629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shd w:val="clear" w:color="auto" w:fill="D7D7D7"/>
            <w:noWrap w:val="0"/>
            <w:vAlign w:val="center"/>
          </w:tcPr>
          <w:p w14:paraId="308B88A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防漏胶袋/桶装</w:t>
            </w:r>
          </w:p>
        </w:tc>
      </w:tr>
      <w:tr w14:paraId="4E5D9D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D7D7D7"/>
            <w:noWrap w:val="0"/>
            <w:vAlign w:val="center"/>
          </w:tcPr>
          <w:p w14:paraId="0E46944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shd w:val="clear" w:color="auto" w:fill="D7D7D7"/>
            <w:noWrap w:val="0"/>
            <w:vAlign w:val="center"/>
          </w:tcPr>
          <w:p w14:paraId="2C2D7D6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shd w:val="clear" w:color="auto" w:fill="D7D7D7"/>
            <w:noWrap w:val="0"/>
            <w:vAlign w:val="center"/>
          </w:tcPr>
          <w:p w14:paraId="44DDD41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900-299-12</w:t>
            </w:r>
          </w:p>
        </w:tc>
        <w:tc>
          <w:tcPr>
            <w:tcW w:w="399" w:type="pct"/>
            <w:vMerge w:val="continue"/>
            <w:tcBorders>
              <w:tl2br w:val="nil"/>
              <w:tr2bl w:val="nil"/>
            </w:tcBorders>
            <w:shd w:val="clear" w:color="auto" w:fill="D7D7D7"/>
            <w:noWrap w:val="0"/>
            <w:vAlign w:val="center"/>
          </w:tcPr>
          <w:p w14:paraId="4D215BB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baseline"/>
              <w:rPr>
                <w:rFonts w:hint="default" w:ascii="Times New Roman" w:hAnsi="Times New Roman" w:eastAsia="宋体" w:cs="Times New Roman"/>
                <w:b w:val="0"/>
                <w:bCs/>
                <w:sz w:val="21"/>
                <w:szCs w:val="21"/>
                <w:lang w:val="en-US" w:eastAsia="zh-CN"/>
              </w:rPr>
            </w:pPr>
          </w:p>
        </w:tc>
        <w:tc>
          <w:tcPr>
            <w:tcW w:w="495" w:type="pct"/>
            <w:vMerge w:val="continue"/>
            <w:tcBorders>
              <w:tl2br w:val="nil"/>
              <w:tr2bl w:val="nil"/>
            </w:tcBorders>
            <w:shd w:val="clear" w:color="auto" w:fill="D7D7D7"/>
            <w:noWrap w:val="0"/>
            <w:vAlign w:val="center"/>
          </w:tcPr>
          <w:p w14:paraId="7E235B8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17ABF37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shd w:val="clear" w:color="auto" w:fill="D7D7D7"/>
            <w:noWrap w:val="0"/>
            <w:vAlign w:val="center"/>
          </w:tcPr>
          <w:p w14:paraId="7A06839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p>
        </w:tc>
        <w:tc>
          <w:tcPr>
            <w:tcW w:w="247" w:type="pct"/>
            <w:vMerge w:val="continue"/>
            <w:tcBorders>
              <w:tl2br w:val="nil"/>
              <w:tr2bl w:val="nil"/>
            </w:tcBorders>
            <w:shd w:val="clear" w:color="auto" w:fill="D7D7D7"/>
            <w:noWrap w:val="0"/>
            <w:vAlign w:val="center"/>
          </w:tcPr>
          <w:p w14:paraId="39B41FA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247" w:type="pct"/>
            <w:vMerge w:val="continue"/>
            <w:tcBorders>
              <w:tl2br w:val="nil"/>
              <w:tr2bl w:val="nil"/>
            </w:tcBorders>
            <w:shd w:val="clear" w:color="auto" w:fill="D7D7D7"/>
            <w:noWrap w:val="0"/>
            <w:vAlign w:val="center"/>
          </w:tcPr>
          <w:p w14:paraId="158AEC7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shd w:val="clear" w:color="auto" w:fill="D7D7D7"/>
            <w:noWrap w:val="0"/>
            <w:vAlign w:val="center"/>
          </w:tcPr>
          <w:p w14:paraId="5C4F738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381" w:type="pct"/>
            <w:vMerge w:val="continue"/>
            <w:tcBorders>
              <w:tl2br w:val="nil"/>
              <w:tr2bl w:val="nil"/>
            </w:tcBorders>
            <w:shd w:val="clear" w:color="auto" w:fill="D7D7D7"/>
            <w:noWrap w:val="0"/>
            <w:vAlign w:val="center"/>
          </w:tcPr>
          <w:p w14:paraId="477CEAA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shd w:val="clear" w:color="auto" w:fill="D7D7D7"/>
            <w:noWrap w:val="0"/>
            <w:vAlign w:val="center"/>
          </w:tcPr>
          <w:p w14:paraId="40D9D5F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桶装</w:t>
            </w:r>
          </w:p>
        </w:tc>
      </w:tr>
      <w:tr w14:paraId="04582C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tcBorders>
              <w:tl2br w:val="nil"/>
              <w:tr2bl w:val="nil"/>
            </w:tcBorders>
            <w:shd w:val="clear" w:color="auto" w:fill="D7D7D7"/>
            <w:noWrap w:val="0"/>
            <w:vAlign w:val="center"/>
          </w:tcPr>
          <w:p w14:paraId="68259BC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6</w:t>
            </w:r>
          </w:p>
        </w:tc>
        <w:tc>
          <w:tcPr>
            <w:tcW w:w="794" w:type="pct"/>
            <w:tcBorders>
              <w:tl2br w:val="nil"/>
              <w:tr2bl w:val="nil"/>
            </w:tcBorders>
            <w:shd w:val="clear" w:color="auto" w:fill="D7D7D7"/>
            <w:noWrap w:val="0"/>
            <w:vAlign w:val="center"/>
          </w:tcPr>
          <w:p w14:paraId="2D72FA5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HW13有机树脂类废物</w:t>
            </w:r>
          </w:p>
        </w:tc>
        <w:tc>
          <w:tcPr>
            <w:tcW w:w="467" w:type="pct"/>
            <w:tcBorders>
              <w:tl2br w:val="nil"/>
              <w:tr2bl w:val="nil"/>
            </w:tcBorders>
            <w:shd w:val="clear" w:color="auto" w:fill="D7D7D7"/>
            <w:noWrap w:val="0"/>
            <w:vAlign w:val="center"/>
          </w:tcPr>
          <w:p w14:paraId="6A7FC97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265-101-13</w:t>
            </w:r>
          </w:p>
        </w:tc>
        <w:tc>
          <w:tcPr>
            <w:tcW w:w="399" w:type="pct"/>
            <w:vMerge w:val="continue"/>
            <w:tcBorders>
              <w:tl2br w:val="nil"/>
              <w:tr2bl w:val="nil"/>
            </w:tcBorders>
            <w:shd w:val="clear" w:color="auto" w:fill="D7D7D7"/>
            <w:noWrap w:val="0"/>
            <w:vAlign w:val="center"/>
          </w:tcPr>
          <w:p w14:paraId="2413AA8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baseline"/>
              <w:rPr>
                <w:rFonts w:hint="default" w:ascii="Times New Roman" w:hAnsi="Times New Roman" w:eastAsia="宋体" w:cs="Times New Roman"/>
                <w:b w:val="0"/>
                <w:bCs/>
                <w:sz w:val="21"/>
                <w:szCs w:val="21"/>
                <w:lang w:val="en-US" w:eastAsia="zh-CN"/>
              </w:rPr>
            </w:pPr>
          </w:p>
        </w:tc>
        <w:tc>
          <w:tcPr>
            <w:tcW w:w="495" w:type="pct"/>
            <w:vMerge w:val="continue"/>
            <w:tcBorders>
              <w:tl2br w:val="nil"/>
              <w:tr2bl w:val="nil"/>
            </w:tcBorders>
            <w:shd w:val="clear" w:color="auto" w:fill="D7D7D7"/>
            <w:noWrap w:val="0"/>
            <w:vAlign w:val="center"/>
          </w:tcPr>
          <w:p w14:paraId="5AB31D7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4E05C36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shd w:val="clear" w:color="auto" w:fill="D7D7D7"/>
            <w:noWrap w:val="0"/>
            <w:vAlign w:val="center"/>
          </w:tcPr>
          <w:p w14:paraId="6FC695A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固态</w:t>
            </w:r>
          </w:p>
        </w:tc>
        <w:tc>
          <w:tcPr>
            <w:tcW w:w="247" w:type="pct"/>
            <w:tcBorders>
              <w:tl2br w:val="nil"/>
              <w:tr2bl w:val="nil"/>
            </w:tcBorders>
            <w:shd w:val="clear" w:color="auto" w:fill="D7D7D7"/>
            <w:noWrap w:val="0"/>
            <w:vAlign w:val="center"/>
          </w:tcPr>
          <w:p w14:paraId="70DC696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150</w:t>
            </w:r>
          </w:p>
        </w:tc>
        <w:tc>
          <w:tcPr>
            <w:tcW w:w="247" w:type="pct"/>
            <w:tcBorders>
              <w:tl2br w:val="nil"/>
              <w:tr2bl w:val="nil"/>
            </w:tcBorders>
            <w:shd w:val="clear" w:color="auto" w:fill="D7D7D7"/>
            <w:noWrap w:val="0"/>
            <w:vAlign w:val="center"/>
          </w:tcPr>
          <w:p w14:paraId="4C20F6F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337" w:type="pct"/>
            <w:tcBorders>
              <w:tl2br w:val="nil"/>
              <w:tr2bl w:val="nil"/>
            </w:tcBorders>
            <w:shd w:val="clear" w:color="auto" w:fill="D7D7D7"/>
            <w:noWrap w:val="0"/>
            <w:vAlign w:val="center"/>
          </w:tcPr>
          <w:p w14:paraId="403B00E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381" w:type="pct"/>
            <w:tcBorders>
              <w:tl2br w:val="nil"/>
              <w:tr2bl w:val="nil"/>
            </w:tcBorders>
            <w:shd w:val="clear" w:color="auto" w:fill="D7D7D7"/>
            <w:noWrap w:val="0"/>
            <w:vAlign w:val="center"/>
          </w:tcPr>
          <w:p w14:paraId="1C6AFA1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562" w:type="pct"/>
            <w:tcBorders>
              <w:tl2br w:val="nil"/>
              <w:tr2bl w:val="nil"/>
            </w:tcBorders>
            <w:shd w:val="clear" w:color="auto" w:fill="D7D7D7"/>
            <w:noWrap w:val="0"/>
            <w:vAlign w:val="center"/>
          </w:tcPr>
          <w:p w14:paraId="2678B4B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桶装</w:t>
            </w:r>
          </w:p>
        </w:tc>
      </w:tr>
      <w:tr w14:paraId="713E13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restart"/>
            <w:tcBorders>
              <w:tl2br w:val="nil"/>
              <w:tr2bl w:val="nil"/>
            </w:tcBorders>
            <w:shd w:val="clear" w:color="auto" w:fill="D7D7D7"/>
            <w:noWrap w:val="0"/>
            <w:vAlign w:val="center"/>
          </w:tcPr>
          <w:p w14:paraId="095387D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7</w:t>
            </w:r>
          </w:p>
        </w:tc>
        <w:tc>
          <w:tcPr>
            <w:tcW w:w="794" w:type="pct"/>
            <w:vMerge w:val="restart"/>
            <w:tcBorders>
              <w:tl2br w:val="nil"/>
              <w:tr2bl w:val="nil"/>
            </w:tcBorders>
            <w:shd w:val="clear" w:color="auto" w:fill="D7D7D7"/>
            <w:noWrap w:val="0"/>
            <w:vAlign w:val="center"/>
          </w:tcPr>
          <w:p w14:paraId="1E12E05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HW16感光材料废物</w:t>
            </w:r>
          </w:p>
        </w:tc>
        <w:tc>
          <w:tcPr>
            <w:tcW w:w="467" w:type="pct"/>
            <w:tcBorders>
              <w:tl2br w:val="nil"/>
              <w:tr2bl w:val="nil"/>
            </w:tcBorders>
            <w:shd w:val="clear" w:color="auto" w:fill="D7D7D7"/>
            <w:noWrap w:val="0"/>
            <w:vAlign w:val="center"/>
          </w:tcPr>
          <w:p w14:paraId="7108A5B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231-001-16</w:t>
            </w:r>
          </w:p>
        </w:tc>
        <w:tc>
          <w:tcPr>
            <w:tcW w:w="399" w:type="pct"/>
            <w:vMerge w:val="continue"/>
            <w:tcBorders>
              <w:tl2br w:val="nil"/>
              <w:tr2bl w:val="nil"/>
            </w:tcBorders>
            <w:shd w:val="clear" w:color="auto" w:fill="D7D7D7"/>
            <w:noWrap w:val="0"/>
            <w:vAlign w:val="center"/>
          </w:tcPr>
          <w:p w14:paraId="123BB21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baseline"/>
              <w:rPr>
                <w:rFonts w:hint="default" w:ascii="Times New Roman" w:hAnsi="Times New Roman" w:eastAsia="宋体" w:cs="Times New Roman"/>
                <w:b w:val="0"/>
                <w:bCs/>
                <w:sz w:val="21"/>
                <w:szCs w:val="21"/>
                <w:lang w:val="en-US" w:eastAsia="zh-CN"/>
              </w:rPr>
            </w:pPr>
          </w:p>
        </w:tc>
        <w:tc>
          <w:tcPr>
            <w:tcW w:w="495" w:type="pct"/>
            <w:vMerge w:val="continue"/>
            <w:tcBorders>
              <w:tl2br w:val="nil"/>
              <w:tr2bl w:val="nil"/>
            </w:tcBorders>
            <w:shd w:val="clear" w:color="auto" w:fill="D7D7D7"/>
            <w:noWrap w:val="0"/>
            <w:vAlign w:val="center"/>
          </w:tcPr>
          <w:p w14:paraId="6E24159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4866D76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shd w:val="clear" w:color="auto" w:fill="D7D7D7"/>
            <w:noWrap w:val="0"/>
            <w:vAlign w:val="center"/>
          </w:tcPr>
          <w:p w14:paraId="7F3DC12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固态</w:t>
            </w:r>
          </w:p>
        </w:tc>
        <w:tc>
          <w:tcPr>
            <w:tcW w:w="247" w:type="pct"/>
            <w:vMerge w:val="restart"/>
            <w:tcBorders>
              <w:tl2br w:val="nil"/>
              <w:tr2bl w:val="nil"/>
            </w:tcBorders>
            <w:shd w:val="clear" w:color="auto" w:fill="D7D7D7"/>
            <w:noWrap w:val="0"/>
            <w:vAlign w:val="center"/>
          </w:tcPr>
          <w:p w14:paraId="2A6F598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30</w:t>
            </w:r>
          </w:p>
        </w:tc>
        <w:tc>
          <w:tcPr>
            <w:tcW w:w="247" w:type="pct"/>
            <w:vMerge w:val="restart"/>
            <w:tcBorders>
              <w:tl2br w:val="nil"/>
              <w:tr2bl w:val="nil"/>
            </w:tcBorders>
            <w:shd w:val="clear" w:color="auto" w:fill="D7D7D7"/>
            <w:noWrap w:val="0"/>
            <w:vAlign w:val="center"/>
          </w:tcPr>
          <w:p w14:paraId="391CAE4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0</w:t>
            </w:r>
          </w:p>
        </w:tc>
        <w:tc>
          <w:tcPr>
            <w:tcW w:w="337" w:type="pct"/>
            <w:tcBorders>
              <w:tl2br w:val="nil"/>
              <w:tr2bl w:val="nil"/>
            </w:tcBorders>
            <w:shd w:val="clear" w:color="auto" w:fill="D7D7D7"/>
            <w:noWrap w:val="0"/>
            <w:vAlign w:val="center"/>
          </w:tcPr>
          <w:p w14:paraId="5FA934D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381" w:type="pct"/>
            <w:vMerge w:val="restart"/>
            <w:tcBorders>
              <w:tl2br w:val="nil"/>
              <w:tr2bl w:val="nil"/>
            </w:tcBorders>
            <w:shd w:val="clear" w:color="auto" w:fill="D7D7D7"/>
            <w:noWrap w:val="0"/>
            <w:vAlign w:val="center"/>
          </w:tcPr>
          <w:p w14:paraId="3AB23D5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562" w:type="pct"/>
            <w:tcBorders>
              <w:tl2br w:val="nil"/>
              <w:tr2bl w:val="nil"/>
            </w:tcBorders>
            <w:shd w:val="clear" w:color="auto" w:fill="D7D7D7"/>
            <w:noWrap w:val="0"/>
            <w:vAlign w:val="center"/>
          </w:tcPr>
          <w:p w14:paraId="09F4B39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编织袋装</w:t>
            </w:r>
          </w:p>
        </w:tc>
      </w:tr>
      <w:tr w14:paraId="3F6D6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D7D7D7"/>
            <w:noWrap w:val="0"/>
            <w:vAlign w:val="center"/>
          </w:tcPr>
          <w:p w14:paraId="39A93C8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shd w:val="clear" w:color="auto" w:fill="D7D7D7"/>
            <w:noWrap w:val="0"/>
            <w:vAlign w:val="center"/>
          </w:tcPr>
          <w:p w14:paraId="3B0B391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shd w:val="clear" w:color="auto" w:fill="D7D7D7"/>
            <w:noWrap w:val="0"/>
            <w:vAlign w:val="center"/>
          </w:tcPr>
          <w:p w14:paraId="7C30C83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231-002-16</w:t>
            </w:r>
          </w:p>
        </w:tc>
        <w:tc>
          <w:tcPr>
            <w:tcW w:w="399" w:type="pct"/>
            <w:vMerge w:val="continue"/>
            <w:tcBorders>
              <w:tl2br w:val="nil"/>
              <w:tr2bl w:val="nil"/>
            </w:tcBorders>
            <w:shd w:val="clear" w:color="auto" w:fill="D7D7D7"/>
            <w:noWrap w:val="0"/>
            <w:vAlign w:val="center"/>
          </w:tcPr>
          <w:p w14:paraId="78A5DDA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baseline"/>
              <w:rPr>
                <w:rFonts w:hint="default" w:ascii="Times New Roman" w:hAnsi="Times New Roman" w:eastAsia="宋体" w:cs="Times New Roman"/>
                <w:b w:val="0"/>
                <w:bCs/>
                <w:sz w:val="21"/>
                <w:szCs w:val="21"/>
                <w:lang w:val="en-US" w:eastAsia="zh-CN"/>
              </w:rPr>
            </w:pPr>
          </w:p>
        </w:tc>
        <w:tc>
          <w:tcPr>
            <w:tcW w:w="495" w:type="pct"/>
            <w:vMerge w:val="continue"/>
            <w:tcBorders>
              <w:tl2br w:val="nil"/>
              <w:tr2bl w:val="nil"/>
            </w:tcBorders>
            <w:shd w:val="clear" w:color="auto" w:fill="D7D7D7"/>
            <w:noWrap w:val="0"/>
            <w:vAlign w:val="center"/>
          </w:tcPr>
          <w:p w14:paraId="021481B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3601C8C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shd w:val="clear" w:color="auto" w:fill="D7D7D7"/>
            <w:noWrap w:val="0"/>
            <w:vAlign w:val="center"/>
          </w:tcPr>
          <w:p w14:paraId="22A550A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固态</w:t>
            </w:r>
          </w:p>
        </w:tc>
        <w:tc>
          <w:tcPr>
            <w:tcW w:w="247" w:type="pct"/>
            <w:vMerge w:val="continue"/>
            <w:tcBorders>
              <w:tl2br w:val="nil"/>
              <w:tr2bl w:val="nil"/>
            </w:tcBorders>
            <w:shd w:val="clear" w:color="auto" w:fill="D7D7D7"/>
            <w:noWrap w:val="0"/>
            <w:vAlign w:val="center"/>
          </w:tcPr>
          <w:p w14:paraId="7C03E1C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shd w:val="clear" w:color="auto" w:fill="D7D7D7"/>
            <w:noWrap w:val="0"/>
            <w:vAlign w:val="center"/>
          </w:tcPr>
          <w:p w14:paraId="4F52DE1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shd w:val="clear" w:color="auto" w:fill="D7D7D7"/>
            <w:noWrap w:val="0"/>
            <w:vAlign w:val="center"/>
          </w:tcPr>
          <w:p w14:paraId="6EE5B97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381" w:type="pct"/>
            <w:vMerge w:val="continue"/>
            <w:tcBorders>
              <w:tl2br w:val="nil"/>
              <w:tr2bl w:val="nil"/>
            </w:tcBorders>
            <w:shd w:val="clear" w:color="auto" w:fill="D7D7D7"/>
            <w:noWrap w:val="0"/>
            <w:vAlign w:val="center"/>
          </w:tcPr>
          <w:p w14:paraId="0DB1E3C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shd w:val="clear" w:color="auto" w:fill="D7D7D7"/>
            <w:noWrap w:val="0"/>
            <w:vAlign w:val="center"/>
          </w:tcPr>
          <w:p w14:paraId="5C7B49B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编织袋装</w:t>
            </w:r>
          </w:p>
        </w:tc>
      </w:tr>
      <w:tr w14:paraId="14D451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tcBorders>
              <w:tl2br w:val="nil"/>
              <w:tr2bl w:val="nil"/>
            </w:tcBorders>
            <w:noWrap w:val="0"/>
            <w:vAlign w:val="center"/>
          </w:tcPr>
          <w:p w14:paraId="5728739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8</w:t>
            </w:r>
          </w:p>
        </w:tc>
        <w:tc>
          <w:tcPr>
            <w:tcW w:w="794" w:type="pct"/>
            <w:tcBorders>
              <w:tl2br w:val="nil"/>
              <w:tr2bl w:val="nil"/>
            </w:tcBorders>
            <w:noWrap w:val="0"/>
            <w:vAlign w:val="center"/>
          </w:tcPr>
          <w:p w14:paraId="6752D51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HW29含汞废物</w:t>
            </w:r>
          </w:p>
        </w:tc>
        <w:tc>
          <w:tcPr>
            <w:tcW w:w="467" w:type="pct"/>
            <w:tcBorders>
              <w:tl2br w:val="nil"/>
              <w:tr2bl w:val="nil"/>
            </w:tcBorders>
            <w:noWrap w:val="0"/>
            <w:vAlign w:val="center"/>
          </w:tcPr>
          <w:p w14:paraId="1741C19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900-023-29</w:t>
            </w:r>
          </w:p>
        </w:tc>
        <w:tc>
          <w:tcPr>
            <w:tcW w:w="399" w:type="pct"/>
            <w:tcBorders>
              <w:tl2br w:val="nil"/>
              <w:tr2bl w:val="nil"/>
            </w:tcBorders>
            <w:noWrap w:val="0"/>
            <w:vAlign w:val="center"/>
          </w:tcPr>
          <w:p w14:paraId="45F2EB5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7#</w:t>
            </w:r>
          </w:p>
        </w:tc>
        <w:tc>
          <w:tcPr>
            <w:tcW w:w="495" w:type="pct"/>
            <w:tcBorders>
              <w:tl2br w:val="nil"/>
              <w:tr2bl w:val="nil"/>
            </w:tcBorders>
            <w:noWrap w:val="0"/>
            <w:vAlign w:val="center"/>
          </w:tcPr>
          <w:p w14:paraId="6470BAC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5C2368D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76AAF32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固态</w:t>
            </w:r>
          </w:p>
        </w:tc>
        <w:tc>
          <w:tcPr>
            <w:tcW w:w="247" w:type="pct"/>
            <w:tcBorders>
              <w:tl2br w:val="nil"/>
              <w:tr2bl w:val="nil"/>
            </w:tcBorders>
            <w:noWrap w:val="0"/>
            <w:vAlign w:val="center"/>
          </w:tcPr>
          <w:p w14:paraId="4487651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30</w:t>
            </w:r>
          </w:p>
        </w:tc>
        <w:tc>
          <w:tcPr>
            <w:tcW w:w="247" w:type="pct"/>
            <w:tcBorders>
              <w:tl2br w:val="nil"/>
              <w:tr2bl w:val="nil"/>
            </w:tcBorders>
            <w:noWrap w:val="0"/>
            <w:vAlign w:val="center"/>
          </w:tcPr>
          <w:p w14:paraId="273C111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30</w:t>
            </w:r>
          </w:p>
        </w:tc>
        <w:tc>
          <w:tcPr>
            <w:tcW w:w="337" w:type="pct"/>
            <w:tcBorders>
              <w:tl2br w:val="nil"/>
              <w:tr2bl w:val="nil"/>
            </w:tcBorders>
            <w:noWrap w:val="0"/>
            <w:vAlign w:val="center"/>
          </w:tcPr>
          <w:p w14:paraId="738E8DF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w:t>
            </w:r>
          </w:p>
        </w:tc>
        <w:tc>
          <w:tcPr>
            <w:tcW w:w="381" w:type="pct"/>
            <w:tcBorders>
              <w:tl2br w:val="nil"/>
              <w:tr2bl w:val="nil"/>
            </w:tcBorders>
            <w:noWrap w:val="0"/>
            <w:vAlign w:val="center"/>
          </w:tcPr>
          <w:p w14:paraId="7D35EFB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6次/月</w:t>
            </w:r>
          </w:p>
        </w:tc>
        <w:tc>
          <w:tcPr>
            <w:tcW w:w="562" w:type="pct"/>
            <w:tcBorders>
              <w:tl2br w:val="nil"/>
              <w:tr2bl w:val="nil"/>
            </w:tcBorders>
            <w:noWrap w:val="0"/>
            <w:vAlign w:val="center"/>
          </w:tcPr>
          <w:p w14:paraId="7EFF848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箱装</w:t>
            </w:r>
          </w:p>
        </w:tc>
      </w:tr>
      <w:tr w14:paraId="26A8D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218" w:type="pct"/>
            <w:tcBorders>
              <w:tl2br w:val="nil"/>
              <w:tr2bl w:val="nil"/>
            </w:tcBorders>
            <w:noWrap w:val="0"/>
            <w:vAlign w:val="center"/>
          </w:tcPr>
          <w:p w14:paraId="79DB5B8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w:t>
            </w:r>
          </w:p>
        </w:tc>
        <w:tc>
          <w:tcPr>
            <w:tcW w:w="794" w:type="pct"/>
            <w:tcBorders>
              <w:tl2br w:val="nil"/>
              <w:tr2bl w:val="nil"/>
            </w:tcBorders>
            <w:noWrap w:val="0"/>
            <w:vAlign w:val="center"/>
          </w:tcPr>
          <w:p w14:paraId="48D1CC5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HW36石棉废物</w:t>
            </w:r>
          </w:p>
        </w:tc>
        <w:tc>
          <w:tcPr>
            <w:tcW w:w="467" w:type="pct"/>
            <w:tcBorders>
              <w:tl2br w:val="nil"/>
              <w:tr2bl w:val="nil"/>
            </w:tcBorders>
            <w:noWrap w:val="0"/>
            <w:vAlign w:val="center"/>
          </w:tcPr>
          <w:p w14:paraId="1D420DC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900-032-36</w:t>
            </w:r>
          </w:p>
        </w:tc>
        <w:tc>
          <w:tcPr>
            <w:tcW w:w="399" w:type="pct"/>
            <w:tcBorders>
              <w:tl2br w:val="nil"/>
              <w:tr2bl w:val="nil"/>
            </w:tcBorders>
            <w:noWrap w:val="0"/>
            <w:vAlign w:val="center"/>
          </w:tcPr>
          <w:p w14:paraId="20750C1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8#</w:t>
            </w:r>
          </w:p>
        </w:tc>
        <w:tc>
          <w:tcPr>
            <w:tcW w:w="495" w:type="pct"/>
            <w:tcBorders>
              <w:tl2br w:val="nil"/>
              <w:tr2bl w:val="nil"/>
            </w:tcBorders>
            <w:noWrap w:val="0"/>
            <w:vAlign w:val="center"/>
          </w:tcPr>
          <w:p w14:paraId="24D114A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171056D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4A25724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固态</w:t>
            </w:r>
          </w:p>
        </w:tc>
        <w:tc>
          <w:tcPr>
            <w:tcW w:w="247" w:type="pct"/>
            <w:tcBorders>
              <w:tl2br w:val="nil"/>
              <w:tr2bl w:val="nil"/>
            </w:tcBorders>
            <w:noWrap w:val="0"/>
            <w:vAlign w:val="center"/>
          </w:tcPr>
          <w:p w14:paraId="310C98C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200</w:t>
            </w:r>
          </w:p>
        </w:tc>
        <w:tc>
          <w:tcPr>
            <w:tcW w:w="247" w:type="pct"/>
            <w:tcBorders>
              <w:tl2br w:val="nil"/>
              <w:tr2bl w:val="nil"/>
            </w:tcBorders>
            <w:noWrap w:val="0"/>
            <w:vAlign w:val="center"/>
          </w:tcPr>
          <w:p w14:paraId="3EBDABC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200</w:t>
            </w:r>
          </w:p>
        </w:tc>
        <w:tc>
          <w:tcPr>
            <w:tcW w:w="337" w:type="pct"/>
            <w:tcBorders>
              <w:tl2br w:val="nil"/>
              <w:tr2bl w:val="nil"/>
            </w:tcBorders>
            <w:noWrap w:val="0"/>
            <w:vAlign w:val="center"/>
          </w:tcPr>
          <w:p w14:paraId="320B66F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w:t>
            </w:r>
          </w:p>
        </w:tc>
        <w:tc>
          <w:tcPr>
            <w:tcW w:w="381" w:type="pct"/>
            <w:tcBorders>
              <w:tl2br w:val="nil"/>
              <w:tr2bl w:val="nil"/>
            </w:tcBorders>
            <w:noWrap w:val="0"/>
            <w:vAlign w:val="center"/>
          </w:tcPr>
          <w:p w14:paraId="1C4C6CA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17次/月</w:t>
            </w:r>
          </w:p>
        </w:tc>
        <w:tc>
          <w:tcPr>
            <w:tcW w:w="562" w:type="pct"/>
            <w:tcBorders>
              <w:tl2br w:val="nil"/>
              <w:tr2bl w:val="nil"/>
            </w:tcBorders>
            <w:noWrap w:val="0"/>
            <w:vAlign w:val="center"/>
          </w:tcPr>
          <w:p w14:paraId="5E5F2F0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编织袋装</w:t>
            </w:r>
          </w:p>
        </w:tc>
      </w:tr>
      <w:tr w14:paraId="71E23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restart"/>
            <w:tcBorders>
              <w:tl2br w:val="nil"/>
              <w:tr2bl w:val="nil"/>
            </w:tcBorders>
            <w:noWrap w:val="0"/>
            <w:vAlign w:val="center"/>
          </w:tcPr>
          <w:p w14:paraId="03725EF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10</w:t>
            </w:r>
          </w:p>
        </w:tc>
        <w:tc>
          <w:tcPr>
            <w:tcW w:w="794" w:type="pct"/>
            <w:vMerge w:val="restart"/>
            <w:tcBorders>
              <w:tl2br w:val="nil"/>
              <w:tr2bl w:val="nil"/>
            </w:tcBorders>
            <w:noWrap w:val="0"/>
            <w:vAlign w:val="center"/>
          </w:tcPr>
          <w:p w14:paraId="469A177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HW49其他废物</w:t>
            </w:r>
          </w:p>
        </w:tc>
        <w:tc>
          <w:tcPr>
            <w:tcW w:w="467" w:type="pct"/>
            <w:tcBorders>
              <w:tl2br w:val="nil"/>
              <w:tr2bl w:val="nil"/>
            </w:tcBorders>
            <w:noWrap w:val="0"/>
            <w:vAlign w:val="center"/>
          </w:tcPr>
          <w:p w14:paraId="4665561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900-039-49</w:t>
            </w:r>
          </w:p>
        </w:tc>
        <w:tc>
          <w:tcPr>
            <w:tcW w:w="399" w:type="pct"/>
            <w:tcBorders>
              <w:tl2br w:val="nil"/>
              <w:tr2bl w:val="nil"/>
            </w:tcBorders>
            <w:noWrap w:val="0"/>
            <w:vAlign w:val="center"/>
          </w:tcPr>
          <w:p w14:paraId="79990CD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w:t>
            </w:r>
          </w:p>
        </w:tc>
        <w:tc>
          <w:tcPr>
            <w:tcW w:w="495" w:type="pct"/>
            <w:tcBorders>
              <w:tl2br w:val="nil"/>
              <w:tr2bl w:val="nil"/>
            </w:tcBorders>
            <w:noWrap w:val="0"/>
            <w:vAlign w:val="center"/>
          </w:tcPr>
          <w:p w14:paraId="74C5835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33291CA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3843347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固态</w:t>
            </w:r>
          </w:p>
        </w:tc>
        <w:tc>
          <w:tcPr>
            <w:tcW w:w="247" w:type="pct"/>
            <w:vMerge w:val="restart"/>
            <w:tcBorders>
              <w:tl2br w:val="nil"/>
              <w:tr2bl w:val="nil"/>
            </w:tcBorders>
            <w:noWrap w:val="0"/>
            <w:vAlign w:val="center"/>
          </w:tcPr>
          <w:p w14:paraId="2D95F87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2860</w:t>
            </w:r>
          </w:p>
        </w:tc>
        <w:tc>
          <w:tcPr>
            <w:tcW w:w="247" w:type="pct"/>
            <w:vMerge w:val="restart"/>
            <w:tcBorders>
              <w:tl2br w:val="nil"/>
              <w:tr2bl w:val="nil"/>
            </w:tcBorders>
            <w:noWrap w:val="0"/>
            <w:vAlign w:val="center"/>
          </w:tcPr>
          <w:p w14:paraId="75D9096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3660</w:t>
            </w:r>
          </w:p>
        </w:tc>
        <w:tc>
          <w:tcPr>
            <w:tcW w:w="337" w:type="pct"/>
            <w:tcBorders>
              <w:tl2br w:val="nil"/>
              <w:tr2bl w:val="nil"/>
            </w:tcBorders>
            <w:noWrap w:val="0"/>
            <w:vAlign w:val="center"/>
          </w:tcPr>
          <w:p w14:paraId="4A63860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w:t>
            </w:r>
          </w:p>
        </w:tc>
        <w:tc>
          <w:tcPr>
            <w:tcW w:w="381" w:type="pct"/>
            <w:vMerge w:val="restart"/>
            <w:tcBorders>
              <w:tl2br w:val="nil"/>
              <w:tr2bl w:val="nil"/>
            </w:tcBorders>
            <w:noWrap w:val="0"/>
            <w:vAlign w:val="center"/>
          </w:tcPr>
          <w:p w14:paraId="07002FC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6次/月</w:t>
            </w:r>
          </w:p>
        </w:tc>
        <w:tc>
          <w:tcPr>
            <w:tcW w:w="562" w:type="pct"/>
            <w:tcBorders>
              <w:tl2br w:val="nil"/>
              <w:tr2bl w:val="nil"/>
            </w:tcBorders>
            <w:noWrap w:val="0"/>
            <w:vAlign w:val="center"/>
          </w:tcPr>
          <w:p w14:paraId="15A8889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编织袋装</w:t>
            </w:r>
          </w:p>
        </w:tc>
      </w:tr>
      <w:tr w14:paraId="6AD949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noWrap w:val="0"/>
            <w:vAlign w:val="center"/>
          </w:tcPr>
          <w:p w14:paraId="6D8FF29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noWrap w:val="0"/>
            <w:vAlign w:val="center"/>
          </w:tcPr>
          <w:p w14:paraId="55CCDE7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noWrap w:val="0"/>
            <w:vAlign w:val="center"/>
          </w:tcPr>
          <w:p w14:paraId="3BF2151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900-041-49</w:t>
            </w:r>
          </w:p>
        </w:tc>
        <w:tc>
          <w:tcPr>
            <w:tcW w:w="399" w:type="pct"/>
            <w:tcBorders>
              <w:tl2br w:val="nil"/>
              <w:tr2bl w:val="nil"/>
            </w:tcBorders>
            <w:noWrap w:val="0"/>
            <w:vAlign w:val="center"/>
          </w:tcPr>
          <w:p w14:paraId="1F7B281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13#</w:t>
            </w:r>
          </w:p>
        </w:tc>
        <w:tc>
          <w:tcPr>
            <w:tcW w:w="495" w:type="pct"/>
            <w:tcBorders>
              <w:tl2br w:val="nil"/>
              <w:tr2bl w:val="nil"/>
            </w:tcBorders>
            <w:noWrap w:val="0"/>
            <w:vAlign w:val="center"/>
          </w:tcPr>
          <w:p w14:paraId="124A8AE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242BAC4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T/In</w:t>
            </w:r>
          </w:p>
        </w:tc>
        <w:tc>
          <w:tcPr>
            <w:tcW w:w="426" w:type="pct"/>
            <w:tcBorders>
              <w:tl2br w:val="nil"/>
              <w:tr2bl w:val="nil"/>
            </w:tcBorders>
            <w:noWrap w:val="0"/>
            <w:vAlign w:val="center"/>
          </w:tcPr>
          <w:p w14:paraId="5FEDE22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固态</w:t>
            </w:r>
          </w:p>
        </w:tc>
        <w:tc>
          <w:tcPr>
            <w:tcW w:w="247" w:type="pct"/>
            <w:vMerge w:val="continue"/>
            <w:tcBorders>
              <w:tl2br w:val="nil"/>
              <w:tr2bl w:val="nil"/>
            </w:tcBorders>
            <w:noWrap w:val="0"/>
            <w:vAlign w:val="center"/>
          </w:tcPr>
          <w:p w14:paraId="08257E5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5B929C1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noWrap w:val="0"/>
            <w:vAlign w:val="center"/>
          </w:tcPr>
          <w:p w14:paraId="4692A97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35</w:t>
            </w:r>
          </w:p>
        </w:tc>
        <w:tc>
          <w:tcPr>
            <w:tcW w:w="381" w:type="pct"/>
            <w:vMerge w:val="continue"/>
            <w:tcBorders>
              <w:tl2br w:val="nil"/>
              <w:tr2bl w:val="nil"/>
            </w:tcBorders>
            <w:noWrap w:val="0"/>
            <w:vAlign w:val="center"/>
          </w:tcPr>
          <w:p w14:paraId="2BC2C06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noWrap w:val="0"/>
            <w:vAlign w:val="center"/>
          </w:tcPr>
          <w:p w14:paraId="72EAA0C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编织袋装</w:t>
            </w:r>
          </w:p>
        </w:tc>
      </w:tr>
      <w:tr w14:paraId="0D9600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noWrap w:val="0"/>
            <w:vAlign w:val="center"/>
          </w:tcPr>
          <w:p w14:paraId="56E604F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noWrap w:val="0"/>
            <w:vAlign w:val="center"/>
          </w:tcPr>
          <w:p w14:paraId="070F052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noWrap w:val="0"/>
            <w:vAlign w:val="center"/>
          </w:tcPr>
          <w:p w14:paraId="44D9DE5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900-044-49</w:t>
            </w:r>
          </w:p>
        </w:tc>
        <w:tc>
          <w:tcPr>
            <w:tcW w:w="399" w:type="pct"/>
            <w:tcBorders>
              <w:tl2br w:val="nil"/>
              <w:tr2bl w:val="nil"/>
            </w:tcBorders>
            <w:noWrap w:val="0"/>
            <w:vAlign w:val="center"/>
          </w:tcPr>
          <w:p w14:paraId="76DC547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w:t>
            </w:r>
          </w:p>
        </w:tc>
        <w:tc>
          <w:tcPr>
            <w:tcW w:w="495" w:type="pct"/>
            <w:tcBorders>
              <w:tl2br w:val="nil"/>
              <w:tr2bl w:val="nil"/>
            </w:tcBorders>
            <w:noWrap w:val="0"/>
            <w:vAlign w:val="center"/>
          </w:tcPr>
          <w:p w14:paraId="6482477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7566289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6780E63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固态</w:t>
            </w:r>
          </w:p>
        </w:tc>
        <w:tc>
          <w:tcPr>
            <w:tcW w:w="247" w:type="pct"/>
            <w:vMerge w:val="continue"/>
            <w:tcBorders>
              <w:tl2br w:val="nil"/>
              <w:tr2bl w:val="nil"/>
            </w:tcBorders>
            <w:noWrap w:val="0"/>
            <w:vAlign w:val="center"/>
          </w:tcPr>
          <w:p w14:paraId="2E9CC79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5326528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noWrap w:val="0"/>
            <w:vAlign w:val="center"/>
          </w:tcPr>
          <w:p w14:paraId="393B129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w:t>
            </w:r>
          </w:p>
        </w:tc>
        <w:tc>
          <w:tcPr>
            <w:tcW w:w="381" w:type="pct"/>
            <w:vMerge w:val="continue"/>
            <w:tcBorders>
              <w:tl2br w:val="nil"/>
              <w:tr2bl w:val="nil"/>
            </w:tcBorders>
            <w:noWrap w:val="0"/>
            <w:vAlign w:val="center"/>
          </w:tcPr>
          <w:p w14:paraId="0C166AA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noWrap w:val="0"/>
            <w:vAlign w:val="center"/>
          </w:tcPr>
          <w:p w14:paraId="04D934C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桶装</w:t>
            </w:r>
          </w:p>
        </w:tc>
      </w:tr>
      <w:tr w14:paraId="2F0358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noWrap w:val="0"/>
            <w:vAlign w:val="center"/>
          </w:tcPr>
          <w:p w14:paraId="590AB99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noWrap w:val="0"/>
            <w:vAlign w:val="center"/>
          </w:tcPr>
          <w:p w14:paraId="4FBB820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noWrap w:val="0"/>
            <w:vAlign w:val="center"/>
          </w:tcPr>
          <w:p w14:paraId="27C690D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900-045-49</w:t>
            </w:r>
          </w:p>
        </w:tc>
        <w:tc>
          <w:tcPr>
            <w:tcW w:w="399" w:type="pct"/>
            <w:tcBorders>
              <w:tl2br w:val="nil"/>
              <w:tr2bl w:val="nil"/>
            </w:tcBorders>
            <w:noWrap w:val="0"/>
            <w:vAlign w:val="center"/>
          </w:tcPr>
          <w:p w14:paraId="2FD56B4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12#</w:t>
            </w:r>
          </w:p>
        </w:tc>
        <w:tc>
          <w:tcPr>
            <w:tcW w:w="495" w:type="pct"/>
            <w:tcBorders>
              <w:tl2br w:val="nil"/>
              <w:tr2bl w:val="nil"/>
            </w:tcBorders>
            <w:noWrap w:val="0"/>
            <w:vAlign w:val="center"/>
          </w:tcPr>
          <w:p w14:paraId="3142841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4F5853A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4569D83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固态</w:t>
            </w:r>
          </w:p>
        </w:tc>
        <w:tc>
          <w:tcPr>
            <w:tcW w:w="247" w:type="pct"/>
            <w:vMerge w:val="continue"/>
            <w:tcBorders>
              <w:tl2br w:val="nil"/>
              <w:tr2bl w:val="nil"/>
            </w:tcBorders>
            <w:noWrap w:val="0"/>
            <w:vAlign w:val="center"/>
          </w:tcPr>
          <w:p w14:paraId="3CBA1B5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2F38A7A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noWrap w:val="0"/>
            <w:vAlign w:val="center"/>
          </w:tcPr>
          <w:p w14:paraId="49987EC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w:t>
            </w:r>
          </w:p>
        </w:tc>
        <w:tc>
          <w:tcPr>
            <w:tcW w:w="381" w:type="pct"/>
            <w:vMerge w:val="continue"/>
            <w:tcBorders>
              <w:tl2br w:val="nil"/>
              <w:tr2bl w:val="nil"/>
            </w:tcBorders>
            <w:noWrap w:val="0"/>
            <w:vAlign w:val="center"/>
          </w:tcPr>
          <w:p w14:paraId="0C100E0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noWrap w:val="0"/>
            <w:vAlign w:val="center"/>
          </w:tcPr>
          <w:p w14:paraId="170C579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rPr>
            </w:pPr>
            <w:r>
              <w:rPr>
                <w:rFonts w:hint="default" w:ascii="Times New Roman" w:hAnsi="Times New Roman" w:eastAsia="宋体" w:cs="Times New Roman"/>
                <w:b w:val="0"/>
                <w:bCs/>
                <w:sz w:val="21"/>
                <w:szCs w:val="21"/>
                <w:lang w:val="en-US" w:eastAsia="zh-CN"/>
              </w:rPr>
              <w:t>编织袋装/箱装</w:t>
            </w:r>
          </w:p>
        </w:tc>
      </w:tr>
      <w:tr w14:paraId="045CA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noWrap w:val="0"/>
            <w:vAlign w:val="center"/>
          </w:tcPr>
          <w:p w14:paraId="08432E5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noWrap w:val="0"/>
            <w:vAlign w:val="center"/>
          </w:tcPr>
          <w:p w14:paraId="1A1E805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noWrap w:val="0"/>
            <w:vAlign w:val="center"/>
          </w:tcPr>
          <w:p w14:paraId="47F2DC6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900-047-49</w:t>
            </w:r>
          </w:p>
        </w:tc>
        <w:tc>
          <w:tcPr>
            <w:tcW w:w="399" w:type="pct"/>
            <w:tcBorders>
              <w:tl2br w:val="nil"/>
              <w:tr2bl w:val="nil"/>
            </w:tcBorders>
            <w:noWrap w:val="0"/>
            <w:vAlign w:val="center"/>
          </w:tcPr>
          <w:p w14:paraId="5C39079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w:t>
            </w:r>
          </w:p>
        </w:tc>
        <w:tc>
          <w:tcPr>
            <w:tcW w:w="495" w:type="pct"/>
            <w:tcBorders>
              <w:tl2br w:val="nil"/>
              <w:tr2bl w:val="nil"/>
            </w:tcBorders>
            <w:noWrap w:val="0"/>
            <w:vAlign w:val="center"/>
          </w:tcPr>
          <w:p w14:paraId="2D16C3E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7A8B7F8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T/C/I/R</w:t>
            </w:r>
          </w:p>
        </w:tc>
        <w:tc>
          <w:tcPr>
            <w:tcW w:w="426" w:type="pct"/>
            <w:tcBorders>
              <w:tl2br w:val="nil"/>
              <w:tr2bl w:val="nil"/>
            </w:tcBorders>
            <w:noWrap w:val="0"/>
            <w:vAlign w:val="center"/>
          </w:tcPr>
          <w:p w14:paraId="556CE86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eastAsia="zh-CN"/>
              </w:rPr>
              <w:t>液态</w:t>
            </w:r>
            <w:r>
              <w:rPr>
                <w:rFonts w:hint="default" w:ascii="Times New Roman" w:hAnsi="Times New Roman" w:eastAsia="宋体" w:cs="Times New Roman"/>
                <w:b w:val="0"/>
                <w:bCs/>
                <w:sz w:val="21"/>
                <w:szCs w:val="21"/>
                <w:lang w:val="en-US" w:eastAsia="zh-CN"/>
              </w:rPr>
              <w:t>/半固态/固态</w:t>
            </w:r>
          </w:p>
        </w:tc>
        <w:tc>
          <w:tcPr>
            <w:tcW w:w="247" w:type="pct"/>
            <w:vMerge w:val="continue"/>
            <w:tcBorders>
              <w:tl2br w:val="nil"/>
              <w:tr2bl w:val="nil"/>
            </w:tcBorders>
            <w:noWrap w:val="0"/>
            <w:vAlign w:val="center"/>
          </w:tcPr>
          <w:p w14:paraId="2ABEC4E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2749355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noWrap w:val="0"/>
            <w:vAlign w:val="center"/>
          </w:tcPr>
          <w:p w14:paraId="74C3E9B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10</w:t>
            </w:r>
          </w:p>
        </w:tc>
        <w:tc>
          <w:tcPr>
            <w:tcW w:w="381" w:type="pct"/>
            <w:tcBorders>
              <w:tl2br w:val="nil"/>
              <w:tr2bl w:val="nil"/>
            </w:tcBorders>
            <w:noWrap w:val="0"/>
            <w:vAlign w:val="center"/>
          </w:tcPr>
          <w:p w14:paraId="0AA940C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6次/月</w:t>
            </w:r>
          </w:p>
        </w:tc>
        <w:tc>
          <w:tcPr>
            <w:tcW w:w="562" w:type="pct"/>
            <w:tcBorders>
              <w:tl2br w:val="nil"/>
              <w:tr2bl w:val="nil"/>
            </w:tcBorders>
            <w:noWrap w:val="0"/>
            <w:vAlign w:val="center"/>
          </w:tcPr>
          <w:p w14:paraId="57E8D72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桶装</w:t>
            </w:r>
          </w:p>
        </w:tc>
      </w:tr>
      <w:tr w14:paraId="6F5507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D7D7D7"/>
            <w:noWrap w:val="0"/>
            <w:vAlign w:val="center"/>
          </w:tcPr>
          <w:p w14:paraId="49FA890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shd w:val="clear" w:color="auto" w:fill="D7D7D7"/>
            <w:noWrap w:val="0"/>
            <w:vAlign w:val="center"/>
          </w:tcPr>
          <w:p w14:paraId="0F6B6DD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shd w:val="clear" w:color="auto" w:fill="D7D7D7"/>
            <w:noWrap w:val="0"/>
            <w:vAlign w:val="center"/>
          </w:tcPr>
          <w:p w14:paraId="3B0CE4D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900-999-49</w:t>
            </w:r>
          </w:p>
        </w:tc>
        <w:tc>
          <w:tcPr>
            <w:tcW w:w="399" w:type="pct"/>
            <w:tcBorders>
              <w:tl2br w:val="nil"/>
              <w:tr2bl w:val="nil"/>
            </w:tcBorders>
            <w:shd w:val="clear" w:color="auto" w:fill="D7D7D7"/>
            <w:noWrap w:val="0"/>
            <w:vAlign w:val="center"/>
          </w:tcPr>
          <w:p w14:paraId="7C71F0A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t>
            </w:r>
          </w:p>
        </w:tc>
        <w:tc>
          <w:tcPr>
            <w:tcW w:w="495" w:type="pct"/>
            <w:tcBorders>
              <w:tl2br w:val="nil"/>
              <w:tr2bl w:val="nil"/>
            </w:tcBorders>
            <w:shd w:val="clear" w:color="auto" w:fill="D7D7D7"/>
            <w:noWrap w:val="0"/>
            <w:vAlign w:val="center"/>
          </w:tcPr>
          <w:p w14:paraId="196713D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已批复</w:t>
            </w:r>
          </w:p>
          <w:p w14:paraId="1B48D63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未纳入本次许可证</w:t>
            </w:r>
          </w:p>
        </w:tc>
        <w:tc>
          <w:tcPr>
            <w:tcW w:w="421" w:type="pct"/>
            <w:tcBorders>
              <w:tl2br w:val="nil"/>
              <w:tr2bl w:val="nil"/>
            </w:tcBorders>
            <w:shd w:val="clear" w:color="auto" w:fill="D7D7D7"/>
            <w:noWrap w:val="0"/>
            <w:vAlign w:val="center"/>
          </w:tcPr>
          <w:p w14:paraId="5C01B8C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T/C/I/R</w:t>
            </w:r>
          </w:p>
        </w:tc>
        <w:tc>
          <w:tcPr>
            <w:tcW w:w="426" w:type="pct"/>
            <w:tcBorders>
              <w:tl2br w:val="nil"/>
              <w:tr2bl w:val="nil"/>
            </w:tcBorders>
            <w:shd w:val="clear" w:color="auto" w:fill="D7D7D7"/>
            <w:noWrap w:val="0"/>
            <w:vAlign w:val="center"/>
          </w:tcPr>
          <w:p w14:paraId="1AEDFBA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液态/</w:t>
            </w:r>
            <w:r>
              <w:rPr>
                <w:rFonts w:hint="default" w:ascii="Times New Roman" w:hAnsi="Times New Roman" w:eastAsia="宋体" w:cs="Times New Roman"/>
                <w:b w:val="0"/>
                <w:bCs/>
                <w:sz w:val="21"/>
                <w:szCs w:val="21"/>
                <w:lang w:eastAsia="zh-CN"/>
              </w:rPr>
              <w:t>固态</w:t>
            </w:r>
          </w:p>
        </w:tc>
        <w:tc>
          <w:tcPr>
            <w:tcW w:w="247" w:type="pct"/>
            <w:vMerge w:val="continue"/>
            <w:tcBorders>
              <w:tl2br w:val="nil"/>
              <w:tr2bl w:val="nil"/>
            </w:tcBorders>
            <w:shd w:val="clear" w:color="auto" w:fill="D7D7D7"/>
            <w:noWrap w:val="0"/>
            <w:vAlign w:val="center"/>
          </w:tcPr>
          <w:p w14:paraId="3DD0289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shd w:val="clear" w:color="auto" w:fill="D7D7D7"/>
            <w:noWrap w:val="0"/>
            <w:vAlign w:val="center"/>
          </w:tcPr>
          <w:p w14:paraId="1A1DAAE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shd w:val="clear" w:color="auto" w:fill="D7D7D7"/>
            <w:noWrap w:val="0"/>
            <w:vAlign w:val="center"/>
          </w:tcPr>
          <w:p w14:paraId="0A810D4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381" w:type="pct"/>
            <w:tcBorders>
              <w:tl2br w:val="nil"/>
              <w:tr2bl w:val="nil"/>
            </w:tcBorders>
            <w:shd w:val="clear" w:color="auto" w:fill="D7D7D7"/>
            <w:noWrap w:val="0"/>
            <w:vAlign w:val="center"/>
          </w:tcPr>
          <w:p w14:paraId="0009667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0</w:t>
            </w:r>
          </w:p>
        </w:tc>
        <w:tc>
          <w:tcPr>
            <w:tcW w:w="562" w:type="pct"/>
            <w:tcBorders>
              <w:tl2br w:val="nil"/>
              <w:tr2bl w:val="nil"/>
            </w:tcBorders>
            <w:shd w:val="clear" w:color="auto" w:fill="D7D7D7"/>
            <w:noWrap w:val="0"/>
            <w:vAlign w:val="center"/>
          </w:tcPr>
          <w:p w14:paraId="475EED2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桶装/编织袋装</w:t>
            </w:r>
          </w:p>
        </w:tc>
      </w:tr>
      <w:tr w14:paraId="413FB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restart"/>
            <w:tcBorders>
              <w:tl2br w:val="nil"/>
              <w:tr2bl w:val="nil"/>
            </w:tcBorders>
            <w:noWrap w:val="0"/>
            <w:vAlign w:val="center"/>
          </w:tcPr>
          <w:p w14:paraId="63C904F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11</w:t>
            </w:r>
          </w:p>
        </w:tc>
        <w:tc>
          <w:tcPr>
            <w:tcW w:w="794" w:type="pct"/>
            <w:vMerge w:val="restart"/>
            <w:tcBorders>
              <w:tl2br w:val="nil"/>
              <w:tr2bl w:val="nil"/>
            </w:tcBorders>
            <w:noWrap w:val="0"/>
            <w:vAlign w:val="center"/>
          </w:tcPr>
          <w:p w14:paraId="23BFBC1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HW50废催化剂</w:t>
            </w:r>
          </w:p>
        </w:tc>
        <w:tc>
          <w:tcPr>
            <w:tcW w:w="467" w:type="pct"/>
            <w:tcBorders>
              <w:tl2br w:val="nil"/>
              <w:tr2bl w:val="nil"/>
            </w:tcBorders>
            <w:noWrap w:val="0"/>
            <w:vAlign w:val="center"/>
          </w:tcPr>
          <w:p w14:paraId="4042834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261-151-50</w:t>
            </w:r>
          </w:p>
        </w:tc>
        <w:tc>
          <w:tcPr>
            <w:tcW w:w="399" w:type="pct"/>
            <w:tcBorders>
              <w:tl2br w:val="nil"/>
              <w:tr2bl w:val="nil"/>
            </w:tcBorders>
            <w:noWrap w:val="0"/>
            <w:vAlign w:val="center"/>
          </w:tcPr>
          <w:p w14:paraId="6D1F90C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18#</w:t>
            </w:r>
          </w:p>
        </w:tc>
        <w:tc>
          <w:tcPr>
            <w:tcW w:w="495" w:type="pct"/>
            <w:tcBorders>
              <w:tl2br w:val="nil"/>
              <w:tr2bl w:val="nil"/>
            </w:tcBorders>
            <w:noWrap w:val="0"/>
            <w:vAlign w:val="center"/>
          </w:tcPr>
          <w:p w14:paraId="1FC05ED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771AFFD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66D44A6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固态</w:t>
            </w:r>
          </w:p>
        </w:tc>
        <w:tc>
          <w:tcPr>
            <w:tcW w:w="247" w:type="pct"/>
            <w:vMerge w:val="restart"/>
            <w:tcBorders>
              <w:tl2br w:val="nil"/>
              <w:tr2bl w:val="nil"/>
            </w:tcBorders>
            <w:noWrap w:val="0"/>
            <w:vAlign w:val="center"/>
          </w:tcPr>
          <w:p w14:paraId="3EBAEC3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400</w:t>
            </w:r>
          </w:p>
        </w:tc>
        <w:tc>
          <w:tcPr>
            <w:tcW w:w="247" w:type="pct"/>
            <w:vMerge w:val="restart"/>
            <w:tcBorders>
              <w:tl2br w:val="nil"/>
              <w:tr2bl w:val="nil"/>
            </w:tcBorders>
            <w:noWrap w:val="0"/>
            <w:vAlign w:val="center"/>
          </w:tcPr>
          <w:p w14:paraId="40514D4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400</w:t>
            </w:r>
          </w:p>
        </w:tc>
        <w:tc>
          <w:tcPr>
            <w:tcW w:w="337" w:type="pct"/>
            <w:tcBorders>
              <w:tl2br w:val="nil"/>
              <w:tr2bl w:val="nil"/>
            </w:tcBorders>
            <w:noWrap w:val="0"/>
            <w:vAlign w:val="center"/>
          </w:tcPr>
          <w:p w14:paraId="75B1381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5</w:t>
            </w:r>
          </w:p>
        </w:tc>
        <w:tc>
          <w:tcPr>
            <w:tcW w:w="381" w:type="pct"/>
            <w:vMerge w:val="restart"/>
            <w:tcBorders>
              <w:tl2br w:val="nil"/>
              <w:tr2bl w:val="nil"/>
            </w:tcBorders>
            <w:noWrap w:val="0"/>
            <w:vAlign w:val="center"/>
          </w:tcPr>
          <w:p w14:paraId="3C39FC4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2次/月</w:t>
            </w:r>
          </w:p>
        </w:tc>
        <w:tc>
          <w:tcPr>
            <w:tcW w:w="562" w:type="pct"/>
            <w:tcBorders>
              <w:tl2br w:val="nil"/>
              <w:tr2bl w:val="nil"/>
            </w:tcBorders>
            <w:noWrap w:val="0"/>
            <w:vAlign w:val="center"/>
          </w:tcPr>
          <w:p w14:paraId="7C97B9A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编织袋装</w:t>
            </w:r>
          </w:p>
        </w:tc>
      </w:tr>
      <w:tr w14:paraId="5274A6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noWrap w:val="0"/>
            <w:vAlign w:val="center"/>
          </w:tcPr>
          <w:p w14:paraId="67FE580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noWrap w:val="0"/>
            <w:vAlign w:val="center"/>
          </w:tcPr>
          <w:p w14:paraId="7FFBE51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noWrap w:val="0"/>
            <w:vAlign w:val="center"/>
          </w:tcPr>
          <w:p w14:paraId="7AB47A6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900-048-50</w:t>
            </w:r>
          </w:p>
        </w:tc>
        <w:tc>
          <w:tcPr>
            <w:tcW w:w="399" w:type="pct"/>
            <w:tcBorders>
              <w:tl2br w:val="nil"/>
              <w:tr2bl w:val="nil"/>
            </w:tcBorders>
            <w:noWrap w:val="0"/>
            <w:vAlign w:val="center"/>
          </w:tcPr>
          <w:p w14:paraId="4BD393A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19#</w:t>
            </w:r>
          </w:p>
        </w:tc>
        <w:tc>
          <w:tcPr>
            <w:tcW w:w="495" w:type="pct"/>
            <w:tcBorders>
              <w:tl2br w:val="nil"/>
              <w:tr2bl w:val="nil"/>
            </w:tcBorders>
            <w:noWrap w:val="0"/>
            <w:vAlign w:val="center"/>
          </w:tcPr>
          <w:p w14:paraId="7EE93CF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61D876D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230A883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p>
        </w:tc>
        <w:tc>
          <w:tcPr>
            <w:tcW w:w="247" w:type="pct"/>
            <w:vMerge w:val="continue"/>
            <w:tcBorders>
              <w:tl2br w:val="nil"/>
              <w:tr2bl w:val="nil"/>
            </w:tcBorders>
            <w:noWrap w:val="0"/>
            <w:vAlign w:val="center"/>
          </w:tcPr>
          <w:p w14:paraId="6F12406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7820AAC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noWrap w:val="0"/>
            <w:vAlign w:val="center"/>
          </w:tcPr>
          <w:p w14:paraId="4E5BB1A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3</w:t>
            </w:r>
          </w:p>
        </w:tc>
        <w:tc>
          <w:tcPr>
            <w:tcW w:w="381" w:type="pct"/>
            <w:vMerge w:val="continue"/>
            <w:tcBorders>
              <w:tl2br w:val="nil"/>
              <w:tr2bl w:val="nil"/>
            </w:tcBorders>
            <w:noWrap w:val="0"/>
            <w:vAlign w:val="center"/>
          </w:tcPr>
          <w:p w14:paraId="736F5F7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noWrap w:val="0"/>
            <w:vAlign w:val="center"/>
          </w:tcPr>
          <w:p w14:paraId="2CD12BC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桶装</w:t>
            </w:r>
          </w:p>
        </w:tc>
      </w:tr>
      <w:tr w14:paraId="2CBCA5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noWrap w:val="0"/>
            <w:vAlign w:val="center"/>
          </w:tcPr>
          <w:p w14:paraId="749FD1E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794" w:type="pct"/>
            <w:vMerge w:val="continue"/>
            <w:tcBorders>
              <w:tl2br w:val="nil"/>
              <w:tr2bl w:val="nil"/>
            </w:tcBorders>
            <w:noWrap w:val="0"/>
            <w:vAlign w:val="center"/>
          </w:tcPr>
          <w:p w14:paraId="088A274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467" w:type="pct"/>
            <w:tcBorders>
              <w:tl2br w:val="nil"/>
              <w:tr2bl w:val="nil"/>
            </w:tcBorders>
            <w:noWrap w:val="0"/>
            <w:vAlign w:val="center"/>
          </w:tcPr>
          <w:p w14:paraId="38E11D9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900-049-50</w:t>
            </w:r>
          </w:p>
        </w:tc>
        <w:tc>
          <w:tcPr>
            <w:tcW w:w="399" w:type="pct"/>
            <w:tcBorders>
              <w:tl2br w:val="nil"/>
              <w:tr2bl w:val="nil"/>
            </w:tcBorders>
            <w:noWrap w:val="0"/>
            <w:vAlign w:val="center"/>
          </w:tcPr>
          <w:p w14:paraId="0F0AB22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17#</w:t>
            </w:r>
          </w:p>
        </w:tc>
        <w:tc>
          <w:tcPr>
            <w:tcW w:w="495" w:type="pct"/>
            <w:tcBorders>
              <w:tl2br w:val="nil"/>
              <w:tr2bl w:val="nil"/>
            </w:tcBorders>
            <w:noWrap w:val="0"/>
            <w:vAlign w:val="center"/>
          </w:tcPr>
          <w:p w14:paraId="7E81E88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noWrap w:val="0"/>
            <w:vAlign w:val="center"/>
          </w:tcPr>
          <w:p w14:paraId="7685196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noWrap w:val="0"/>
            <w:vAlign w:val="center"/>
          </w:tcPr>
          <w:p w14:paraId="644535D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固态</w:t>
            </w:r>
          </w:p>
        </w:tc>
        <w:tc>
          <w:tcPr>
            <w:tcW w:w="247" w:type="pct"/>
            <w:vMerge w:val="continue"/>
            <w:tcBorders>
              <w:tl2br w:val="nil"/>
              <w:tr2bl w:val="nil"/>
            </w:tcBorders>
            <w:noWrap w:val="0"/>
            <w:vAlign w:val="center"/>
          </w:tcPr>
          <w:p w14:paraId="3E708E5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1E6218A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tcBorders>
              <w:tl2br w:val="nil"/>
              <w:tr2bl w:val="nil"/>
            </w:tcBorders>
            <w:noWrap w:val="0"/>
            <w:vAlign w:val="center"/>
          </w:tcPr>
          <w:p w14:paraId="27FED9D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20</w:t>
            </w:r>
          </w:p>
        </w:tc>
        <w:tc>
          <w:tcPr>
            <w:tcW w:w="381" w:type="pct"/>
            <w:vMerge w:val="continue"/>
            <w:tcBorders>
              <w:tl2br w:val="nil"/>
              <w:tr2bl w:val="nil"/>
            </w:tcBorders>
            <w:noWrap w:val="0"/>
            <w:vAlign w:val="center"/>
          </w:tcPr>
          <w:p w14:paraId="4CB4F49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562" w:type="pct"/>
            <w:tcBorders>
              <w:tl2br w:val="nil"/>
              <w:tr2bl w:val="nil"/>
            </w:tcBorders>
            <w:noWrap w:val="0"/>
            <w:vAlign w:val="center"/>
          </w:tcPr>
          <w:p w14:paraId="70068F5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编织袋装</w:t>
            </w:r>
          </w:p>
        </w:tc>
      </w:tr>
      <w:tr w14:paraId="172EC5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restart"/>
            <w:tcBorders>
              <w:tl2br w:val="nil"/>
              <w:tr2bl w:val="nil"/>
            </w:tcBorders>
            <w:shd w:val="clear" w:color="auto" w:fill="auto"/>
            <w:noWrap w:val="0"/>
            <w:vAlign w:val="center"/>
          </w:tcPr>
          <w:p w14:paraId="06D9CCA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12</w:t>
            </w:r>
          </w:p>
        </w:tc>
        <w:tc>
          <w:tcPr>
            <w:tcW w:w="794" w:type="pct"/>
            <w:vMerge w:val="restart"/>
            <w:tcBorders>
              <w:tl2br w:val="nil"/>
              <w:tr2bl w:val="nil"/>
            </w:tcBorders>
            <w:shd w:val="clear" w:color="auto" w:fill="auto"/>
            <w:noWrap w:val="0"/>
            <w:vAlign w:val="center"/>
          </w:tcPr>
          <w:p w14:paraId="57C6829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HW08废矿物油与含废矿物油废物</w:t>
            </w:r>
          </w:p>
        </w:tc>
        <w:tc>
          <w:tcPr>
            <w:tcW w:w="867" w:type="pct"/>
            <w:gridSpan w:val="2"/>
            <w:tcBorders>
              <w:tl2br w:val="nil"/>
              <w:tr2bl w:val="nil"/>
            </w:tcBorders>
            <w:shd w:val="clear" w:color="auto" w:fill="D7D7D7"/>
            <w:noWrap w:val="0"/>
            <w:vAlign w:val="center"/>
          </w:tcPr>
          <w:p w14:paraId="2E1A42A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900-199-08</w:t>
            </w:r>
          </w:p>
        </w:tc>
        <w:tc>
          <w:tcPr>
            <w:tcW w:w="495" w:type="pct"/>
            <w:vMerge w:val="restart"/>
            <w:tcBorders>
              <w:tl2br w:val="nil"/>
              <w:tr2bl w:val="nil"/>
            </w:tcBorders>
            <w:shd w:val="clear" w:color="auto" w:fill="D7D7D7"/>
            <w:noWrap w:val="0"/>
            <w:vAlign w:val="center"/>
          </w:tcPr>
          <w:p w14:paraId="44455E4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已批复</w:t>
            </w:r>
          </w:p>
          <w:p w14:paraId="697696F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未纳入本次许可证</w:t>
            </w:r>
          </w:p>
        </w:tc>
        <w:tc>
          <w:tcPr>
            <w:tcW w:w="421" w:type="pct"/>
            <w:tcBorders>
              <w:tl2br w:val="nil"/>
              <w:tr2bl w:val="nil"/>
            </w:tcBorders>
            <w:shd w:val="clear" w:color="auto" w:fill="D7D7D7"/>
            <w:noWrap w:val="0"/>
            <w:vAlign w:val="center"/>
          </w:tcPr>
          <w:p w14:paraId="7FC5D79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D7D7D7"/>
            <w:noWrap w:val="0"/>
            <w:vAlign w:val="center"/>
          </w:tcPr>
          <w:p w14:paraId="185236A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液态/半固态</w:t>
            </w:r>
          </w:p>
        </w:tc>
        <w:tc>
          <w:tcPr>
            <w:tcW w:w="247" w:type="pct"/>
            <w:vMerge w:val="restart"/>
            <w:tcBorders>
              <w:tl2br w:val="nil"/>
              <w:tr2bl w:val="nil"/>
            </w:tcBorders>
            <w:shd w:val="clear" w:color="auto" w:fill="FFFFFF"/>
            <w:noWrap w:val="0"/>
            <w:vAlign w:val="center"/>
          </w:tcPr>
          <w:p w14:paraId="3E2AE71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4000</w:t>
            </w:r>
          </w:p>
        </w:tc>
        <w:tc>
          <w:tcPr>
            <w:tcW w:w="247" w:type="pct"/>
            <w:vMerge w:val="restart"/>
            <w:tcBorders>
              <w:tl2br w:val="nil"/>
              <w:tr2bl w:val="nil"/>
            </w:tcBorders>
            <w:noWrap w:val="0"/>
            <w:vAlign w:val="center"/>
          </w:tcPr>
          <w:p w14:paraId="73B7F1C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4000</w:t>
            </w:r>
          </w:p>
        </w:tc>
        <w:tc>
          <w:tcPr>
            <w:tcW w:w="337" w:type="pct"/>
            <w:vMerge w:val="restart"/>
            <w:tcBorders>
              <w:tl2br w:val="nil"/>
              <w:tr2bl w:val="nil"/>
            </w:tcBorders>
            <w:noWrap w:val="0"/>
            <w:vAlign w:val="center"/>
          </w:tcPr>
          <w:p w14:paraId="48DE2E9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40</w:t>
            </w:r>
          </w:p>
        </w:tc>
        <w:tc>
          <w:tcPr>
            <w:tcW w:w="381" w:type="pct"/>
            <w:tcBorders>
              <w:tl2br w:val="nil"/>
              <w:tr2bl w:val="nil"/>
            </w:tcBorders>
            <w:noWrap w:val="0"/>
            <w:vAlign w:val="center"/>
          </w:tcPr>
          <w:p w14:paraId="0D40BC7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restart"/>
            <w:tcBorders>
              <w:tl2br w:val="nil"/>
              <w:tr2bl w:val="nil"/>
            </w:tcBorders>
            <w:noWrap w:val="0"/>
            <w:vAlign w:val="center"/>
          </w:tcPr>
          <w:p w14:paraId="40CBB8B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储油罐装</w:t>
            </w:r>
          </w:p>
        </w:tc>
      </w:tr>
      <w:tr w14:paraId="110730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6133E67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2B93148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D7D7D7"/>
            <w:noWrap w:val="0"/>
            <w:vAlign w:val="center"/>
          </w:tcPr>
          <w:p w14:paraId="4FB5706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900-200-08</w:t>
            </w:r>
          </w:p>
        </w:tc>
        <w:tc>
          <w:tcPr>
            <w:tcW w:w="495" w:type="pct"/>
            <w:vMerge w:val="continue"/>
            <w:tcBorders>
              <w:tl2br w:val="nil"/>
              <w:tr2bl w:val="nil"/>
            </w:tcBorders>
            <w:shd w:val="clear" w:color="auto" w:fill="D7D7D7"/>
            <w:noWrap w:val="0"/>
            <w:vAlign w:val="center"/>
          </w:tcPr>
          <w:p w14:paraId="45C5F33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0740F62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D7D7D7"/>
            <w:noWrap w:val="0"/>
            <w:vAlign w:val="center"/>
          </w:tcPr>
          <w:p w14:paraId="6AB33CF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液态/半固态</w:t>
            </w:r>
          </w:p>
        </w:tc>
        <w:tc>
          <w:tcPr>
            <w:tcW w:w="247" w:type="pct"/>
            <w:vMerge w:val="continue"/>
            <w:tcBorders>
              <w:tl2br w:val="nil"/>
              <w:tr2bl w:val="nil"/>
            </w:tcBorders>
            <w:shd w:val="clear" w:color="auto" w:fill="FFFFFF"/>
            <w:noWrap w:val="0"/>
            <w:vAlign w:val="center"/>
          </w:tcPr>
          <w:p w14:paraId="2CDF92B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6168B82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0E9CE83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4C43CD0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28259D8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6392CA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2656F25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62E9317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D7D7D7"/>
            <w:noWrap w:val="0"/>
            <w:vAlign w:val="center"/>
          </w:tcPr>
          <w:p w14:paraId="080EB61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900-201-08</w:t>
            </w:r>
          </w:p>
        </w:tc>
        <w:tc>
          <w:tcPr>
            <w:tcW w:w="495" w:type="pct"/>
            <w:vMerge w:val="continue"/>
            <w:tcBorders>
              <w:tl2br w:val="nil"/>
              <w:tr2bl w:val="nil"/>
            </w:tcBorders>
            <w:shd w:val="clear" w:color="auto" w:fill="D7D7D7"/>
            <w:noWrap w:val="0"/>
            <w:vAlign w:val="center"/>
          </w:tcPr>
          <w:p w14:paraId="30E91F3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13CD94F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D7D7D7"/>
            <w:noWrap w:val="0"/>
            <w:vAlign w:val="center"/>
          </w:tcPr>
          <w:p w14:paraId="754574E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液态</w:t>
            </w:r>
          </w:p>
        </w:tc>
        <w:tc>
          <w:tcPr>
            <w:tcW w:w="247" w:type="pct"/>
            <w:vMerge w:val="continue"/>
            <w:tcBorders>
              <w:tl2br w:val="nil"/>
              <w:tr2bl w:val="nil"/>
            </w:tcBorders>
            <w:shd w:val="clear" w:color="auto" w:fill="FFFFFF"/>
            <w:noWrap w:val="0"/>
            <w:vAlign w:val="center"/>
          </w:tcPr>
          <w:p w14:paraId="1514A8E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4CEB8A8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263A387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2FAB0B8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399BCA3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567B31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03E43E3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1C92183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D7D7D7"/>
            <w:noWrap w:val="0"/>
            <w:vAlign w:val="center"/>
          </w:tcPr>
          <w:p w14:paraId="492EF05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900-203-08</w:t>
            </w:r>
          </w:p>
        </w:tc>
        <w:tc>
          <w:tcPr>
            <w:tcW w:w="495" w:type="pct"/>
            <w:vMerge w:val="continue"/>
            <w:tcBorders>
              <w:tl2br w:val="nil"/>
              <w:tr2bl w:val="nil"/>
            </w:tcBorders>
            <w:shd w:val="clear" w:color="auto" w:fill="D7D7D7"/>
            <w:noWrap w:val="0"/>
            <w:vAlign w:val="center"/>
          </w:tcPr>
          <w:p w14:paraId="5927529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3C0AE69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shd w:val="clear" w:color="auto" w:fill="D7D7D7"/>
            <w:noWrap w:val="0"/>
            <w:vAlign w:val="center"/>
          </w:tcPr>
          <w:p w14:paraId="02EB8AB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p>
        </w:tc>
        <w:tc>
          <w:tcPr>
            <w:tcW w:w="247" w:type="pct"/>
            <w:vMerge w:val="continue"/>
            <w:tcBorders>
              <w:tl2br w:val="nil"/>
              <w:tr2bl w:val="nil"/>
            </w:tcBorders>
            <w:shd w:val="clear" w:color="auto" w:fill="FFFFFF"/>
            <w:noWrap w:val="0"/>
            <w:vAlign w:val="center"/>
          </w:tcPr>
          <w:p w14:paraId="040D90D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70792ED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47FCFA7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09369FC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62ADF3D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55E5AC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20C1F52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0CA07E1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D7D7D7"/>
            <w:noWrap w:val="0"/>
            <w:vAlign w:val="center"/>
          </w:tcPr>
          <w:p w14:paraId="2ACB147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900-204-08</w:t>
            </w:r>
          </w:p>
        </w:tc>
        <w:tc>
          <w:tcPr>
            <w:tcW w:w="495" w:type="pct"/>
            <w:vMerge w:val="continue"/>
            <w:tcBorders>
              <w:tl2br w:val="nil"/>
              <w:tr2bl w:val="nil"/>
            </w:tcBorders>
            <w:shd w:val="clear" w:color="auto" w:fill="D7D7D7"/>
            <w:noWrap w:val="0"/>
            <w:vAlign w:val="center"/>
          </w:tcPr>
          <w:p w14:paraId="3AC816E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743E3E1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shd w:val="clear" w:color="auto" w:fill="D7D7D7"/>
            <w:noWrap w:val="0"/>
            <w:vAlign w:val="center"/>
          </w:tcPr>
          <w:p w14:paraId="7EA220C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p>
        </w:tc>
        <w:tc>
          <w:tcPr>
            <w:tcW w:w="247" w:type="pct"/>
            <w:vMerge w:val="continue"/>
            <w:tcBorders>
              <w:tl2br w:val="nil"/>
              <w:tr2bl w:val="nil"/>
            </w:tcBorders>
            <w:shd w:val="clear" w:color="auto" w:fill="FFFFFF"/>
            <w:noWrap w:val="0"/>
            <w:vAlign w:val="center"/>
          </w:tcPr>
          <w:p w14:paraId="361EFDC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0D880B2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6A104CD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0091B2E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021C1CB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6D931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0CA941D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3EC199E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D7D7D7"/>
            <w:noWrap w:val="0"/>
            <w:vAlign w:val="center"/>
          </w:tcPr>
          <w:p w14:paraId="0135D6C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900-205-08</w:t>
            </w:r>
          </w:p>
        </w:tc>
        <w:tc>
          <w:tcPr>
            <w:tcW w:w="495" w:type="pct"/>
            <w:vMerge w:val="continue"/>
            <w:tcBorders>
              <w:tl2br w:val="nil"/>
              <w:tr2bl w:val="nil"/>
            </w:tcBorders>
            <w:shd w:val="clear" w:color="auto" w:fill="D7D7D7"/>
            <w:noWrap w:val="0"/>
            <w:vAlign w:val="center"/>
          </w:tcPr>
          <w:p w14:paraId="16A52B9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0F82C09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w:t>
            </w:r>
          </w:p>
        </w:tc>
        <w:tc>
          <w:tcPr>
            <w:tcW w:w="426" w:type="pct"/>
            <w:tcBorders>
              <w:tl2br w:val="nil"/>
              <w:tr2bl w:val="nil"/>
            </w:tcBorders>
            <w:shd w:val="clear" w:color="auto" w:fill="D7D7D7"/>
            <w:noWrap w:val="0"/>
            <w:vAlign w:val="center"/>
          </w:tcPr>
          <w:p w14:paraId="23A6124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液态</w:t>
            </w:r>
          </w:p>
        </w:tc>
        <w:tc>
          <w:tcPr>
            <w:tcW w:w="247" w:type="pct"/>
            <w:vMerge w:val="continue"/>
            <w:tcBorders>
              <w:tl2br w:val="nil"/>
              <w:tr2bl w:val="nil"/>
            </w:tcBorders>
            <w:shd w:val="clear" w:color="auto" w:fill="FFFFFF"/>
            <w:noWrap w:val="0"/>
            <w:vAlign w:val="center"/>
          </w:tcPr>
          <w:p w14:paraId="053A895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66D52B3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271B899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6AF3795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662BECA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147966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7CAD915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2BB4B43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D7D7D7"/>
            <w:noWrap w:val="0"/>
            <w:vAlign w:val="center"/>
          </w:tcPr>
          <w:p w14:paraId="3727348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900-209-08</w:t>
            </w:r>
          </w:p>
        </w:tc>
        <w:tc>
          <w:tcPr>
            <w:tcW w:w="495" w:type="pct"/>
            <w:vMerge w:val="continue"/>
            <w:tcBorders>
              <w:tl2br w:val="nil"/>
              <w:tr2bl w:val="nil"/>
            </w:tcBorders>
            <w:shd w:val="clear" w:color="auto" w:fill="D7D7D7"/>
            <w:noWrap w:val="0"/>
            <w:vAlign w:val="center"/>
          </w:tcPr>
          <w:p w14:paraId="75D0349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163A350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D7D7D7"/>
            <w:noWrap w:val="0"/>
            <w:vAlign w:val="center"/>
          </w:tcPr>
          <w:p w14:paraId="1DCA2EE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p>
        </w:tc>
        <w:tc>
          <w:tcPr>
            <w:tcW w:w="247" w:type="pct"/>
            <w:vMerge w:val="continue"/>
            <w:tcBorders>
              <w:tl2br w:val="nil"/>
              <w:tr2bl w:val="nil"/>
            </w:tcBorders>
            <w:shd w:val="clear" w:color="auto" w:fill="FFFFFF"/>
            <w:noWrap w:val="0"/>
            <w:vAlign w:val="center"/>
          </w:tcPr>
          <w:p w14:paraId="4DD77E9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7315D6A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29FE73C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5FE48F7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12C7894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2AB00E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52397F9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75219E9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D7D7D7"/>
            <w:noWrap w:val="0"/>
            <w:vAlign w:val="center"/>
          </w:tcPr>
          <w:p w14:paraId="0C5BA54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900-210-08</w:t>
            </w:r>
          </w:p>
        </w:tc>
        <w:tc>
          <w:tcPr>
            <w:tcW w:w="495" w:type="pct"/>
            <w:vMerge w:val="continue"/>
            <w:tcBorders>
              <w:tl2br w:val="nil"/>
              <w:tr2bl w:val="nil"/>
            </w:tcBorders>
            <w:shd w:val="clear" w:color="auto" w:fill="D7D7D7"/>
            <w:noWrap w:val="0"/>
            <w:vAlign w:val="center"/>
          </w:tcPr>
          <w:p w14:paraId="14DCAE7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0FC7092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D7D7D7"/>
            <w:noWrap w:val="0"/>
            <w:vAlign w:val="center"/>
          </w:tcPr>
          <w:p w14:paraId="657B827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半固态</w:t>
            </w:r>
          </w:p>
        </w:tc>
        <w:tc>
          <w:tcPr>
            <w:tcW w:w="247" w:type="pct"/>
            <w:vMerge w:val="continue"/>
            <w:tcBorders>
              <w:tl2br w:val="nil"/>
              <w:tr2bl w:val="nil"/>
            </w:tcBorders>
            <w:shd w:val="clear" w:color="auto" w:fill="FFFFFF"/>
            <w:noWrap w:val="0"/>
            <w:vAlign w:val="center"/>
          </w:tcPr>
          <w:p w14:paraId="08C1860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365FE6B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61D5032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037DB40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20ACB03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7E1977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489FCCF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32F3019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D7D7D7"/>
            <w:noWrap w:val="0"/>
            <w:vAlign w:val="center"/>
          </w:tcPr>
          <w:p w14:paraId="03F8397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900-213-08</w:t>
            </w:r>
          </w:p>
        </w:tc>
        <w:tc>
          <w:tcPr>
            <w:tcW w:w="495" w:type="pct"/>
            <w:vMerge w:val="continue"/>
            <w:tcBorders>
              <w:tl2br w:val="nil"/>
              <w:tr2bl w:val="nil"/>
            </w:tcBorders>
            <w:shd w:val="clear" w:color="auto" w:fill="D7D7D7"/>
            <w:noWrap w:val="0"/>
            <w:vAlign w:val="center"/>
          </w:tcPr>
          <w:p w14:paraId="770746E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shd w:val="clear" w:color="auto" w:fill="D7D7D7"/>
            <w:noWrap w:val="0"/>
            <w:vAlign w:val="center"/>
          </w:tcPr>
          <w:p w14:paraId="75B26EF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D7D7D7"/>
            <w:noWrap w:val="0"/>
            <w:vAlign w:val="center"/>
          </w:tcPr>
          <w:p w14:paraId="291CE03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半固态</w:t>
            </w:r>
          </w:p>
        </w:tc>
        <w:tc>
          <w:tcPr>
            <w:tcW w:w="247" w:type="pct"/>
            <w:vMerge w:val="continue"/>
            <w:tcBorders>
              <w:tl2br w:val="nil"/>
              <w:tr2bl w:val="nil"/>
            </w:tcBorders>
            <w:shd w:val="clear" w:color="auto" w:fill="FFFFFF"/>
            <w:noWrap w:val="0"/>
            <w:vAlign w:val="center"/>
          </w:tcPr>
          <w:p w14:paraId="35BCC6F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40D5C6A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3D44E4A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406BF43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7795757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6181B5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67DC44E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6AD9AF0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auto"/>
            <w:noWrap w:val="0"/>
            <w:vAlign w:val="center"/>
          </w:tcPr>
          <w:p w14:paraId="72FA1DE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900-214-08</w:t>
            </w:r>
          </w:p>
        </w:tc>
        <w:tc>
          <w:tcPr>
            <w:tcW w:w="495" w:type="pct"/>
            <w:tcBorders>
              <w:tl2br w:val="nil"/>
              <w:tr2bl w:val="nil"/>
            </w:tcBorders>
            <w:shd w:val="clear" w:color="auto" w:fill="auto"/>
            <w:noWrap w:val="0"/>
            <w:vAlign w:val="center"/>
          </w:tcPr>
          <w:p w14:paraId="3EE7C67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shd w:val="clear" w:color="auto" w:fill="auto"/>
            <w:noWrap w:val="0"/>
            <w:vAlign w:val="center"/>
          </w:tcPr>
          <w:p w14:paraId="5941EB8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auto"/>
            <w:noWrap w:val="0"/>
            <w:vAlign w:val="center"/>
          </w:tcPr>
          <w:p w14:paraId="3F09E7B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液态</w:t>
            </w:r>
          </w:p>
        </w:tc>
        <w:tc>
          <w:tcPr>
            <w:tcW w:w="247" w:type="pct"/>
            <w:vMerge w:val="continue"/>
            <w:tcBorders>
              <w:tl2br w:val="nil"/>
              <w:tr2bl w:val="nil"/>
            </w:tcBorders>
            <w:shd w:val="clear" w:color="auto" w:fill="FFFFFF"/>
            <w:noWrap w:val="0"/>
            <w:vAlign w:val="center"/>
          </w:tcPr>
          <w:p w14:paraId="27A8EEA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642B2DA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3B85650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0B83732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1ACCF5C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781A1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24289E9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6A79A14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auto"/>
            <w:noWrap w:val="0"/>
            <w:vAlign w:val="center"/>
          </w:tcPr>
          <w:p w14:paraId="1C86B3C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900-215-08</w:t>
            </w:r>
          </w:p>
        </w:tc>
        <w:tc>
          <w:tcPr>
            <w:tcW w:w="495" w:type="pct"/>
            <w:tcBorders>
              <w:tl2br w:val="nil"/>
              <w:tr2bl w:val="nil"/>
            </w:tcBorders>
            <w:shd w:val="clear" w:color="auto" w:fill="auto"/>
            <w:noWrap w:val="0"/>
            <w:vAlign w:val="center"/>
          </w:tcPr>
          <w:p w14:paraId="0DE63C2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shd w:val="clear" w:color="auto" w:fill="auto"/>
            <w:noWrap w:val="0"/>
            <w:vAlign w:val="center"/>
          </w:tcPr>
          <w:p w14:paraId="0745612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auto"/>
            <w:noWrap w:val="0"/>
            <w:vAlign w:val="center"/>
          </w:tcPr>
          <w:p w14:paraId="375D42B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半固态</w:t>
            </w:r>
          </w:p>
        </w:tc>
        <w:tc>
          <w:tcPr>
            <w:tcW w:w="247" w:type="pct"/>
            <w:vMerge w:val="continue"/>
            <w:tcBorders>
              <w:tl2br w:val="nil"/>
              <w:tr2bl w:val="nil"/>
            </w:tcBorders>
            <w:shd w:val="clear" w:color="auto" w:fill="FFFFFF"/>
            <w:noWrap w:val="0"/>
            <w:vAlign w:val="center"/>
          </w:tcPr>
          <w:p w14:paraId="130ABEF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0534C9A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6A3AD09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3F8CECA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55FD96D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0A971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717A783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7593080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auto"/>
            <w:noWrap w:val="0"/>
            <w:vAlign w:val="center"/>
          </w:tcPr>
          <w:p w14:paraId="637596D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900-216-08</w:t>
            </w:r>
          </w:p>
        </w:tc>
        <w:tc>
          <w:tcPr>
            <w:tcW w:w="495" w:type="pct"/>
            <w:tcBorders>
              <w:tl2br w:val="nil"/>
              <w:tr2bl w:val="nil"/>
            </w:tcBorders>
            <w:shd w:val="clear" w:color="auto" w:fill="auto"/>
            <w:noWrap w:val="0"/>
            <w:vAlign w:val="center"/>
          </w:tcPr>
          <w:p w14:paraId="5C6E648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shd w:val="clear" w:color="auto" w:fill="auto"/>
            <w:noWrap w:val="0"/>
            <w:vAlign w:val="center"/>
          </w:tcPr>
          <w:p w14:paraId="0F525B1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auto"/>
            <w:noWrap w:val="0"/>
            <w:vAlign w:val="center"/>
          </w:tcPr>
          <w:p w14:paraId="6B5D7AE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p>
        </w:tc>
        <w:tc>
          <w:tcPr>
            <w:tcW w:w="247" w:type="pct"/>
            <w:vMerge w:val="continue"/>
            <w:tcBorders>
              <w:tl2br w:val="nil"/>
              <w:tr2bl w:val="nil"/>
            </w:tcBorders>
            <w:shd w:val="clear" w:color="auto" w:fill="FFFFFF"/>
            <w:noWrap w:val="0"/>
            <w:vAlign w:val="center"/>
          </w:tcPr>
          <w:p w14:paraId="1B840FE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7B442F6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6A4EA1F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43DFEB8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03EAA4F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1CEE4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4BEEEA8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193424D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auto"/>
            <w:noWrap w:val="0"/>
            <w:vAlign w:val="center"/>
          </w:tcPr>
          <w:p w14:paraId="2CC490B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900-217-08</w:t>
            </w:r>
          </w:p>
        </w:tc>
        <w:tc>
          <w:tcPr>
            <w:tcW w:w="495" w:type="pct"/>
            <w:tcBorders>
              <w:tl2br w:val="nil"/>
              <w:tr2bl w:val="nil"/>
            </w:tcBorders>
            <w:shd w:val="clear" w:color="auto" w:fill="auto"/>
            <w:noWrap w:val="0"/>
            <w:vAlign w:val="center"/>
          </w:tcPr>
          <w:p w14:paraId="1E367FE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shd w:val="clear" w:color="auto" w:fill="auto"/>
            <w:noWrap w:val="0"/>
            <w:vAlign w:val="center"/>
          </w:tcPr>
          <w:p w14:paraId="1AEBF6F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auto"/>
            <w:noWrap w:val="0"/>
            <w:vAlign w:val="center"/>
          </w:tcPr>
          <w:p w14:paraId="5930D64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p>
        </w:tc>
        <w:tc>
          <w:tcPr>
            <w:tcW w:w="247" w:type="pct"/>
            <w:vMerge w:val="continue"/>
            <w:tcBorders>
              <w:tl2br w:val="nil"/>
              <w:tr2bl w:val="nil"/>
            </w:tcBorders>
            <w:shd w:val="clear" w:color="auto" w:fill="FFFFFF"/>
            <w:noWrap w:val="0"/>
            <w:vAlign w:val="center"/>
          </w:tcPr>
          <w:p w14:paraId="179748F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2C1382B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160D64D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4AE3F95B">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0E768C1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5AC5D2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5C5105E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11582A9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auto"/>
            <w:noWrap w:val="0"/>
            <w:vAlign w:val="center"/>
          </w:tcPr>
          <w:p w14:paraId="17E1098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900-218-08</w:t>
            </w:r>
          </w:p>
        </w:tc>
        <w:tc>
          <w:tcPr>
            <w:tcW w:w="495" w:type="pct"/>
            <w:tcBorders>
              <w:tl2br w:val="nil"/>
              <w:tr2bl w:val="nil"/>
            </w:tcBorders>
            <w:shd w:val="clear" w:color="auto" w:fill="auto"/>
            <w:noWrap w:val="0"/>
            <w:vAlign w:val="center"/>
          </w:tcPr>
          <w:p w14:paraId="1027417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shd w:val="clear" w:color="auto" w:fill="auto"/>
            <w:noWrap w:val="0"/>
            <w:vAlign w:val="center"/>
          </w:tcPr>
          <w:p w14:paraId="78EAAD6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auto"/>
            <w:noWrap w:val="0"/>
            <w:vAlign w:val="center"/>
          </w:tcPr>
          <w:p w14:paraId="25EF483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液态</w:t>
            </w:r>
          </w:p>
        </w:tc>
        <w:tc>
          <w:tcPr>
            <w:tcW w:w="247" w:type="pct"/>
            <w:vMerge w:val="continue"/>
            <w:tcBorders>
              <w:tl2br w:val="nil"/>
              <w:tr2bl w:val="nil"/>
            </w:tcBorders>
            <w:shd w:val="clear" w:color="auto" w:fill="FFFFFF"/>
            <w:noWrap w:val="0"/>
            <w:vAlign w:val="center"/>
          </w:tcPr>
          <w:p w14:paraId="43352E8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31EE834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7775CED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0658517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64B8E7E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5C5A6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79C1E3D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64D2968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auto"/>
            <w:noWrap w:val="0"/>
            <w:vAlign w:val="center"/>
          </w:tcPr>
          <w:p w14:paraId="6C29111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900-219-08</w:t>
            </w:r>
          </w:p>
        </w:tc>
        <w:tc>
          <w:tcPr>
            <w:tcW w:w="495" w:type="pct"/>
            <w:tcBorders>
              <w:tl2br w:val="nil"/>
              <w:tr2bl w:val="nil"/>
            </w:tcBorders>
            <w:shd w:val="clear" w:color="auto" w:fill="auto"/>
            <w:noWrap w:val="0"/>
            <w:vAlign w:val="center"/>
          </w:tcPr>
          <w:p w14:paraId="41CD522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shd w:val="clear" w:color="auto" w:fill="auto"/>
            <w:noWrap w:val="0"/>
            <w:vAlign w:val="center"/>
          </w:tcPr>
          <w:p w14:paraId="79C47A4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auto"/>
            <w:noWrap w:val="0"/>
            <w:vAlign w:val="center"/>
          </w:tcPr>
          <w:p w14:paraId="3E63954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液态</w:t>
            </w:r>
          </w:p>
        </w:tc>
        <w:tc>
          <w:tcPr>
            <w:tcW w:w="247" w:type="pct"/>
            <w:vMerge w:val="continue"/>
            <w:tcBorders>
              <w:tl2br w:val="nil"/>
              <w:tr2bl w:val="nil"/>
            </w:tcBorders>
            <w:shd w:val="clear" w:color="auto" w:fill="FFFFFF"/>
            <w:noWrap w:val="0"/>
            <w:vAlign w:val="center"/>
          </w:tcPr>
          <w:p w14:paraId="05DAFC9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665934F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32C28E9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0A1D711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7251ED2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5D70EA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1903268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5DDF2EB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auto"/>
            <w:noWrap w:val="0"/>
            <w:vAlign w:val="center"/>
          </w:tcPr>
          <w:p w14:paraId="0784A9C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900-220-08</w:t>
            </w:r>
          </w:p>
        </w:tc>
        <w:tc>
          <w:tcPr>
            <w:tcW w:w="495" w:type="pct"/>
            <w:tcBorders>
              <w:tl2br w:val="nil"/>
              <w:tr2bl w:val="nil"/>
            </w:tcBorders>
            <w:shd w:val="clear" w:color="auto" w:fill="auto"/>
            <w:noWrap w:val="0"/>
            <w:vAlign w:val="center"/>
          </w:tcPr>
          <w:p w14:paraId="3583D20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shd w:val="clear" w:color="auto" w:fill="auto"/>
            <w:noWrap w:val="0"/>
            <w:vAlign w:val="center"/>
          </w:tcPr>
          <w:p w14:paraId="444AE8F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auto"/>
            <w:noWrap w:val="0"/>
            <w:vAlign w:val="center"/>
          </w:tcPr>
          <w:p w14:paraId="35B05C4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液态</w:t>
            </w:r>
          </w:p>
        </w:tc>
        <w:tc>
          <w:tcPr>
            <w:tcW w:w="247" w:type="pct"/>
            <w:vMerge w:val="continue"/>
            <w:tcBorders>
              <w:tl2br w:val="nil"/>
              <w:tr2bl w:val="nil"/>
            </w:tcBorders>
            <w:shd w:val="clear" w:color="auto" w:fill="FFFFFF"/>
            <w:noWrap w:val="0"/>
            <w:vAlign w:val="center"/>
          </w:tcPr>
          <w:p w14:paraId="0C0EF95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61B4567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53089707">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414D824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4C74628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686CB0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493A7CD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112BF2B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auto"/>
            <w:noWrap w:val="0"/>
            <w:vAlign w:val="center"/>
          </w:tcPr>
          <w:p w14:paraId="7377CAF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900-221-08</w:t>
            </w:r>
          </w:p>
        </w:tc>
        <w:tc>
          <w:tcPr>
            <w:tcW w:w="495" w:type="pct"/>
            <w:tcBorders>
              <w:tl2br w:val="nil"/>
              <w:tr2bl w:val="nil"/>
            </w:tcBorders>
            <w:shd w:val="clear" w:color="auto" w:fill="auto"/>
            <w:noWrap w:val="0"/>
            <w:vAlign w:val="center"/>
          </w:tcPr>
          <w:p w14:paraId="70C6046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shd w:val="clear" w:color="auto" w:fill="auto"/>
            <w:noWrap w:val="0"/>
            <w:vAlign w:val="center"/>
          </w:tcPr>
          <w:p w14:paraId="155E75E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auto"/>
            <w:noWrap w:val="0"/>
            <w:vAlign w:val="center"/>
          </w:tcPr>
          <w:p w14:paraId="0862FD9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val="en-US" w:eastAsia="zh-CN"/>
              </w:rPr>
              <w:t>半固态</w:t>
            </w:r>
          </w:p>
        </w:tc>
        <w:tc>
          <w:tcPr>
            <w:tcW w:w="247" w:type="pct"/>
            <w:vMerge w:val="continue"/>
            <w:tcBorders>
              <w:tl2br w:val="nil"/>
              <w:tr2bl w:val="nil"/>
            </w:tcBorders>
            <w:shd w:val="clear" w:color="auto" w:fill="FFFFFF"/>
            <w:noWrap w:val="0"/>
            <w:vAlign w:val="center"/>
          </w:tcPr>
          <w:p w14:paraId="3E968B7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247" w:type="pct"/>
            <w:vMerge w:val="continue"/>
            <w:tcBorders>
              <w:tl2br w:val="nil"/>
              <w:tr2bl w:val="nil"/>
            </w:tcBorders>
            <w:noWrap w:val="0"/>
            <w:vAlign w:val="center"/>
          </w:tcPr>
          <w:p w14:paraId="0678DA6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30F79E43">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59E40E42">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01BF06F5">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793F6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8" w:type="pct"/>
            <w:vMerge w:val="continue"/>
            <w:tcBorders>
              <w:tl2br w:val="nil"/>
              <w:tr2bl w:val="nil"/>
            </w:tcBorders>
            <w:shd w:val="clear" w:color="auto" w:fill="auto"/>
            <w:noWrap w:val="0"/>
            <w:vAlign w:val="center"/>
          </w:tcPr>
          <w:p w14:paraId="0E0A793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794" w:type="pct"/>
            <w:vMerge w:val="continue"/>
            <w:tcBorders>
              <w:tl2br w:val="nil"/>
              <w:tr2bl w:val="nil"/>
            </w:tcBorders>
            <w:shd w:val="clear" w:color="auto" w:fill="auto"/>
            <w:noWrap w:val="0"/>
            <w:vAlign w:val="center"/>
          </w:tcPr>
          <w:p w14:paraId="20E15DB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867" w:type="pct"/>
            <w:gridSpan w:val="2"/>
            <w:tcBorders>
              <w:tl2br w:val="nil"/>
              <w:tr2bl w:val="nil"/>
            </w:tcBorders>
            <w:shd w:val="clear" w:color="auto" w:fill="auto"/>
            <w:noWrap w:val="0"/>
            <w:vAlign w:val="center"/>
          </w:tcPr>
          <w:p w14:paraId="602FFDF1">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900-249-08</w:t>
            </w:r>
          </w:p>
        </w:tc>
        <w:tc>
          <w:tcPr>
            <w:tcW w:w="495" w:type="pct"/>
            <w:tcBorders>
              <w:tl2br w:val="nil"/>
              <w:tr2bl w:val="nil"/>
            </w:tcBorders>
            <w:shd w:val="clear" w:color="auto" w:fill="auto"/>
            <w:noWrap w:val="0"/>
            <w:vAlign w:val="center"/>
          </w:tcPr>
          <w:p w14:paraId="20F473C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已办证</w:t>
            </w:r>
          </w:p>
        </w:tc>
        <w:tc>
          <w:tcPr>
            <w:tcW w:w="421" w:type="pct"/>
            <w:tcBorders>
              <w:tl2br w:val="nil"/>
              <w:tr2bl w:val="nil"/>
            </w:tcBorders>
            <w:shd w:val="clear" w:color="auto" w:fill="auto"/>
            <w:noWrap w:val="0"/>
            <w:vAlign w:val="center"/>
          </w:tcPr>
          <w:p w14:paraId="65B00A6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T，I</w:t>
            </w:r>
          </w:p>
        </w:tc>
        <w:tc>
          <w:tcPr>
            <w:tcW w:w="426" w:type="pct"/>
            <w:tcBorders>
              <w:tl2br w:val="nil"/>
              <w:tr2bl w:val="nil"/>
            </w:tcBorders>
            <w:shd w:val="clear" w:color="auto" w:fill="auto"/>
            <w:noWrap w:val="0"/>
            <w:vAlign w:val="center"/>
          </w:tcPr>
          <w:p w14:paraId="01CF0EC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r>
              <w:rPr>
                <w:rFonts w:hint="default" w:ascii="Times New Roman" w:hAnsi="Times New Roman" w:eastAsia="宋体" w:cs="Times New Roman"/>
                <w:b w:val="0"/>
                <w:bCs/>
                <w:sz w:val="21"/>
                <w:szCs w:val="21"/>
                <w:lang w:eastAsia="zh-CN"/>
              </w:rPr>
              <w:t>液态</w:t>
            </w:r>
            <w:r>
              <w:rPr>
                <w:rFonts w:hint="default" w:ascii="Times New Roman" w:hAnsi="Times New Roman" w:eastAsia="宋体" w:cs="Times New Roman"/>
                <w:b w:val="0"/>
                <w:bCs/>
                <w:sz w:val="21"/>
                <w:szCs w:val="21"/>
                <w:lang w:val="en-US" w:eastAsia="zh-CN"/>
              </w:rPr>
              <w:t>/半</w:t>
            </w:r>
            <w:r>
              <w:rPr>
                <w:rFonts w:hint="default" w:ascii="Times New Roman" w:hAnsi="Times New Roman" w:eastAsia="宋体" w:cs="Times New Roman"/>
                <w:b w:val="0"/>
                <w:bCs/>
                <w:sz w:val="21"/>
                <w:szCs w:val="21"/>
                <w:lang w:eastAsia="zh-CN"/>
              </w:rPr>
              <w:t>固态</w:t>
            </w:r>
          </w:p>
        </w:tc>
        <w:tc>
          <w:tcPr>
            <w:tcW w:w="247" w:type="pct"/>
            <w:vMerge w:val="continue"/>
            <w:tcBorders>
              <w:tl2br w:val="nil"/>
              <w:tr2bl w:val="nil"/>
            </w:tcBorders>
            <w:shd w:val="clear" w:color="auto" w:fill="FFFFFF"/>
            <w:noWrap w:val="0"/>
            <w:vAlign w:val="center"/>
          </w:tcPr>
          <w:p w14:paraId="1FBBD14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eastAsia="zh-CN"/>
              </w:rPr>
            </w:pPr>
          </w:p>
        </w:tc>
        <w:tc>
          <w:tcPr>
            <w:tcW w:w="247" w:type="pct"/>
            <w:vMerge w:val="continue"/>
            <w:tcBorders>
              <w:tl2br w:val="nil"/>
              <w:tr2bl w:val="nil"/>
            </w:tcBorders>
            <w:noWrap w:val="0"/>
            <w:vAlign w:val="center"/>
          </w:tcPr>
          <w:p w14:paraId="7035B5C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p>
        </w:tc>
        <w:tc>
          <w:tcPr>
            <w:tcW w:w="337" w:type="pct"/>
            <w:vMerge w:val="continue"/>
            <w:tcBorders>
              <w:tl2br w:val="nil"/>
              <w:tr2bl w:val="nil"/>
            </w:tcBorders>
            <w:noWrap w:val="0"/>
            <w:vAlign w:val="center"/>
          </w:tcPr>
          <w:p w14:paraId="0AF5540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381" w:type="pct"/>
            <w:tcBorders>
              <w:tl2br w:val="nil"/>
              <w:tr2bl w:val="nil"/>
            </w:tcBorders>
            <w:noWrap w:val="0"/>
            <w:vAlign w:val="center"/>
          </w:tcPr>
          <w:p w14:paraId="444C411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rPr>
            </w:pPr>
            <w:r>
              <w:rPr>
                <w:rFonts w:hint="default" w:ascii="Times New Roman" w:hAnsi="Times New Roman" w:eastAsia="宋体" w:cs="Times New Roman"/>
                <w:b w:val="0"/>
                <w:bCs/>
                <w:sz w:val="21"/>
                <w:szCs w:val="21"/>
                <w:lang w:val="en-US" w:eastAsia="zh-CN"/>
              </w:rPr>
              <w:t>/</w:t>
            </w:r>
          </w:p>
        </w:tc>
        <w:tc>
          <w:tcPr>
            <w:tcW w:w="562" w:type="pct"/>
            <w:vMerge w:val="continue"/>
            <w:tcBorders>
              <w:tl2br w:val="nil"/>
              <w:tr2bl w:val="nil"/>
            </w:tcBorders>
            <w:noWrap w:val="0"/>
            <w:vAlign w:val="center"/>
          </w:tcPr>
          <w:p w14:paraId="6D5F7FE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r>
      <w:tr w14:paraId="457EFF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12" w:type="pct"/>
            <w:gridSpan w:val="2"/>
            <w:tcBorders>
              <w:tl2br w:val="nil"/>
              <w:tr2bl w:val="nil"/>
            </w:tcBorders>
            <w:noWrap w:val="0"/>
            <w:vAlign w:val="center"/>
          </w:tcPr>
          <w:p w14:paraId="539CC6CF">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合计</w:t>
            </w:r>
          </w:p>
        </w:tc>
        <w:tc>
          <w:tcPr>
            <w:tcW w:w="867" w:type="pct"/>
            <w:gridSpan w:val="2"/>
            <w:tcBorders>
              <w:tl2br w:val="nil"/>
              <w:tr2bl w:val="nil"/>
            </w:tcBorders>
            <w:noWrap w:val="0"/>
            <w:vAlign w:val="center"/>
          </w:tcPr>
          <w:p w14:paraId="7656948A">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t>
            </w:r>
          </w:p>
        </w:tc>
        <w:tc>
          <w:tcPr>
            <w:tcW w:w="495" w:type="pct"/>
            <w:tcBorders>
              <w:tl2br w:val="nil"/>
              <w:tr2bl w:val="nil"/>
            </w:tcBorders>
            <w:noWrap w:val="0"/>
            <w:vAlign w:val="center"/>
          </w:tcPr>
          <w:p w14:paraId="60098500">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p>
        </w:tc>
        <w:tc>
          <w:tcPr>
            <w:tcW w:w="421" w:type="pct"/>
            <w:tcBorders>
              <w:tl2br w:val="nil"/>
              <w:tr2bl w:val="nil"/>
            </w:tcBorders>
            <w:noWrap w:val="0"/>
            <w:vAlign w:val="center"/>
          </w:tcPr>
          <w:p w14:paraId="35B1AE3E">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t>
            </w:r>
          </w:p>
        </w:tc>
        <w:tc>
          <w:tcPr>
            <w:tcW w:w="426" w:type="pct"/>
            <w:tcBorders>
              <w:tl2br w:val="nil"/>
              <w:tr2bl w:val="nil"/>
            </w:tcBorders>
            <w:noWrap w:val="0"/>
            <w:vAlign w:val="center"/>
          </w:tcPr>
          <w:p w14:paraId="3CA01079">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t>
            </w:r>
          </w:p>
        </w:tc>
        <w:tc>
          <w:tcPr>
            <w:tcW w:w="247" w:type="pct"/>
            <w:tcBorders>
              <w:tl2br w:val="nil"/>
              <w:tr2bl w:val="nil"/>
            </w:tcBorders>
            <w:noWrap w:val="0"/>
            <w:vAlign w:val="center"/>
          </w:tcPr>
          <w:p w14:paraId="6C2F575C">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9800</w:t>
            </w:r>
          </w:p>
        </w:tc>
        <w:tc>
          <w:tcPr>
            <w:tcW w:w="247" w:type="pct"/>
            <w:tcBorders>
              <w:tl2br w:val="nil"/>
              <w:tr2bl w:val="nil"/>
            </w:tcBorders>
            <w:noWrap w:val="0"/>
            <w:vAlign w:val="center"/>
          </w:tcPr>
          <w:p w14:paraId="2D4C8D56">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9800</w:t>
            </w:r>
          </w:p>
        </w:tc>
        <w:tc>
          <w:tcPr>
            <w:tcW w:w="337" w:type="pct"/>
            <w:tcBorders>
              <w:tl2br w:val="nil"/>
              <w:tr2bl w:val="nil"/>
            </w:tcBorders>
            <w:noWrap w:val="0"/>
            <w:vAlign w:val="center"/>
          </w:tcPr>
          <w:p w14:paraId="3DDD57E4">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b w:val="0"/>
                <w:bCs/>
                <w:color w:val="auto"/>
                <w:sz w:val="21"/>
                <w:szCs w:val="21"/>
                <w:lang w:val="en-US" w:eastAsia="zh-CN"/>
              </w:rPr>
              <w:t>167</w:t>
            </w:r>
          </w:p>
        </w:tc>
        <w:tc>
          <w:tcPr>
            <w:tcW w:w="381" w:type="pct"/>
            <w:tcBorders>
              <w:tl2br w:val="nil"/>
              <w:tr2bl w:val="nil"/>
            </w:tcBorders>
            <w:noWrap w:val="0"/>
            <w:vAlign w:val="center"/>
          </w:tcPr>
          <w:p w14:paraId="55747D78">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t>
            </w:r>
          </w:p>
        </w:tc>
        <w:tc>
          <w:tcPr>
            <w:tcW w:w="562" w:type="pct"/>
            <w:tcBorders>
              <w:tl2br w:val="nil"/>
              <w:tr2bl w:val="nil"/>
            </w:tcBorders>
            <w:noWrap w:val="0"/>
            <w:vAlign w:val="center"/>
          </w:tcPr>
          <w:p w14:paraId="0552DAAD">
            <w:pPr>
              <w:pStyle w:val="10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textAlignment w:val="baseline"/>
              <w:rPr>
                <w:rFonts w:hint="default" w:ascii="Times New Roman" w:hAnsi="Times New Roman" w:eastAsia="宋体" w:cs="Times New Roman"/>
                <w:b w:val="0"/>
                <w:bCs/>
                <w:sz w:val="21"/>
                <w:szCs w:val="21"/>
                <w:lang w:val="en-US" w:eastAsia="zh-CN"/>
              </w:rPr>
            </w:pPr>
            <w:r>
              <w:rPr>
                <w:rFonts w:hint="default" w:ascii="Times New Roman" w:hAnsi="Times New Roman" w:eastAsia="宋体" w:cs="Times New Roman"/>
                <w:b w:val="0"/>
                <w:bCs/>
                <w:sz w:val="21"/>
                <w:szCs w:val="21"/>
                <w:lang w:val="en-US" w:eastAsia="zh-CN"/>
              </w:rPr>
              <w:t>/</w:t>
            </w:r>
          </w:p>
        </w:tc>
      </w:tr>
    </w:tbl>
    <w:p w14:paraId="75EEC5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eastAsia="宋体" w:cs="Times New Roman"/>
          <w:color w:val="000000"/>
          <w:sz w:val="24"/>
          <w:szCs w:val="24"/>
          <w:u w:val="none"/>
        </w:rPr>
      </w:pPr>
      <w:r>
        <w:rPr>
          <w:rFonts w:hint="default" w:ascii="Times New Roman" w:hAnsi="Times New Roman" w:eastAsia="宋体" w:cs="Times New Roman"/>
          <w:b w:val="0"/>
          <w:bCs/>
          <w:color w:val="000000"/>
          <w:sz w:val="24"/>
          <w:szCs w:val="24"/>
          <w:lang w:eastAsia="zh-CN"/>
        </w:rPr>
        <w:t>注：储罐最大储存体积为总容积的</w:t>
      </w:r>
      <w:r>
        <w:rPr>
          <w:rFonts w:hint="default" w:ascii="Times New Roman" w:hAnsi="Times New Roman" w:eastAsia="宋体" w:cs="Times New Roman"/>
          <w:b w:val="0"/>
          <w:bCs/>
          <w:color w:val="000000"/>
          <w:sz w:val="24"/>
          <w:szCs w:val="24"/>
          <w:lang w:val="en-US" w:eastAsia="zh-CN"/>
        </w:rPr>
        <w:t>80%。</w:t>
      </w:r>
    </w:p>
    <w:p w14:paraId="4D89899E">
      <w:pPr>
        <w:spacing w:line="360" w:lineRule="auto"/>
        <w:ind w:firstLine="480" w:firstLineChars="200"/>
        <w:jc w:val="left"/>
        <w:rPr>
          <w:rFonts w:hint="default" w:ascii="Times New Roman" w:hAnsi="Times New Roman" w:eastAsia="宋体" w:cs="Times New Roman"/>
          <w:b/>
          <w:color w:val="auto"/>
          <w:sz w:val="24"/>
          <w:szCs w:val="24"/>
          <w:u w:val="single" w:color="auto"/>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000000"/>
          <w:sz w:val="24"/>
          <w:szCs w:val="24"/>
          <w:u w:val="none"/>
          <w:lang w:eastAsia="zh-CN"/>
        </w:rPr>
        <w:t>根据《国家危险废物名录》（</w:t>
      </w:r>
      <w:r>
        <w:rPr>
          <w:rFonts w:hint="default" w:ascii="Times New Roman" w:hAnsi="Times New Roman" w:eastAsia="宋体" w:cs="Times New Roman"/>
          <w:color w:val="000000"/>
          <w:sz w:val="24"/>
          <w:szCs w:val="24"/>
          <w:u w:val="none"/>
          <w:lang w:val="en-US" w:eastAsia="zh-CN"/>
        </w:rPr>
        <w:t>2021年版</w:t>
      </w: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lang w:val="en-US" w:eastAsia="zh-CN"/>
        </w:rPr>
        <w:t>及经营许可证</w:t>
      </w:r>
      <w:r>
        <w:rPr>
          <w:rFonts w:hint="default" w:ascii="Times New Roman" w:hAnsi="Times New Roman" w:eastAsia="宋体" w:cs="Times New Roman"/>
          <w:color w:val="000000"/>
          <w:sz w:val="24"/>
          <w:szCs w:val="24"/>
          <w:u w:val="none"/>
          <w:lang w:eastAsia="zh-CN"/>
        </w:rPr>
        <w:t>，</w:t>
      </w:r>
      <w:r>
        <w:rPr>
          <w:rFonts w:hint="default" w:ascii="Times New Roman" w:hAnsi="Times New Roman" w:eastAsia="宋体" w:cs="Times New Roman"/>
          <w:color w:val="000000"/>
          <w:sz w:val="24"/>
          <w:szCs w:val="24"/>
          <w:u w:val="none"/>
          <w:lang w:val="en-US" w:eastAsia="zh-CN"/>
        </w:rPr>
        <w:t>现有项目目前实际经营的</w:t>
      </w:r>
      <w:r>
        <w:rPr>
          <w:rFonts w:hint="default" w:ascii="Times New Roman" w:hAnsi="Times New Roman" w:eastAsia="宋体" w:cs="Times New Roman"/>
          <w:color w:val="000000"/>
          <w:sz w:val="24"/>
          <w:szCs w:val="24"/>
          <w:u w:val="none"/>
          <w:lang w:eastAsia="zh-CN"/>
        </w:rPr>
        <w:t>危险废物收集类别为</w:t>
      </w:r>
      <w:r>
        <w:rPr>
          <w:rFonts w:hint="default" w:ascii="Times New Roman" w:hAnsi="Times New Roman" w:eastAsia="宋体" w:cs="Times New Roman"/>
          <w:color w:val="000000"/>
          <w:sz w:val="24"/>
          <w:szCs w:val="24"/>
          <w:u w:val="none"/>
          <w:lang w:val="en-US" w:eastAsia="zh-CN"/>
        </w:rPr>
        <w:t>上表中已办证的9个大类，25个小类。</w:t>
      </w:r>
    </w:p>
    <w:p w14:paraId="0D3C1A61">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3.3.5</w:t>
      </w:r>
      <w:r>
        <w:rPr>
          <w:rFonts w:hint="default" w:ascii="Times New Roman" w:hAnsi="Times New Roman" w:eastAsia="宋体" w:cs="Times New Roman"/>
          <w:kern w:val="0"/>
          <w:sz w:val="24"/>
        </w:rPr>
        <w:t>现有工程主要生产设备清单</w:t>
      </w:r>
    </w:p>
    <w:p w14:paraId="527E1FD2">
      <w:pPr>
        <w:pStyle w:val="41"/>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表3.3-</w:t>
      </w:r>
      <w:r>
        <w:rPr>
          <w:rFonts w:hint="default" w:ascii="Times New Roman" w:hAnsi="Times New Roman" w:eastAsia="宋体" w:cs="Times New Roman"/>
          <w:b/>
          <w:color w:val="000000"/>
          <w:sz w:val="21"/>
          <w:szCs w:val="21"/>
          <w:lang w:val="en-US" w:eastAsia="zh-CN"/>
        </w:rPr>
        <w:t>3</w:t>
      </w:r>
      <w:r>
        <w:rPr>
          <w:rFonts w:hint="default" w:ascii="Times New Roman" w:hAnsi="Times New Roman" w:eastAsia="宋体" w:cs="Times New Roman"/>
          <w:b/>
          <w:color w:val="000000"/>
          <w:sz w:val="21"/>
          <w:szCs w:val="21"/>
        </w:rPr>
        <w:t xml:space="preserve">  现有工程主要生产设备清单</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890"/>
        <w:gridCol w:w="1919"/>
        <w:gridCol w:w="667"/>
        <w:gridCol w:w="2300"/>
        <w:gridCol w:w="1227"/>
      </w:tblGrid>
      <w:tr w14:paraId="71F298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02" w:type="pct"/>
            <w:tcBorders>
              <w:tl2br w:val="nil"/>
              <w:tr2bl w:val="nil"/>
            </w:tcBorders>
            <w:noWrap w:val="0"/>
            <w:vAlign w:val="center"/>
          </w:tcPr>
          <w:p w14:paraId="2C95E0C7">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序号</w:t>
            </w:r>
          </w:p>
        </w:tc>
        <w:tc>
          <w:tcPr>
            <w:tcW w:w="1109" w:type="pct"/>
            <w:tcBorders>
              <w:tl2br w:val="nil"/>
              <w:tr2bl w:val="nil"/>
            </w:tcBorders>
            <w:noWrap w:val="0"/>
            <w:vAlign w:val="center"/>
          </w:tcPr>
          <w:p w14:paraId="5BFA6E39">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设施名称</w:t>
            </w:r>
          </w:p>
        </w:tc>
        <w:tc>
          <w:tcPr>
            <w:tcW w:w="1126" w:type="pct"/>
            <w:tcBorders>
              <w:tl2br w:val="nil"/>
              <w:tr2bl w:val="nil"/>
            </w:tcBorders>
            <w:noWrap w:val="0"/>
            <w:vAlign w:val="center"/>
          </w:tcPr>
          <w:p w14:paraId="3F3F8692">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型号/规格</w:t>
            </w:r>
          </w:p>
        </w:tc>
        <w:tc>
          <w:tcPr>
            <w:tcW w:w="391" w:type="pct"/>
            <w:tcBorders>
              <w:tl2br w:val="nil"/>
              <w:tr2bl w:val="nil"/>
            </w:tcBorders>
            <w:noWrap w:val="0"/>
            <w:vAlign w:val="center"/>
          </w:tcPr>
          <w:p w14:paraId="141F3A34">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数量</w:t>
            </w:r>
          </w:p>
        </w:tc>
        <w:tc>
          <w:tcPr>
            <w:tcW w:w="1349" w:type="pct"/>
            <w:tcBorders>
              <w:tl2br w:val="nil"/>
              <w:tr2bl w:val="nil"/>
            </w:tcBorders>
            <w:noWrap w:val="0"/>
            <w:vAlign w:val="center"/>
          </w:tcPr>
          <w:p w14:paraId="178ABFB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使用地点</w:t>
            </w:r>
          </w:p>
        </w:tc>
        <w:tc>
          <w:tcPr>
            <w:tcW w:w="720" w:type="pct"/>
            <w:tcBorders>
              <w:tl2br w:val="nil"/>
              <w:tr2bl w:val="nil"/>
            </w:tcBorders>
            <w:noWrap w:val="0"/>
            <w:vAlign w:val="center"/>
          </w:tcPr>
          <w:p w14:paraId="58E5134E">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工序/备注</w:t>
            </w:r>
          </w:p>
        </w:tc>
      </w:tr>
      <w:tr w14:paraId="49C37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6"/>
            <w:tcBorders>
              <w:tl2br w:val="nil"/>
              <w:tr2bl w:val="nil"/>
            </w:tcBorders>
            <w:noWrap w:val="0"/>
            <w:vAlign w:val="center"/>
          </w:tcPr>
          <w:p w14:paraId="1713EB32">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一、其它危废贮存区</w:t>
            </w:r>
          </w:p>
        </w:tc>
      </w:tr>
      <w:tr w14:paraId="270AB2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2" w:type="pct"/>
            <w:tcBorders>
              <w:tl2br w:val="nil"/>
              <w:tr2bl w:val="nil"/>
            </w:tcBorders>
            <w:noWrap w:val="0"/>
            <w:vAlign w:val="center"/>
          </w:tcPr>
          <w:p w14:paraId="6B1DEF2E">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w:t>
            </w:r>
          </w:p>
        </w:tc>
        <w:tc>
          <w:tcPr>
            <w:tcW w:w="1109" w:type="pct"/>
            <w:tcBorders>
              <w:tl2br w:val="nil"/>
              <w:tr2bl w:val="nil"/>
            </w:tcBorders>
            <w:noWrap w:val="0"/>
            <w:vAlign w:val="center"/>
          </w:tcPr>
          <w:p w14:paraId="645929CC">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液压机</w:t>
            </w:r>
          </w:p>
        </w:tc>
        <w:tc>
          <w:tcPr>
            <w:tcW w:w="1126" w:type="pct"/>
            <w:tcBorders>
              <w:tl2br w:val="nil"/>
              <w:tr2bl w:val="nil"/>
            </w:tcBorders>
            <w:noWrap w:val="0"/>
            <w:vAlign w:val="center"/>
          </w:tcPr>
          <w:p w14:paraId="5001288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391" w:type="pct"/>
            <w:tcBorders>
              <w:tl2br w:val="nil"/>
              <w:tr2bl w:val="nil"/>
            </w:tcBorders>
            <w:noWrap w:val="0"/>
            <w:vAlign w:val="center"/>
          </w:tcPr>
          <w:p w14:paraId="190589F4">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1台</w:t>
            </w:r>
          </w:p>
        </w:tc>
        <w:tc>
          <w:tcPr>
            <w:tcW w:w="1349" w:type="pct"/>
            <w:tcBorders>
              <w:tl2br w:val="nil"/>
              <w:tr2bl w:val="nil"/>
            </w:tcBorders>
            <w:noWrap w:val="0"/>
            <w:vAlign w:val="center"/>
          </w:tcPr>
          <w:p w14:paraId="27E61FEA">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压缩机房</w:t>
            </w:r>
          </w:p>
        </w:tc>
        <w:tc>
          <w:tcPr>
            <w:tcW w:w="720" w:type="pct"/>
            <w:tcBorders>
              <w:tl2br w:val="nil"/>
              <w:tr2bl w:val="nil"/>
            </w:tcBorders>
            <w:noWrap w:val="0"/>
            <w:vAlign w:val="center"/>
          </w:tcPr>
          <w:p w14:paraId="5F712C23">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打包</w:t>
            </w:r>
          </w:p>
        </w:tc>
      </w:tr>
      <w:tr w14:paraId="129CBE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2" w:type="pct"/>
            <w:tcBorders>
              <w:tl2br w:val="nil"/>
              <w:tr2bl w:val="nil"/>
            </w:tcBorders>
            <w:noWrap w:val="0"/>
            <w:vAlign w:val="center"/>
          </w:tcPr>
          <w:p w14:paraId="050660F9">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2</w:t>
            </w:r>
          </w:p>
        </w:tc>
        <w:tc>
          <w:tcPr>
            <w:tcW w:w="1109" w:type="pct"/>
            <w:tcBorders>
              <w:tl2br w:val="nil"/>
              <w:tr2bl w:val="nil"/>
            </w:tcBorders>
            <w:noWrap w:val="0"/>
            <w:vAlign w:val="center"/>
          </w:tcPr>
          <w:p w14:paraId="007BBD72">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叉车</w:t>
            </w:r>
          </w:p>
        </w:tc>
        <w:tc>
          <w:tcPr>
            <w:tcW w:w="1126" w:type="pct"/>
            <w:tcBorders>
              <w:tl2br w:val="nil"/>
              <w:tr2bl w:val="nil"/>
            </w:tcBorders>
            <w:noWrap w:val="0"/>
            <w:vAlign w:val="center"/>
          </w:tcPr>
          <w:p w14:paraId="51758EB0">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391" w:type="pct"/>
            <w:tcBorders>
              <w:tl2br w:val="nil"/>
              <w:tr2bl w:val="nil"/>
            </w:tcBorders>
            <w:noWrap w:val="0"/>
            <w:vAlign w:val="center"/>
          </w:tcPr>
          <w:p w14:paraId="5A563022">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1台</w:t>
            </w:r>
          </w:p>
        </w:tc>
        <w:tc>
          <w:tcPr>
            <w:tcW w:w="1349" w:type="pct"/>
            <w:tcBorders>
              <w:tl2br w:val="nil"/>
              <w:tr2bl w:val="nil"/>
            </w:tcBorders>
            <w:noWrap w:val="0"/>
            <w:vAlign w:val="center"/>
          </w:tcPr>
          <w:p w14:paraId="68CF70F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厂区内</w:t>
            </w:r>
          </w:p>
        </w:tc>
        <w:tc>
          <w:tcPr>
            <w:tcW w:w="720" w:type="pct"/>
            <w:tcBorders>
              <w:tl2br w:val="nil"/>
              <w:tr2bl w:val="nil"/>
            </w:tcBorders>
            <w:noWrap w:val="0"/>
            <w:vAlign w:val="center"/>
          </w:tcPr>
          <w:p w14:paraId="14EBAE08">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厂内运输</w:t>
            </w:r>
          </w:p>
        </w:tc>
      </w:tr>
      <w:tr w14:paraId="1AEB9E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2" w:type="pct"/>
            <w:tcBorders>
              <w:tl2br w:val="nil"/>
              <w:tr2bl w:val="nil"/>
            </w:tcBorders>
            <w:noWrap w:val="0"/>
            <w:vAlign w:val="center"/>
          </w:tcPr>
          <w:p w14:paraId="5ABBF3EB">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3</w:t>
            </w:r>
          </w:p>
        </w:tc>
        <w:tc>
          <w:tcPr>
            <w:tcW w:w="1109" w:type="pct"/>
            <w:tcBorders>
              <w:tl2br w:val="nil"/>
              <w:tr2bl w:val="nil"/>
            </w:tcBorders>
            <w:noWrap w:val="0"/>
            <w:vAlign w:val="center"/>
          </w:tcPr>
          <w:p w14:paraId="50E31010">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地磅</w:t>
            </w:r>
          </w:p>
        </w:tc>
        <w:tc>
          <w:tcPr>
            <w:tcW w:w="1126" w:type="pct"/>
            <w:tcBorders>
              <w:tl2br w:val="nil"/>
              <w:tr2bl w:val="nil"/>
            </w:tcBorders>
            <w:noWrap w:val="0"/>
            <w:vAlign w:val="center"/>
          </w:tcPr>
          <w:p w14:paraId="40AD62C0">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391" w:type="pct"/>
            <w:tcBorders>
              <w:tl2br w:val="nil"/>
              <w:tr2bl w:val="nil"/>
            </w:tcBorders>
            <w:noWrap w:val="0"/>
            <w:vAlign w:val="center"/>
          </w:tcPr>
          <w:p w14:paraId="7565D237">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1台</w:t>
            </w:r>
          </w:p>
        </w:tc>
        <w:tc>
          <w:tcPr>
            <w:tcW w:w="1349" w:type="pct"/>
            <w:tcBorders>
              <w:tl2br w:val="nil"/>
              <w:tr2bl w:val="nil"/>
            </w:tcBorders>
            <w:noWrap w:val="0"/>
            <w:vAlign w:val="center"/>
          </w:tcPr>
          <w:p w14:paraId="4B8F68DD">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厂区内</w:t>
            </w:r>
          </w:p>
        </w:tc>
        <w:tc>
          <w:tcPr>
            <w:tcW w:w="720" w:type="pct"/>
            <w:tcBorders>
              <w:tl2br w:val="nil"/>
              <w:tr2bl w:val="nil"/>
            </w:tcBorders>
            <w:noWrap w:val="0"/>
            <w:vAlign w:val="center"/>
          </w:tcPr>
          <w:p w14:paraId="422651DF">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称重</w:t>
            </w:r>
          </w:p>
        </w:tc>
      </w:tr>
      <w:tr w14:paraId="0BAD7F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2" w:type="pct"/>
            <w:tcBorders>
              <w:tl2br w:val="nil"/>
              <w:tr2bl w:val="nil"/>
            </w:tcBorders>
            <w:noWrap w:val="0"/>
            <w:vAlign w:val="center"/>
          </w:tcPr>
          <w:p w14:paraId="5FFC18E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4</w:t>
            </w:r>
          </w:p>
        </w:tc>
        <w:tc>
          <w:tcPr>
            <w:tcW w:w="1109" w:type="pct"/>
            <w:tcBorders>
              <w:tl2br w:val="nil"/>
              <w:tr2bl w:val="nil"/>
            </w:tcBorders>
            <w:noWrap w:val="0"/>
            <w:vAlign w:val="center"/>
          </w:tcPr>
          <w:p w14:paraId="7F3FFEBB">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计量柜</w:t>
            </w:r>
          </w:p>
        </w:tc>
        <w:tc>
          <w:tcPr>
            <w:tcW w:w="1126" w:type="pct"/>
            <w:tcBorders>
              <w:tl2br w:val="nil"/>
              <w:tr2bl w:val="nil"/>
            </w:tcBorders>
            <w:noWrap w:val="0"/>
            <w:vAlign w:val="center"/>
          </w:tcPr>
          <w:p w14:paraId="419E1F63">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391" w:type="pct"/>
            <w:tcBorders>
              <w:tl2br w:val="nil"/>
              <w:tr2bl w:val="nil"/>
            </w:tcBorders>
            <w:noWrap w:val="0"/>
            <w:vAlign w:val="center"/>
          </w:tcPr>
          <w:p w14:paraId="43DB97C0">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1台</w:t>
            </w:r>
          </w:p>
        </w:tc>
        <w:tc>
          <w:tcPr>
            <w:tcW w:w="1349" w:type="pct"/>
            <w:tcBorders>
              <w:tl2br w:val="nil"/>
              <w:tr2bl w:val="nil"/>
            </w:tcBorders>
            <w:noWrap w:val="0"/>
            <w:vAlign w:val="center"/>
          </w:tcPr>
          <w:p w14:paraId="45C6DE13">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危险废物暂存仓库</w:t>
            </w:r>
          </w:p>
        </w:tc>
        <w:tc>
          <w:tcPr>
            <w:tcW w:w="720" w:type="pct"/>
            <w:tcBorders>
              <w:tl2br w:val="nil"/>
              <w:tr2bl w:val="nil"/>
            </w:tcBorders>
            <w:noWrap w:val="0"/>
            <w:vAlign w:val="center"/>
          </w:tcPr>
          <w:p w14:paraId="14932E23">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贮存</w:t>
            </w:r>
          </w:p>
        </w:tc>
      </w:tr>
      <w:tr w14:paraId="6968E9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2" w:type="pct"/>
            <w:tcBorders>
              <w:tl2br w:val="nil"/>
              <w:tr2bl w:val="nil"/>
            </w:tcBorders>
            <w:noWrap w:val="0"/>
            <w:vAlign w:val="center"/>
          </w:tcPr>
          <w:p w14:paraId="4EC6ED4C">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5</w:t>
            </w:r>
          </w:p>
        </w:tc>
        <w:tc>
          <w:tcPr>
            <w:tcW w:w="1109" w:type="pct"/>
            <w:tcBorders>
              <w:tl2br w:val="nil"/>
              <w:tr2bl w:val="nil"/>
            </w:tcBorders>
            <w:noWrap w:val="0"/>
            <w:vAlign w:val="center"/>
          </w:tcPr>
          <w:p w14:paraId="311B720F">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仓库式贮存设施</w:t>
            </w:r>
          </w:p>
        </w:tc>
        <w:tc>
          <w:tcPr>
            <w:tcW w:w="1126" w:type="pct"/>
            <w:tcBorders>
              <w:tl2br w:val="nil"/>
              <w:tr2bl w:val="nil"/>
            </w:tcBorders>
            <w:noWrap w:val="0"/>
            <w:vAlign w:val="center"/>
          </w:tcPr>
          <w:p w14:paraId="68E88C9D">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906.04m</w:t>
            </w:r>
            <w:r>
              <w:rPr>
                <w:rFonts w:hint="default" w:ascii="Times New Roman" w:hAnsi="Times New Roman" w:eastAsia="宋体" w:cs="Times New Roman"/>
                <w:i w:val="0"/>
                <w:iCs w:val="0"/>
                <w:color w:val="auto"/>
                <w:spacing w:val="4"/>
                <w:sz w:val="21"/>
                <w:szCs w:val="21"/>
                <w:u w:val="none" w:color="auto"/>
                <w:vertAlign w:val="superscript"/>
                <w:lang w:val="en-US" w:eastAsia="zh-CN"/>
              </w:rPr>
              <w:t>2</w:t>
            </w:r>
          </w:p>
        </w:tc>
        <w:tc>
          <w:tcPr>
            <w:tcW w:w="391" w:type="pct"/>
            <w:tcBorders>
              <w:tl2br w:val="nil"/>
              <w:tr2bl w:val="nil"/>
            </w:tcBorders>
            <w:noWrap w:val="0"/>
            <w:vAlign w:val="center"/>
          </w:tcPr>
          <w:p w14:paraId="2E48759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27个</w:t>
            </w:r>
          </w:p>
        </w:tc>
        <w:tc>
          <w:tcPr>
            <w:tcW w:w="1349" w:type="pct"/>
            <w:tcBorders>
              <w:tl2br w:val="nil"/>
              <w:tr2bl w:val="nil"/>
            </w:tcBorders>
            <w:noWrap w:val="0"/>
            <w:vAlign w:val="center"/>
          </w:tcPr>
          <w:p w14:paraId="7C79C70E">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危险废物暂存仓库</w:t>
            </w:r>
          </w:p>
        </w:tc>
        <w:tc>
          <w:tcPr>
            <w:tcW w:w="720" w:type="pct"/>
            <w:tcBorders>
              <w:tl2br w:val="nil"/>
              <w:tr2bl w:val="nil"/>
            </w:tcBorders>
            <w:noWrap w:val="0"/>
            <w:vAlign w:val="center"/>
          </w:tcPr>
          <w:p w14:paraId="6412810A">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贮存</w:t>
            </w:r>
          </w:p>
        </w:tc>
      </w:tr>
      <w:tr w14:paraId="64ED01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2" w:type="pct"/>
            <w:tcBorders>
              <w:tl2br w:val="nil"/>
              <w:tr2bl w:val="nil"/>
            </w:tcBorders>
            <w:noWrap w:val="0"/>
            <w:vAlign w:val="center"/>
          </w:tcPr>
          <w:p w14:paraId="52974B3E">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6</w:t>
            </w:r>
          </w:p>
        </w:tc>
        <w:tc>
          <w:tcPr>
            <w:tcW w:w="1109" w:type="pct"/>
            <w:tcBorders>
              <w:tl2br w:val="nil"/>
              <w:tr2bl w:val="nil"/>
            </w:tcBorders>
            <w:noWrap w:val="0"/>
            <w:vAlign w:val="center"/>
          </w:tcPr>
          <w:p w14:paraId="7BC6AE80">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泄漏液体收集装置</w:t>
            </w:r>
          </w:p>
        </w:tc>
        <w:tc>
          <w:tcPr>
            <w:tcW w:w="1126" w:type="pct"/>
            <w:tcBorders>
              <w:tl2br w:val="nil"/>
              <w:tr2bl w:val="nil"/>
            </w:tcBorders>
            <w:noWrap w:val="0"/>
            <w:vAlign w:val="center"/>
          </w:tcPr>
          <w:p w14:paraId="2C0586F0">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391" w:type="pct"/>
            <w:tcBorders>
              <w:tl2br w:val="nil"/>
              <w:tr2bl w:val="nil"/>
            </w:tcBorders>
            <w:noWrap w:val="0"/>
            <w:vAlign w:val="center"/>
          </w:tcPr>
          <w:p w14:paraId="71848B48">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数个</w:t>
            </w:r>
          </w:p>
        </w:tc>
        <w:tc>
          <w:tcPr>
            <w:tcW w:w="1349" w:type="pct"/>
            <w:tcBorders>
              <w:tl2br w:val="nil"/>
              <w:tr2bl w:val="nil"/>
            </w:tcBorders>
            <w:noWrap w:val="0"/>
            <w:vAlign w:val="center"/>
          </w:tcPr>
          <w:p w14:paraId="69727EE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危险废物暂存仓库</w:t>
            </w:r>
          </w:p>
        </w:tc>
        <w:tc>
          <w:tcPr>
            <w:tcW w:w="720" w:type="pct"/>
            <w:tcBorders>
              <w:tl2br w:val="nil"/>
              <w:tr2bl w:val="nil"/>
            </w:tcBorders>
            <w:noWrap w:val="0"/>
            <w:vAlign w:val="center"/>
          </w:tcPr>
          <w:p w14:paraId="6DB1B227">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应急</w:t>
            </w:r>
          </w:p>
        </w:tc>
      </w:tr>
      <w:tr w14:paraId="15BCA6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2" w:type="pct"/>
            <w:tcBorders>
              <w:tl2br w:val="nil"/>
              <w:tr2bl w:val="nil"/>
            </w:tcBorders>
            <w:noWrap w:val="0"/>
            <w:vAlign w:val="center"/>
          </w:tcPr>
          <w:p w14:paraId="51C051B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7</w:t>
            </w:r>
          </w:p>
        </w:tc>
        <w:tc>
          <w:tcPr>
            <w:tcW w:w="1109" w:type="pct"/>
            <w:tcBorders>
              <w:tl2br w:val="nil"/>
              <w:tr2bl w:val="nil"/>
            </w:tcBorders>
            <w:noWrap w:val="0"/>
            <w:vAlign w:val="center"/>
          </w:tcPr>
          <w:p w14:paraId="0F75A387">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防渗层</w:t>
            </w:r>
          </w:p>
        </w:tc>
        <w:tc>
          <w:tcPr>
            <w:tcW w:w="3587" w:type="pct"/>
            <w:gridSpan w:val="4"/>
            <w:tcBorders>
              <w:tl2br w:val="nil"/>
              <w:tr2bl w:val="nil"/>
            </w:tcBorders>
            <w:noWrap w:val="0"/>
            <w:vAlign w:val="center"/>
          </w:tcPr>
          <w:p w14:paraId="6564EA51">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防渗层材质：2mm厚高密度乙烯，防腐层材质：环氧树脂</w:t>
            </w:r>
          </w:p>
        </w:tc>
      </w:tr>
      <w:tr w14:paraId="3402CC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2" w:type="pct"/>
            <w:tcBorders>
              <w:tl2br w:val="nil"/>
              <w:tr2bl w:val="nil"/>
            </w:tcBorders>
            <w:noWrap w:val="0"/>
            <w:vAlign w:val="center"/>
          </w:tcPr>
          <w:p w14:paraId="778BE4C9">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8</w:t>
            </w:r>
          </w:p>
        </w:tc>
        <w:tc>
          <w:tcPr>
            <w:tcW w:w="1109" w:type="pct"/>
            <w:tcBorders>
              <w:tl2br w:val="nil"/>
              <w:tr2bl w:val="nil"/>
            </w:tcBorders>
            <w:noWrap w:val="0"/>
            <w:vAlign w:val="center"/>
          </w:tcPr>
          <w:p w14:paraId="486390D1">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污水处理设施</w:t>
            </w:r>
          </w:p>
        </w:tc>
        <w:tc>
          <w:tcPr>
            <w:tcW w:w="1126" w:type="pct"/>
            <w:tcBorders>
              <w:tl2br w:val="nil"/>
              <w:tr2bl w:val="nil"/>
            </w:tcBorders>
            <w:noWrap w:val="0"/>
            <w:vAlign w:val="center"/>
          </w:tcPr>
          <w:p w14:paraId="182B993D">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化粪池</w:t>
            </w:r>
          </w:p>
        </w:tc>
        <w:tc>
          <w:tcPr>
            <w:tcW w:w="391" w:type="pct"/>
            <w:tcBorders>
              <w:tl2br w:val="nil"/>
              <w:tr2bl w:val="nil"/>
            </w:tcBorders>
            <w:noWrap w:val="0"/>
            <w:vAlign w:val="center"/>
          </w:tcPr>
          <w:p w14:paraId="0B56DAB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1个</w:t>
            </w:r>
          </w:p>
        </w:tc>
        <w:tc>
          <w:tcPr>
            <w:tcW w:w="1349" w:type="pct"/>
            <w:tcBorders>
              <w:tl2br w:val="nil"/>
              <w:tr2bl w:val="nil"/>
            </w:tcBorders>
            <w:noWrap w:val="0"/>
            <w:vAlign w:val="center"/>
          </w:tcPr>
          <w:p w14:paraId="11D43EE8">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员工办公生活</w:t>
            </w:r>
          </w:p>
        </w:tc>
        <w:tc>
          <w:tcPr>
            <w:tcW w:w="720" w:type="pct"/>
            <w:tcBorders>
              <w:tl2br w:val="nil"/>
              <w:tr2bl w:val="nil"/>
            </w:tcBorders>
            <w:noWrap w:val="0"/>
            <w:vAlign w:val="center"/>
          </w:tcPr>
          <w:p w14:paraId="493036FF">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依托园区</w:t>
            </w:r>
          </w:p>
        </w:tc>
      </w:tr>
      <w:tr w14:paraId="2FF80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302" w:type="pct"/>
            <w:tcBorders>
              <w:tl2br w:val="nil"/>
              <w:tr2bl w:val="nil"/>
            </w:tcBorders>
            <w:noWrap w:val="0"/>
            <w:vAlign w:val="center"/>
          </w:tcPr>
          <w:p w14:paraId="0612A24D">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9</w:t>
            </w:r>
          </w:p>
        </w:tc>
        <w:tc>
          <w:tcPr>
            <w:tcW w:w="1109" w:type="pct"/>
            <w:tcBorders>
              <w:tl2br w:val="nil"/>
              <w:tr2bl w:val="nil"/>
            </w:tcBorders>
            <w:noWrap w:val="0"/>
            <w:vAlign w:val="center"/>
          </w:tcPr>
          <w:p w14:paraId="5E692B5E">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废气处理设施</w:t>
            </w:r>
          </w:p>
        </w:tc>
        <w:tc>
          <w:tcPr>
            <w:tcW w:w="1126" w:type="pct"/>
            <w:tcBorders>
              <w:tl2br w:val="nil"/>
              <w:tr2bl w:val="nil"/>
            </w:tcBorders>
            <w:noWrap w:val="0"/>
            <w:vAlign w:val="center"/>
          </w:tcPr>
          <w:p w14:paraId="42F0432E">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负压集气+UV光解+活性炭吸附+15m排气筒</w:t>
            </w:r>
          </w:p>
        </w:tc>
        <w:tc>
          <w:tcPr>
            <w:tcW w:w="391" w:type="pct"/>
            <w:tcBorders>
              <w:tl2br w:val="nil"/>
              <w:tr2bl w:val="nil"/>
            </w:tcBorders>
            <w:noWrap w:val="0"/>
            <w:vAlign w:val="center"/>
          </w:tcPr>
          <w:p w14:paraId="110F1530">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1套</w:t>
            </w:r>
          </w:p>
        </w:tc>
        <w:tc>
          <w:tcPr>
            <w:tcW w:w="1349" w:type="pct"/>
            <w:tcBorders>
              <w:tl2br w:val="nil"/>
              <w:tr2bl w:val="nil"/>
            </w:tcBorders>
            <w:noWrap w:val="0"/>
            <w:vAlign w:val="center"/>
          </w:tcPr>
          <w:p w14:paraId="5B4CC59C">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净化排风机房</w:t>
            </w:r>
          </w:p>
        </w:tc>
        <w:tc>
          <w:tcPr>
            <w:tcW w:w="720" w:type="pct"/>
            <w:tcBorders>
              <w:tl2br w:val="nil"/>
              <w:tr2bl w:val="nil"/>
            </w:tcBorders>
            <w:noWrap w:val="0"/>
            <w:vAlign w:val="center"/>
          </w:tcPr>
          <w:p w14:paraId="433E6138">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废气治理</w:t>
            </w:r>
          </w:p>
        </w:tc>
      </w:tr>
      <w:tr w14:paraId="3B96BB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2" w:type="pct"/>
            <w:tcBorders>
              <w:tl2br w:val="nil"/>
              <w:tr2bl w:val="nil"/>
            </w:tcBorders>
            <w:noWrap w:val="0"/>
            <w:vAlign w:val="center"/>
          </w:tcPr>
          <w:p w14:paraId="0037426B">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10</w:t>
            </w:r>
          </w:p>
        </w:tc>
        <w:tc>
          <w:tcPr>
            <w:tcW w:w="1109" w:type="pct"/>
            <w:tcBorders>
              <w:tl2br w:val="nil"/>
              <w:tr2bl w:val="nil"/>
            </w:tcBorders>
            <w:noWrap w:val="0"/>
            <w:vAlign w:val="center"/>
          </w:tcPr>
          <w:p w14:paraId="4F49ABD6">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危险废物运输车</w:t>
            </w:r>
          </w:p>
        </w:tc>
        <w:tc>
          <w:tcPr>
            <w:tcW w:w="1126" w:type="pct"/>
            <w:tcBorders>
              <w:tl2br w:val="nil"/>
              <w:tr2bl w:val="nil"/>
            </w:tcBorders>
            <w:noWrap w:val="0"/>
            <w:vAlign w:val="center"/>
          </w:tcPr>
          <w:p w14:paraId="27C45228">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391" w:type="pct"/>
            <w:tcBorders>
              <w:tl2br w:val="nil"/>
              <w:tr2bl w:val="nil"/>
            </w:tcBorders>
            <w:noWrap w:val="0"/>
            <w:vAlign w:val="center"/>
          </w:tcPr>
          <w:p w14:paraId="16C7A90C">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5台</w:t>
            </w:r>
          </w:p>
        </w:tc>
        <w:tc>
          <w:tcPr>
            <w:tcW w:w="1349" w:type="pct"/>
            <w:tcBorders>
              <w:tl2br w:val="nil"/>
              <w:tr2bl w:val="nil"/>
            </w:tcBorders>
            <w:noWrap w:val="0"/>
            <w:vAlign w:val="center"/>
          </w:tcPr>
          <w:p w14:paraId="60C7A47C">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收集点-厂区-处置公司</w:t>
            </w:r>
          </w:p>
        </w:tc>
        <w:tc>
          <w:tcPr>
            <w:tcW w:w="720" w:type="pct"/>
            <w:tcBorders>
              <w:tl2br w:val="nil"/>
              <w:tr2bl w:val="nil"/>
            </w:tcBorders>
            <w:noWrap w:val="0"/>
            <w:vAlign w:val="center"/>
          </w:tcPr>
          <w:p w14:paraId="6D6460CE">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委外</w:t>
            </w:r>
          </w:p>
        </w:tc>
      </w:tr>
      <w:tr w14:paraId="1E47C3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000" w:type="pct"/>
            <w:gridSpan w:val="6"/>
            <w:tcBorders>
              <w:tl2br w:val="nil"/>
              <w:tr2bl w:val="nil"/>
            </w:tcBorders>
            <w:noWrap w:val="0"/>
            <w:vAlign w:val="center"/>
          </w:tcPr>
          <w:p w14:paraId="5F57C32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二、废矿物油贮存区</w:t>
            </w:r>
          </w:p>
        </w:tc>
      </w:tr>
      <w:tr w14:paraId="62E440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2" w:type="pct"/>
            <w:tcBorders>
              <w:tl2br w:val="nil"/>
              <w:tr2bl w:val="nil"/>
            </w:tcBorders>
            <w:noWrap w:val="0"/>
            <w:vAlign w:val="center"/>
          </w:tcPr>
          <w:p w14:paraId="0786F52A">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w:t>
            </w:r>
          </w:p>
        </w:tc>
        <w:tc>
          <w:tcPr>
            <w:tcW w:w="1109" w:type="pct"/>
            <w:tcBorders>
              <w:tl2br w:val="nil"/>
              <w:tr2bl w:val="nil"/>
            </w:tcBorders>
            <w:noWrap w:val="0"/>
            <w:vAlign w:val="center"/>
          </w:tcPr>
          <w:p w14:paraId="674B8D9A">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计量罐</w:t>
            </w:r>
          </w:p>
        </w:tc>
        <w:tc>
          <w:tcPr>
            <w:tcW w:w="1126" w:type="pct"/>
            <w:tcBorders>
              <w:tl2br w:val="nil"/>
              <w:tr2bl w:val="nil"/>
            </w:tcBorders>
            <w:noWrap w:val="0"/>
            <w:vAlign w:val="center"/>
          </w:tcPr>
          <w:p w14:paraId="7FC18E54">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Φ1.5m×2m</w:t>
            </w:r>
          </w:p>
        </w:tc>
        <w:tc>
          <w:tcPr>
            <w:tcW w:w="391" w:type="pct"/>
            <w:tcBorders>
              <w:tl2br w:val="nil"/>
              <w:tr2bl w:val="nil"/>
            </w:tcBorders>
            <w:noWrap w:val="0"/>
            <w:vAlign w:val="center"/>
          </w:tcPr>
          <w:p w14:paraId="2A4C40E1">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1台</w:t>
            </w:r>
          </w:p>
        </w:tc>
        <w:tc>
          <w:tcPr>
            <w:tcW w:w="1349" w:type="pct"/>
            <w:tcBorders>
              <w:tl2br w:val="nil"/>
              <w:tr2bl w:val="nil"/>
            </w:tcBorders>
            <w:noWrap w:val="0"/>
            <w:vAlign w:val="center"/>
          </w:tcPr>
          <w:p w14:paraId="0BCB90CB">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废矿物油暂存区</w:t>
            </w:r>
          </w:p>
        </w:tc>
        <w:tc>
          <w:tcPr>
            <w:tcW w:w="720" w:type="pct"/>
            <w:tcBorders>
              <w:tl2br w:val="nil"/>
              <w:tr2bl w:val="nil"/>
            </w:tcBorders>
            <w:noWrap w:val="0"/>
            <w:vAlign w:val="center"/>
          </w:tcPr>
          <w:p w14:paraId="785E8635">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贮存</w:t>
            </w:r>
          </w:p>
        </w:tc>
      </w:tr>
      <w:tr w14:paraId="7B7A29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2" w:type="pct"/>
            <w:tcBorders>
              <w:tl2br w:val="nil"/>
              <w:tr2bl w:val="nil"/>
            </w:tcBorders>
            <w:noWrap w:val="0"/>
            <w:vAlign w:val="center"/>
          </w:tcPr>
          <w:p w14:paraId="2DC913D4">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2</w:t>
            </w:r>
          </w:p>
        </w:tc>
        <w:tc>
          <w:tcPr>
            <w:tcW w:w="1109" w:type="pct"/>
            <w:tcBorders>
              <w:tl2br w:val="nil"/>
              <w:tr2bl w:val="nil"/>
            </w:tcBorders>
            <w:noWrap w:val="0"/>
            <w:vAlign w:val="center"/>
          </w:tcPr>
          <w:p w14:paraId="6E908D79">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仓库式贮存设施</w:t>
            </w:r>
          </w:p>
        </w:tc>
        <w:tc>
          <w:tcPr>
            <w:tcW w:w="1126" w:type="pct"/>
            <w:tcBorders>
              <w:tl2br w:val="nil"/>
              <w:tr2bl w:val="nil"/>
            </w:tcBorders>
            <w:noWrap w:val="0"/>
            <w:vAlign w:val="center"/>
          </w:tcPr>
          <w:p w14:paraId="585419EF">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50t储油罐（Φ2.9m×7.5m）</w:t>
            </w:r>
          </w:p>
        </w:tc>
        <w:tc>
          <w:tcPr>
            <w:tcW w:w="391" w:type="pct"/>
            <w:tcBorders>
              <w:tl2br w:val="nil"/>
              <w:tr2bl w:val="nil"/>
            </w:tcBorders>
            <w:noWrap w:val="0"/>
            <w:vAlign w:val="center"/>
          </w:tcPr>
          <w:p w14:paraId="39E28178">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2个</w:t>
            </w:r>
          </w:p>
        </w:tc>
        <w:tc>
          <w:tcPr>
            <w:tcW w:w="1349" w:type="pct"/>
            <w:tcBorders>
              <w:tl2br w:val="nil"/>
              <w:tr2bl w:val="nil"/>
            </w:tcBorders>
            <w:noWrap w:val="0"/>
            <w:vAlign w:val="center"/>
          </w:tcPr>
          <w:p w14:paraId="2021D13F">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废矿物油暂存区</w:t>
            </w:r>
          </w:p>
        </w:tc>
        <w:tc>
          <w:tcPr>
            <w:tcW w:w="720" w:type="pct"/>
            <w:tcBorders>
              <w:tl2br w:val="nil"/>
              <w:tr2bl w:val="nil"/>
            </w:tcBorders>
            <w:noWrap w:val="0"/>
            <w:vAlign w:val="center"/>
          </w:tcPr>
          <w:p w14:paraId="54003E61">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贮存（一用一备）</w:t>
            </w:r>
          </w:p>
        </w:tc>
      </w:tr>
      <w:tr w14:paraId="606CA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2" w:type="pct"/>
            <w:tcBorders>
              <w:tl2br w:val="nil"/>
              <w:tr2bl w:val="nil"/>
            </w:tcBorders>
            <w:noWrap w:val="0"/>
            <w:vAlign w:val="center"/>
          </w:tcPr>
          <w:p w14:paraId="28B65094">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3</w:t>
            </w:r>
          </w:p>
        </w:tc>
        <w:tc>
          <w:tcPr>
            <w:tcW w:w="1109" w:type="pct"/>
            <w:tcBorders>
              <w:tl2br w:val="nil"/>
              <w:tr2bl w:val="nil"/>
            </w:tcBorders>
            <w:noWrap w:val="0"/>
            <w:vAlign w:val="center"/>
          </w:tcPr>
          <w:p w14:paraId="3382FE4B">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防渗层</w:t>
            </w:r>
          </w:p>
        </w:tc>
        <w:tc>
          <w:tcPr>
            <w:tcW w:w="3587" w:type="pct"/>
            <w:gridSpan w:val="4"/>
            <w:tcBorders>
              <w:tl2br w:val="nil"/>
              <w:tr2bl w:val="nil"/>
            </w:tcBorders>
            <w:noWrap w:val="0"/>
            <w:vAlign w:val="center"/>
          </w:tcPr>
          <w:p w14:paraId="1E017C4F">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防渗层材质：高密度乙烯，防渗层：2mm厚</w:t>
            </w:r>
          </w:p>
        </w:tc>
      </w:tr>
      <w:tr w14:paraId="13D12E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302" w:type="pct"/>
            <w:tcBorders>
              <w:tl2br w:val="nil"/>
              <w:tr2bl w:val="nil"/>
            </w:tcBorders>
            <w:noWrap w:val="0"/>
            <w:vAlign w:val="center"/>
          </w:tcPr>
          <w:p w14:paraId="51B2CE43">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4</w:t>
            </w:r>
          </w:p>
        </w:tc>
        <w:tc>
          <w:tcPr>
            <w:tcW w:w="1109" w:type="pct"/>
            <w:tcBorders>
              <w:tl2br w:val="nil"/>
              <w:tr2bl w:val="nil"/>
            </w:tcBorders>
            <w:noWrap w:val="0"/>
            <w:vAlign w:val="center"/>
          </w:tcPr>
          <w:p w14:paraId="6535B398">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油泵</w:t>
            </w:r>
          </w:p>
        </w:tc>
        <w:tc>
          <w:tcPr>
            <w:tcW w:w="1126" w:type="pct"/>
            <w:tcBorders>
              <w:tl2br w:val="nil"/>
              <w:tr2bl w:val="nil"/>
            </w:tcBorders>
            <w:noWrap w:val="0"/>
            <w:vAlign w:val="center"/>
          </w:tcPr>
          <w:p w14:paraId="28F41363">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4KW</w:t>
            </w:r>
          </w:p>
        </w:tc>
        <w:tc>
          <w:tcPr>
            <w:tcW w:w="391" w:type="pct"/>
            <w:tcBorders>
              <w:tl2br w:val="nil"/>
              <w:tr2bl w:val="nil"/>
            </w:tcBorders>
            <w:noWrap w:val="0"/>
            <w:vAlign w:val="center"/>
          </w:tcPr>
          <w:p w14:paraId="50C14726">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3台</w:t>
            </w:r>
          </w:p>
        </w:tc>
        <w:tc>
          <w:tcPr>
            <w:tcW w:w="1349" w:type="pct"/>
            <w:tcBorders>
              <w:tl2br w:val="nil"/>
              <w:tr2bl w:val="nil"/>
            </w:tcBorders>
            <w:noWrap w:val="0"/>
            <w:vAlign w:val="center"/>
          </w:tcPr>
          <w:p w14:paraId="304B4490">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废矿物油暂存区</w:t>
            </w:r>
          </w:p>
        </w:tc>
        <w:tc>
          <w:tcPr>
            <w:tcW w:w="720" w:type="pct"/>
            <w:tcBorders>
              <w:tl2br w:val="nil"/>
              <w:tr2bl w:val="nil"/>
            </w:tcBorders>
            <w:noWrap w:val="0"/>
            <w:vAlign w:val="center"/>
          </w:tcPr>
          <w:p w14:paraId="01267CEF">
            <w:pPr>
              <w:keepNext w:val="0"/>
              <w:keepLines w:val="0"/>
              <w:suppressLineNumbers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装卸油</w:t>
            </w:r>
          </w:p>
        </w:tc>
      </w:tr>
    </w:tbl>
    <w:p w14:paraId="021614D6">
      <w:pPr>
        <w:pStyle w:val="4"/>
        <w:spacing w:before="0" w:after="0" w:line="360" w:lineRule="auto"/>
        <w:jc w:val="left"/>
        <w:rPr>
          <w:rFonts w:hint="default" w:ascii="Times New Roman" w:hAnsi="Times New Roman" w:eastAsia="宋体" w:cs="Times New Roman"/>
          <w:sz w:val="24"/>
        </w:rPr>
      </w:pPr>
      <w:bookmarkStart w:id="231" w:name="_Hlk134090545"/>
      <w:r>
        <w:rPr>
          <w:rFonts w:hint="default" w:ascii="Times New Roman" w:hAnsi="Times New Roman" w:eastAsia="宋体" w:cs="Times New Roman"/>
          <w:sz w:val="24"/>
        </w:rPr>
        <w:t>3.3.</w:t>
      </w:r>
      <w:r>
        <w:rPr>
          <w:rFonts w:hint="default" w:ascii="Times New Roman" w:hAnsi="Times New Roman" w:eastAsia="宋体" w:cs="Times New Roman"/>
          <w:sz w:val="24"/>
          <w:lang w:val="en-US" w:eastAsia="zh-CN"/>
        </w:rPr>
        <w:t>6</w:t>
      </w:r>
      <w:r>
        <w:rPr>
          <w:rFonts w:hint="default" w:ascii="Times New Roman" w:hAnsi="Times New Roman" w:eastAsia="宋体" w:cs="Times New Roman"/>
          <w:kern w:val="0"/>
          <w:sz w:val="24"/>
        </w:rPr>
        <w:t>现有工程主要原材料指标</w:t>
      </w:r>
    </w:p>
    <w:p w14:paraId="648E7FAF">
      <w:pPr>
        <w:pStyle w:val="41"/>
        <w:ind w:firstLine="0" w:firstLineChars="0"/>
        <w:jc w:val="center"/>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表3.3-4  现有工程原辅材料及能源消耗一览表</w:t>
      </w:r>
    </w:p>
    <w:tbl>
      <w:tblPr>
        <w:tblStyle w:val="3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
        <w:gridCol w:w="1095"/>
        <w:gridCol w:w="1380"/>
        <w:gridCol w:w="500"/>
        <w:gridCol w:w="715"/>
        <w:gridCol w:w="780"/>
        <w:gridCol w:w="1380"/>
        <w:gridCol w:w="840"/>
        <w:gridCol w:w="1342"/>
      </w:tblGrid>
      <w:tr w14:paraId="60131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4" w:type="pct"/>
            <w:tcBorders>
              <w:top w:val="single" w:color="auto" w:sz="12" w:space="0"/>
              <w:left w:val="single" w:color="auto" w:sz="12" w:space="0"/>
            </w:tcBorders>
            <w:noWrap w:val="0"/>
            <w:vAlign w:val="center"/>
          </w:tcPr>
          <w:p w14:paraId="42528A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序号</w:t>
            </w:r>
          </w:p>
        </w:tc>
        <w:tc>
          <w:tcPr>
            <w:tcW w:w="642" w:type="pct"/>
            <w:tcBorders>
              <w:top w:val="single" w:color="auto" w:sz="12" w:space="0"/>
            </w:tcBorders>
            <w:noWrap w:val="0"/>
            <w:vAlign w:val="center"/>
          </w:tcPr>
          <w:p w14:paraId="3EB159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名称</w:t>
            </w:r>
          </w:p>
        </w:tc>
        <w:tc>
          <w:tcPr>
            <w:tcW w:w="810" w:type="pct"/>
            <w:tcBorders>
              <w:top w:val="single" w:color="auto" w:sz="12" w:space="0"/>
            </w:tcBorders>
            <w:noWrap w:val="0"/>
            <w:vAlign w:val="center"/>
          </w:tcPr>
          <w:p w14:paraId="0E5440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用量</w:t>
            </w:r>
          </w:p>
        </w:tc>
        <w:tc>
          <w:tcPr>
            <w:tcW w:w="293" w:type="pct"/>
            <w:tcBorders>
              <w:top w:val="single" w:color="auto" w:sz="12" w:space="0"/>
            </w:tcBorders>
            <w:noWrap w:val="0"/>
            <w:vAlign w:val="center"/>
          </w:tcPr>
          <w:p w14:paraId="280016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形态</w:t>
            </w:r>
          </w:p>
        </w:tc>
        <w:tc>
          <w:tcPr>
            <w:tcW w:w="419" w:type="pct"/>
            <w:tcBorders>
              <w:top w:val="single" w:color="auto" w:sz="12" w:space="0"/>
            </w:tcBorders>
            <w:noWrap w:val="0"/>
            <w:vAlign w:val="center"/>
          </w:tcPr>
          <w:p w14:paraId="7DB25D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包装方式</w:t>
            </w:r>
          </w:p>
        </w:tc>
        <w:tc>
          <w:tcPr>
            <w:tcW w:w="457" w:type="pct"/>
            <w:tcBorders>
              <w:top w:val="single" w:color="auto" w:sz="12" w:space="0"/>
            </w:tcBorders>
            <w:noWrap w:val="0"/>
            <w:vAlign w:val="center"/>
          </w:tcPr>
          <w:p w14:paraId="58FBC3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最大储存量</w:t>
            </w:r>
          </w:p>
        </w:tc>
        <w:tc>
          <w:tcPr>
            <w:tcW w:w="810" w:type="pct"/>
            <w:tcBorders>
              <w:top w:val="single" w:color="auto" w:sz="12" w:space="0"/>
            </w:tcBorders>
            <w:noWrap w:val="0"/>
            <w:vAlign w:val="center"/>
          </w:tcPr>
          <w:p w14:paraId="39E1EA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储存位置</w:t>
            </w:r>
          </w:p>
        </w:tc>
        <w:tc>
          <w:tcPr>
            <w:tcW w:w="493" w:type="pct"/>
            <w:tcBorders>
              <w:top w:val="single" w:color="auto" w:sz="12" w:space="0"/>
            </w:tcBorders>
            <w:noWrap w:val="0"/>
            <w:vAlign w:val="center"/>
          </w:tcPr>
          <w:p w14:paraId="5C0606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工序及用途</w:t>
            </w:r>
          </w:p>
        </w:tc>
        <w:tc>
          <w:tcPr>
            <w:tcW w:w="787" w:type="pct"/>
            <w:tcBorders>
              <w:top w:val="single" w:color="auto" w:sz="12" w:space="0"/>
              <w:right w:val="single" w:color="auto" w:sz="12" w:space="0"/>
            </w:tcBorders>
            <w:noWrap w:val="0"/>
            <w:vAlign w:val="center"/>
          </w:tcPr>
          <w:p w14:paraId="181E31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i w:val="0"/>
                <w:iCs w:val="0"/>
                <w:color w:val="auto"/>
                <w:spacing w:val="4"/>
                <w:sz w:val="21"/>
                <w:szCs w:val="21"/>
                <w:u w:val="none" w:color="auto"/>
                <w:lang w:val="en-US" w:eastAsia="zh-CN"/>
              </w:rPr>
            </w:pPr>
            <w:r>
              <w:rPr>
                <w:rFonts w:hint="default" w:ascii="Times New Roman" w:hAnsi="Times New Roman" w:eastAsia="宋体" w:cs="Times New Roman"/>
                <w:b/>
                <w:bCs/>
                <w:i w:val="0"/>
                <w:iCs w:val="0"/>
                <w:color w:val="auto"/>
                <w:spacing w:val="4"/>
                <w:sz w:val="21"/>
                <w:szCs w:val="21"/>
                <w:u w:val="none" w:color="auto"/>
                <w:lang w:val="en-US" w:eastAsia="zh-CN"/>
              </w:rPr>
              <w:t>备注</w:t>
            </w:r>
          </w:p>
        </w:tc>
      </w:tr>
      <w:tr w14:paraId="3BB23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4" w:type="pct"/>
            <w:tcBorders>
              <w:left w:val="single" w:color="auto" w:sz="12" w:space="0"/>
            </w:tcBorders>
            <w:noWrap w:val="0"/>
            <w:vAlign w:val="center"/>
          </w:tcPr>
          <w:p w14:paraId="555B48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w:t>
            </w:r>
          </w:p>
        </w:tc>
        <w:tc>
          <w:tcPr>
            <w:tcW w:w="642" w:type="pct"/>
            <w:noWrap w:val="0"/>
            <w:vAlign w:val="center"/>
          </w:tcPr>
          <w:p w14:paraId="14DDF9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贮存桶、防渗漏托盘等容器</w:t>
            </w:r>
          </w:p>
        </w:tc>
        <w:tc>
          <w:tcPr>
            <w:tcW w:w="810" w:type="pct"/>
            <w:noWrap w:val="0"/>
            <w:vAlign w:val="center"/>
          </w:tcPr>
          <w:p w14:paraId="7BF52C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若干</w:t>
            </w:r>
          </w:p>
        </w:tc>
        <w:tc>
          <w:tcPr>
            <w:tcW w:w="293" w:type="pct"/>
            <w:noWrap w:val="0"/>
            <w:vAlign w:val="center"/>
          </w:tcPr>
          <w:p w14:paraId="0243AF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固态</w:t>
            </w:r>
          </w:p>
        </w:tc>
        <w:tc>
          <w:tcPr>
            <w:tcW w:w="419" w:type="pct"/>
            <w:noWrap w:val="0"/>
            <w:vAlign w:val="center"/>
          </w:tcPr>
          <w:p w14:paraId="15877F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457" w:type="pct"/>
            <w:noWrap w:val="0"/>
            <w:vAlign w:val="center"/>
          </w:tcPr>
          <w:p w14:paraId="25D25C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最大贮存用量</w:t>
            </w:r>
          </w:p>
        </w:tc>
        <w:tc>
          <w:tcPr>
            <w:tcW w:w="810" w:type="pct"/>
            <w:noWrap w:val="0"/>
            <w:vAlign w:val="center"/>
          </w:tcPr>
          <w:p w14:paraId="0356CD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废矿物油、其它危废暂存区</w:t>
            </w:r>
          </w:p>
        </w:tc>
        <w:tc>
          <w:tcPr>
            <w:tcW w:w="493" w:type="pct"/>
            <w:noWrap w:val="0"/>
            <w:vAlign w:val="center"/>
          </w:tcPr>
          <w:p w14:paraId="1EA015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贮存危险废物</w:t>
            </w:r>
          </w:p>
        </w:tc>
        <w:tc>
          <w:tcPr>
            <w:tcW w:w="787" w:type="pct"/>
            <w:tcBorders>
              <w:right w:val="single" w:color="auto" w:sz="12" w:space="0"/>
            </w:tcBorders>
            <w:noWrap w:val="0"/>
            <w:vAlign w:val="center"/>
          </w:tcPr>
          <w:p w14:paraId="032E0C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专用容器，满足贮存用量及相关规范</w:t>
            </w:r>
          </w:p>
        </w:tc>
      </w:tr>
      <w:tr w14:paraId="273F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4" w:type="pct"/>
            <w:tcBorders>
              <w:left w:val="single" w:color="auto" w:sz="12" w:space="0"/>
            </w:tcBorders>
            <w:noWrap w:val="0"/>
            <w:vAlign w:val="center"/>
          </w:tcPr>
          <w:p w14:paraId="713F14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2</w:t>
            </w:r>
          </w:p>
        </w:tc>
        <w:tc>
          <w:tcPr>
            <w:tcW w:w="642" w:type="pct"/>
            <w:noWrap w:val="0"/>
            <w:vAlign w:val="center"/>
          </w:tcPr>
          <w:p w14:paraId="408CD2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消防沙</w:t>
            </w:r>
          </w:p>
        </w:tc>
        <w:tc>
          <w:tcPr>
            <w:tcW w:w="810" w:type="pct"/>
            <w:noWrap w:val="0"/>
            <w:vAlign w:val="center"/>
          </w:tcPr>
          <w:p w14:paraId="019E50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7t</w:t>
            </w:r>
          </w:p>
        </w:tc>
        <w:tc>
          <w:tcPr>
            <w:tcW w:w="293" w:type="pct"/>
            <w:noWrap w:val="0"/>
            <w:vAlign w:val="center"/>
          </w:tcPr>
          <w:p w14:paraId="12A9AF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固态</w:t>
            </w:r>
          </w:p>
        </w:tc>
        <w:tc>
          <w:tcPr>
            <w:tcW w:w="419" w:type="pct"/>
            <w:noWrap w:val="0"/>
            <w:vAlign w:val="center"/>
          </w:tcPr>
          <w:p w14:paraId="37EFB7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散装</w:t>
            </w:r>
          </w:p>
        </w:tc>
        <w:tc>
          <w:tcPr>
            <w:tcW w:w="457" w:type="pct"/>
            <w:noWrap w:val="0"/>
            <w:vAlign w:val="center"/>
          </w:tcPr>
          <w:p w14:paraId="416A129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5t</w:t>
            </w:r>
          </w:p>
        </w:tc>
        <w:tc>
          <w:tcPr>
            <w:tcW w:w="810" w:type="pct"/>
            <w:noWrap w:val="0"/>
            <w:vAlign w:val="center"/>
          </w:tcPr>
          <w:p w14:paraId="71CD1D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消防池</w:t>
            </w:r>
          </w:p>
        </w:tc>
        <w:tc>
          <w:tcPr>
            <w:tcW w:w="493" w:type="pct"/>
            <w:noWrap w:val="0"/>
            <w:vAlign w:val="center"/>
          </w:tcPr>
          <w:p w14:paraId="4F27624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应急灭火</w:t>
            </w:r>
          </w:p>
        </w:tc>
        <w:tc>
          <w:tcPr>
            <w:tcW w:w="787" w:type="pct"/>
            <w:tcBorders>
              <w:right w:val="single" w:color="auto" w:sz="12" w:space="0"/>
            </w:tcBorders>
            <w:noWrap w:val="0"/>
            <w:vAlign w:val="center"/>
          </w:tcPr>
          <w:p w14:paraId="69719D8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p>
        </w:tc>
      </w:tr>
      <w:tr w14:paraId="5398E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4" w:type="pct"/>
            <w:tcBorders>
              <w:left w:val="single" w:color="auto" w:sz="12" w:space="0"/>
            </w:tcBorders>
            <w:noWrap w:val="0"/>
            <w:vAlign w:val="center"/>
          </w:tcPr>
          <w:p w14:paraId="71D2AB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3</w:t>
            </w:r>
          </w:p>
        </w:tc>
        <w:tc>
          <w:tcPr>
            <w:tcW w:w="642" w:type="pct"/>
            <w:noWrap w:val="0"/>
            <w:vAlign w:val="center"/>
          </w:tcPr>
          <w:p w14:paraId="6E0714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灭火器等消防设施</w:t>
            </w:r>
          </w:p>
        </w:tc>
        <w:tc>
          <w:tcPr>
            <w:tcW w:w="810" w:type="pct"/>
            <w:noWrap w:val="0"/>
            <w:vAlign w:val="center"/>
          </w:tcPr>
          <w:p w14:paraId="7EEA0C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若干</w:t>
            </w:r>
          </w:p>
        </w:tc>
        <w:tc>
          <w:tcPr>
            <w:tcW w:w="293" w:type="pct"/>
            <w:noWrap w:val="0"/>
            <w:vAlign w:val="center"/>
          </w:tcPr>
          <w:p w14:paraId="6E57EB6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419" w:type="pct"/>
            <w:noWrap w:val="0"/>
            <w:vAlign w:val="center"/>
          </w:tcPr>
          <w:p w14:paraId="4755F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457" w:type="pct"/>
            <w:noWrap w:val="0"/>
            <w:vAlign w:val="center"/>
          </w:tcPr>
          <w:p w14:paraId="72160B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810" w:type="pct"/>
            <w:noWrap w:val="0"/>
            <w:vAlign w:val="center"/>
          </w:tcPr>
          <w:p w14:paraId="4E9861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废矿物油、其它危废暂存区</w:t>
            </w:r>
          </w:p>
        </w:tc>
        <w:tc>
          <w:tcPr>
            <w:tcW w:w="493" w:type="pct"/>
            <w:noWrap w:val="0"/>
            <w:vAlign w:val="center"/>
          </w:tcPr>
          <w:p w14:paraId="462518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应急灭火</w:t>
            </w:r>
          </w:p>
        </w:tc>
        <w:tc>
          <w:tcPr>
            <w:tcW w:w="787" w:type="pct"/>
            <w:tcBorders>
              <w:right w:val="single" w:color="auto" w:sz="12" w:space="0"/>
            </w:tcBorders>
            <w:noWrap w:val="0"/>
            <w:vAlign w:val="center"/>
          </w:tcPr>
          <w:p w14:paraId="16B92D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符合消防安全要求</w:t>
            </w:r>
          </w:p>
        </w:tc>
      </w:tr>
      <w:tr w14:paraId="09545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4" w:type="pct"/>
            <w:tcBorders>
              <w:left w:val="single" w:color="auto" w:sz="12" w:space="0"/>
            </w:tcBorders>
            <w:noWrap w:val="0"/>
            <w:vAlign w:val="center"/>
          </w:tcPr>
          <w:p w14:paraId="4FB051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4</w:t>
            </w:r>
          </w:p>
        </w:tc>
        <w:tc>
          <w:tcPr>
            <w:tcW w:w="642" w:type="pct"/>
            <w:noWrap w:val="0"/>
            <w:vAlign w:val="center"/>
          </w:tcPr>
          <w:p w14:paraId="229248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活性炭</w:t>
            </w:r>
          </w:p>
        </w:tc>
        <w:tc>
          <w:tcPr>
            <w:tcW w:w="810" w:type="pct"/>
            <w:noWrap w:val="0"/>
            <w:vAlign w:val="center"/>
          </w:tcPr>
          <w:p w14:paraId="754C63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2.104t</w:t>
            </w:r>
          </w:p>
        </w:tc>
        <w:tc>
          <w:tcPr>
            <w:tcW w:w="293" w:type="pct"/>
            <w:noWrap w:val="0"/>
            <w:vAlign w:val="center"/>
          </w:tcPr>
          <w:p w14:paraId="0DAEA8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固态</w:t>
            </w:r>
          </w:p>
        </w:tc>
        <w:tc>
          <w:tcPr>
            <w:tcW w:w="419" w:type="pct"/>
            <w:noWrap w:val="0"/>
            <w:vAlign w:val="center"/>
          </w:tcPr>
          <w:p w14:paraId="458F5A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袋装</w:t>
            </w:r>
          </w:p>
        </w:tc>
        <w:tc>
          <w:tcPr>
            <w:tcW w:w="457" w:type="pct"/>
            <w:noWrap w:val="0"/>
            <w:vAlign w:val="center"/>
          </w:tcPr>
          <w:p w14:paraId="650DB4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0.5t</w:t>
            </w:r>
          </w:p>
        </w:tc>
        <w:tc>
          <w:tcPr>
            <w:tcW w:w="810" w:type="pct"/>
            <w:noWrap w:val="0"/>
            <w:vAlign w:val="center"/>
          </w:tcPr>
          <w:p w14:paraId="299BC71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其它危废暂存区</w:t>
            </w:r>
          </w:p>
        </w:tc>
        <w:tc>
          <w:tcPr>
            <w:tcW w:w="493" w:type="pct"/>
            <w:noWrap w:val="0"/>
            <w:vAlign w:val="center"/>
          </w:tcPr>
          <w:p w14:paraId="572065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废气处理</w:t>
            </w:r>
          </w:p>
        </w:tc>
        <w:tc>
          <w:tcPr>
            <w:tcW w:w="787" w:type="pct"/>
            <w:tcBorders>
              <w:right w:val="single" w:color="auto" w:sz="12" w:space="0"/>
            </w:tcBorders>
            <w:noWrap w:val="0"/>
            <w:vAlign w:val="center"/>
          </w:tcPr>
          <w:p w14:paraId="288EA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r>
      <w:tr w14:paraId="38EC0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4" w:type="pct"/>
            <w:tcBorders>
              <w:left w:val="single" w:color="auto" w:sz="12" w:space="0"/>
            </w:tcBorders>
            <w:noWrap w:val="0"/>
            <w:vAlign w:val="center"/>
          </w:tcPr>
          <w:p w14:paraId="6D64E9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5</w:t>
            </w:r>
          </w:p>
        </w:tc>
        <w:tc>
          <w:tcPr>
            <w:tcW w:w="642" w:type="pct"/>
            <w:noWrap w:val="0"/>
            <w:vAlign w:val="center"/>
          </w:tcPr>
          <w:p w14:paraId="41C42E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水</w:t>
            </w:r>
          </w:p>
        </w:tc>
        <w:tc>
          <w:tcPr>
            <w:tcW w:w="810" w:type="pct"/>
            <w:noWrap w:val="0"/>
            <w:vAlign w:val="center"/>
          </w:tcPr>
          <w:p w14:paraId="076D4A8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175m</w:t>
            </w:r>
            <w:r>
              <w:rPr>
                <w:rFonts w:hint="default" w:ascii="Times New Roman" w:hAnsi="Times New Roman" w:eastAsia="宋体" w:cs="Times New Roman"/>
                <w:i w:val="0"/>
                <w:iCs w:val="0"/>
                <w:color w:val="auto"/>
                <w:spacing w:val="4"/>
                <w:sz w:val="21"/>
                <w:szCs w:val="21"/>
                <w:u w:val="none" w:color="auto"/>
                <w:vertAlign w:val="superscript"/>
                <w:lang w:val="en-US" w:eastAsia="zh-CN"/>
              </w:rPr>
              <w:t>3</w:t>
            </w:r>
            <w:r>
              <w:rPr>
                <w:rFonts w:hint="default" w:ascii="Times New Roman" w:hAnsi="Times New Roman" w:eastAsia="宋体" w:cs="Times New Roman"/>
                <w:i w:val="0"/>
                <w:iCs w:val="0"/>
                <w:color w:val="auto"/>
                <w:spacing w:val="4"/>
                <w:sz w:val="21"/>
                <w:szCs w:val="21"/>
                <w:u w:val="none" w:color="auto"/>
                <w:lang w:val="en-US" w:eastAsia="zh-CN"/>
              </w:rPr>
              <w:t>/a</w:t>
            </w:r>
          </w:p>
        </w:tc>
        <w:tc>
          <w:tcPr>
            <w:tcW w:w="293" w:type="pct"/>
            <w:noWrap w:val="0"/>
            <w:vAlign w:val="center"/>
          </w:tcPr>
          <w:p w14:paraId="19EB2D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419" w:type="pct"/>
            <w:noWrap w:val="0"/>
            <w:vAlign w:val="center"/>
          </w:tcPr>
          <w:p w14:paraId="5D7720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457" w:type="pct"/>
            <w:noWrap w:val="0"/>
            <w:vAlign w:val="center"/>
          </w:tcPr>
          <w:p w14:paraId="355C032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810" w:type="pct"/>
            <w:noWrap w:val="0"/>
            <w:vAlign w:val="center"/>
          </w:tcPr>
          <w:p w14:paraId="2550103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493" w:type="pct"/>
            <w:noWrap w:val="0"/>
            <w:vAlign w:val="center"/>
          </w:tcPr>
          <w:p w14:paraId="6C6566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787" w:type="pct"/>
            <w:tcBorders>
              <w:right w:val="single" w:color="auto" w:sz="12" w:space="0"/>
            </w:tcBorders>
            <w:noWrap w:val="0"/>
            <w:vAlign w:val="center"/>
          </w:tcPr>
          <w:p w14:paraId="1ECFD3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r>
      <w:tr w14:paraId="602B1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284" w:type="pct"/>
            <w:tcBorders>
              <w:left w:val="single" w:color="auto" w:sz="12" w:space="0"/>
              <w:bottom w:val="single" w:color="auto" w:sz="12" w:space="0"/>
            </w:tcBorders>
            <w:noWrap w:val="0"/>
            <w:vAlign w:val="center"/>
          </w:tcPr>
          <w:p w14:paraId="0F7757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6</w:t>
            </w:r>
          </w:p>
        </w:tc>
        <w:tc>
          <w:tcPr>
            <w:tcW w:w="642" w:type="pct"/>
            <w:tcBorders>
              <w:bottom w:val="single" w:color="auto" w:sz="12" w:space="0"/>
            </w:tcBorders>
            <w:noWrap w:val="0"/>
            <w:vAlign w:val="center"/>
          </w:tcPr>
          <w:p w14:paraId="629E12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电</w:t>
            </w:r>
          </w:p>
        </w:tc>
        <w:tc>
          <w:tcPr>
            <w:tcW w:w="810" w:type="pct"/>
            <w:tcBorders>
              <w:bottom w:val="single" w:color="auto" w:sz="12" w:space="0"/>
            </w:tcBorders>
            <w:noWrap w:val="0"/>
            <w:vAlign w:val="center"/>
          </w:tcPr>
          <w:p w14:paraId="086730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30万kW·h</w:t>
            </w:r>
          </w:p>
        </w:tc>
        <w:tc>
          <w:tcPr>
            <w:tcW w:w="293" w:type="pct"/>
            <w:tcBorders>
              <w:bottom w:val="single" w:color="auto" w:sz="12" w:space="0"/>
            </w:tcBorders>
            <w:noWrap w:val="0"/>
            <w:vAlign w:val="center"/>
          </w:tcPr>
          <w:p w14:paraId="17FBFA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419" w:type="pct"/>
            <w:tcBorders>
              <w:bottom w:val="single" w:color="auto" w:sz="12" w:space="0"/>
            </w:tcBorders>
            <w:noWrap w:val="0"/>
            <w:vAlign w:val="center"/>
          </w:tcPr>
          <w:p w14:paraId="5E8B79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457" w:type="pct"/>
            <w:tcBorders>
              <w:bottom w:val="single" w:color="auto" w:sz="12" w:space="0"/>
            </w:tcBorders>
            <w:noWrap w:val="0"/>
            <w:vAlign w:val="center"/>
          </w:tcPr>
          <w:p w14:paraId="3EDA1E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810" w:type="pct"/>
            <w:tcBorders>
              <w:bottom w:val="single" w:color="auto" w:sz="12" w:space="0"/>
            </w:tcBorders>
            <w:noWrap w:val="0"/>
            <w:vAlign w:val="center"/>
          </w:tcPr>
          <w:p w14:paraId="0D9B48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493" w:type="pct"/>
            <w:tcBorders>
              <w:bottom w:val="single" w:color="auto" w:sz="12" w:space="0"/>
            </w:tcBorders>
            <w:noWrap w:val="0"/>
            <w:vAlign w:val="center"/>
          </w:tcPr>
          <w:p w14:paraId="23F916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c>
          <w:tcPr>
            <w:tcW w:w="787" w:type="pct"/>
            <w:tcBorders>
              <w:bottom w:val="single" w:color="auto" w:sz="12" w:space="0"/>
              <w:right w:val="single" w:color="auto" w:sz="12" w:space="0"/>
            </w:tcBorders>
            <w:noWrap w:val="0"/>
            <w:vAlign w:val="center"/>
          </w:tcPr>
          <w:p w14:paraId="25EE66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i w:val="0"/>
                <w:iCs w:val="0"/>
                <w:color w:val="auto"/>
                <w:spacing w:val="4"/>
                <w:sz w:val="21"/>
                <w:szCs w:val="21"/>
                <w:u w:val="none" w:color="auto"/>
                <w:lang w:val="en-US" w:eastAsia="zh-CN"/>
              </w:rPr>
            </w:pPr>
            <w:r>
              <w:rPr>
                <w:rFonts w:hint="default" w:ascii="Times New Roman" w:hAnsi="Times New Roman" w:eastAsia="宋体" w:cs="Times New Roman"/>
                <w:i w:val="0"/>
                <w:iCs w:val="0"/>
                <w:color w:val="auto"/>
                <w:spacing w:val="4"/>
                <w:sz w:val="21"/>
                <w:szCs w:val="21"/>
                <w:u w:val="none" w:color="auto"/>
                <w:lang w:val="en-US" w:eastAsia="zh-CN"/>
              </w:rPr>
              <w:t>/</w:t>
            </w:r>
          </w:p>
        </w:tc>
      </w:tr>
    </w:tbl>
    <w:p w14:paraId="3205702D">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3.3.</w:t>
      </w:r>
      <w:r>
        <w:rPr>
          <w:rFonts w:hint="default" w:ascii="Times New Roman" w:hAnsi="Times New Roman" w:eastAsia="宋体" w:cs="Times New Roman"/>
          <w:sz w:val="24"/>
          <w:lang w:val="en-US" w:eastAsia="zh-CN"/>
        </w:rPr>
        <w:t>7</w:t>
      </w:r>
      <w:r>
        <w:rPr>
          <w:rFonts w:hint="default" w:ascii="Times New Roman" w:hAnsi="Times New Roman" w:eastAsia="宋体" w:cs="Times New Roman"/>
          <w:kern w:val="0"/>
          <w:sz w:val="24"/>
        </w:rPr>
        <w:t>现有工程收集、贮存、转运及接收方案</w:t>
      </w:r>
    </w:p>
    <w:p w14:paraId="5532F3A3">
      <w:pPr>
        <w:spacing w:line="360" w:lineRule="auto"/>
        <w:ind w:firstLine="482" w:firstLineChars="200"/>
        <w:rPr>
          <w:rFonts w:hint="default" w:ascii="Times New Roman" w:hAnsi="Times New Roman" w:eastAsia="宋体" w:cs="Times New Roman"/>
          <w:b/>
          <w:bCs/>
          <w:color w:val="000000"/>
          <w:sz w:val="24"/>
          <w:szCs w:val="24"/>
          <w:lang w:val="en-GB"/>
        </w:rPr>
      </w:pPr>
      <w:r>
        <w:rPr>
          <w:rFonts w:hint="default" w:ascii="Times New Roman" w:hAnsi="Times New Roman" w:eastAsia="宋体" w:cs="Times New Roman"/>
          <w:b/>
          <w:bCs/>
          <w:color w:val="000000"/>
          <w:sz w:val="24"/>
          <w:szCs w:val="24"/>
          <w:lang w:val="en-GB"/>
        </w:rPr>
        <w:t>（1）收集</w:t>
      </w:r>
    </w:p>
    <w:p w14:paraId="164C5D72">
      <w:pPr>
        <w:spacing w:line="360" w:lineRule="auto"/>
        <w:ind w:firstLine="480" w:firstLineChars="200"/>
        <w:rPr>
          <w:rFonts w:hint="default" w:ascii="Times New Roman" w:hAnsi="Times New Roman" w:eastAsia="宋体" w:cs="Times New Roman"/>
          <w:color w:val="000000"/>
          <w:sz w:val="24"/>
          <w:szCs w:val="24"/>
          <w:lang w:val="en-GB"/>
        </w:rPr>
      </w:pPr>
      <w:r>
        <w:rPr>
          <w:rFonts w:hint="default" w:ascii="Times New Roman" w:hAnsi="Times New Roman" w:eastAsia="宋体" w:cs="Times New Roman"/>
          <w:color w:val="000000"/>
          <w:sz w:val="24"/>
          <w:szCs w:val="24"/>
          <w:lang w:val="en-GB"/>
        </w:rPr>
        <w:t>其它危废：各类</w:t>
      </w:r>
      <w:r>
        <w:rPr>
          <w:rFonts w:hint="default" w:ascii="Times New Roman" w:hAnsi="Times New Roman" w:eastAsia="宋体" w:cs="Times New Roman"/>
          <w:color w:val="000000"/>
          <w:sz w:val="24"/>
          <w:szCs w:val="24"/>
        </w:rPr>
        <w:t>危险废物均委托</w:t>
      </w:r>
      <w:r>
        <w:rPr>
          <w:rFonts w:hint="default" w:ascii="Times New Roman" w:hAnsi="Times New Roman" w:eastAsia="宋体" w:cs="Times New Roman"/>
          <w:color w:val="000000"/>
          <w:sz w:val="24"/>
          <w:szCs w:val="24"/>
          <w:lang w:val="en-GB"/>
        </w:rPr>
        <w:t>衡阳盛泰物流有限公司派专用的运输车辆运至厂区暂存区，</w:t>
      </w:r>
      <w:r>
        <w:rPr>
          <w:rFonts w:hint="default" w:ascii="Times New Roman" w:hAnsi="Times New Roman" w:eastAsia="宋体" w:cs="Times New Roman"/>
          <w:color w:val="000000"/>
          <w:sz w:val="24"/>
          <w:szCs w:val="24"/>
        </w:rPr>
        <w:t>设置装卸区，在门口设置装卸岛，导流沟、应急池，车辆进出车道设置雨棚，做到雨污分流</w:t>
      </w:r>
      <w:r>
        <w:rPr>
          <w:rFonts w:hint="default" w:ascii="Times New Roman" w:hAnsi="Times New Roman" w:eastAsia="宋体" w:cs="Times New Roman"/>
          <w:color w:val="000000"/>
          <w:sz w:val="24"/>
          <w:szCs w:val="24"/>
          <w:lang w:val="en-GB"/>
        </w:rPr>
        <w:t>，装纳容器应与废物相容，装纳容器外形与尺寸大小根据实际需要配置，要求坚固结实，并便于检查渗漏或溢出等事故的发生。</w:t>
      </w:r>
    </w:p>
    <w:p w14:paraId="2574C8FA">
      <w:pPr>
        <w:spacing w:line="360" w:lineRule="auto"/>
        <w:ind w:firstLine="523" w:firstLineChars="218"/>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GB"/>
        </w:rPr>
        <w:t>废矿物油：</w:t>
      </w:r>
      <w:r>
        <w:rPr>
          <w:rFonts w:hint="default" w:ascii="Times New Roman" w:hAnsi="Times New Roman" w:eastAsia="宋体" w:cs="Times New Roman"/>
          <w:color w:val="000000"/>
          <w:sz w:val="24"/>
          <w:szCs w:val="24"/>
        </w:rPr>
        <w:t>委托</w:t>
      </w:r>
      <w:r>
        <w:rPr>
          <w:rFonts w:hint="default" w:ascii="Times New Roman" w:hAnsi="Times New Roman" w:eastAsia="宋体" w:cs="Times New Roman"/>
          <w:color w:val="000000"/>
          <w:sz w:val="24"/>
          <w:szCs w:val="24"/>
          <w:lang w:val="en-GB"/>
        </w:rPr>
        <w:t>衡阳盛泰物流有限公司派有运输资质的运输车辆运至储罐区</w:t>
      </w:r>
      <w:r>
        <w:rPr>
          <w:rFonts w:hint="default" w:ascii="Times New Roman" w:hAnsi="Times New Roman" w:eastAsia="宋体" w:cs="Times New Roman"/>
          <w:color w:val="000000"/>
          <w:sz w:val="24"/>
          <w:szCs w:val="24"/>
        </w:rPr>
        <w:t>，装卸区和储油罐区均设在厂房内，储油罐区四周外设围堰。收集的废矿物油直接由运输车辆泵送至计量罐，再通过计量罐泵送至储油罐。</w:t>
      </w:r>
    </w:p>
    <w:p w14:paraId="188B068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项目收集范围为衡阳地区汽车维修行业、4s店及厂矿企业三千多家，送往远大（湖南）再生燃油股份有限公司、湖南衡兴环保科技开发有限公司、湖南瀚洋环保科技有限公司进行处置。</w:t>
      </w:r>
    </w:p>
    <w:p w14:paraId="40367A8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由于周边地区回收点多而分散，每个回收点一定时期内收集到的数量也不一致，收集时间也不统一，回收过程不具备固定线路条件，不做固定线路要求。但要求转运路线需满足下述原则：转运车辆运输途中应避开经过医院、学校和居民区等人口密集区，避开饮用水水源保护区、自然保护区等敏感区域。</w:t>
      </w:r>
    </w:p>
    <w:p w14:paraId="765A8C6F">
      <w:pPr>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（2）运输路线要求：</w:t>
      </w:r>
    </w:p>
    <w:p w14:paraId="0E520DA5">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1）根据《饮用水源保护区污染防治管理规定》（环境保护令第16号修改）中第十一条规定：</w:t>
      </w:r>
    </w:p>
    <w:p w14:paraId="01EC441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运输有毒有害物质、油粪、粪便的船舶和车辆一般不准进入保护区，必须进入者应事先申请并经有关部门批准，登记并设置防渗、防溢、防漏设施。</w:t>
      </w:r>
    </w:p>
    <w:p w14:paraId="45A8C801">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2）《道路危险货物运输管理规定》（交通部令[2019年]第29号）。</w:t>
      </w:r>
    </w:p>
    <w:p w14:paraId="1635EACC">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3）《危险货物道路运输规则》（JT/T617-2018）。</w:t>
      </w:r>
    </w:p>
    <w:p w14:paraId="2CEBD25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4）《道路运输危险货物车辆标志》(GB13392-2005)。</w:t>
      </w:r>
    </w:p>
    <w:p w14:paraId="372058C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5）避开《建设项目环境影响评价分类管理名录》（2021版）中有关环境敏感区：</w:t>
      </w:r>
    </w:p>
    <w:p w14:paraId="3E0021FA">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①需特殊保护地区：国家法律、法规，行政规章及规划确定或经县级以上人民政府批准的需特殊保护的地区，如饮用水源保护区、自然保护区、风景名胜区、生态功能保护区、基本农田保护区、水土流失重点防护区，</w:t>
      </w:r>
      <w:r>
        <w:rPr>
          <w:rFonts w:hint="default" w:ascii="Times New Roman" w:hAnsi="Times New Roman" w:eastAsia="宋体" w:cs="Times New Roman"/>
          <w:color w:val="000000"/>
          <w:sz w:val="24"/>
          <w:szCs w:val="24"/>
          <w:lang w:eastAsia="zh-CN"/>
        </w:rPr>
        <w:t>森林公园</w:t>
      </w:r>
      <w:r>
        <w:rPr>
          <w:rFonts w:hint="default" w:ascii="Times New Roman" w:hAnsi="Times New Roman" w:eastAsia="宋体" w:cs="Times New Roman"/>
          <w:color w:val="000000"/>
          <w:sz w:val="24"/>
          <w:szCs w:val="24"/>
        </w:rPr>
        <w:t>、地质公园、世界遗产地、国家重点文物保护单位、历史文化保护地等。</w:t>
      </w:r>
    </w:p>
    <w:p w14:paraId="6938255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②生态敏感与脆弱区。</w:t>
      </w:r>
    </w:p>
    <w:p w14:paraId="3EBE9D8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③社会关注区：人口密集区、文教区、党政机关集中的办公地点、疗养地、医院等。</w:t>
      </w:r>
    </w:p>
    <w:p w14:paraId="3D8BFA84">
      <w:pPr>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（3）厂内贮存方式</w:t>
      </w:r>
    </w:p>
    <w:p w14:paraId="3C1AB3A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项目厂区场地</w:t>
      </w:r>
      <w:r>
        <w:rPr>
          <w:rFonts w:hint="eastAsia" w:ascii="Times New Roman" w:hAnsi="Times New Roman" w:cs="Times New Roman"/>
          <w:color w:val="000000"/>
          <w:sz w:val="24"/>
          <w:szCs w:val="24"/>
          <w:lang w:eastAsia="zh-CN"/>
        </w:rPr>
        <w:t>按照</w:t>
      </w:r>
      <w:r>
        <w:rPr>
          <w:rFonts w:hint="default" w:ascii="Times New Roman" w:hAnsi="Times New Roman" w:eastAsia="宋体" w:cs="Times New Roman"/>
          <w:color w:val="000000"/>
          <w:sz w:val="24"/>
          <w:szCs w:val="24"/>
        </w:rPr>
        <w:t>《危险废物储存污染控制标准》（GB18597-2023）及其修改单的要求进行改造、防渗防腐处理后作为危险废物暂存仓库，其中地面与桾脚用坚固防渗的材料建造，防渗层为2mm厚高密度乙烯，建筑材料与危险废物相容，危险废物贮存区须施行上锁管理制度，全厂区监控覆盖，以防丢失。</w:t>
      </w:r>
    </w:p>
    <w:p w14:paraId="26F19BA0">
      <w:pPr>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（4）转移方式及运输路线</w:t>
      </w:r>
    </w:p>
    <w:p w14:paraId="330F9D2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各类危险废物均委托衡阳盛泰物流有限公司负责转运。转运路线确定的总体原则为：转运车辆运输途中应避免经过医院、学校和居民区等人口密集区，避开饮用水水源保护区、自然保护区等敏感区，并应该符合《道路危险货物运输管理规定》的要求。</w:t>
      </w:r>
    </w:p>
    <w:p w14:paraId="385A7F0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运输路线：衡阳地区—衡兴、长沙、湘阴。</w:t>
      </w:r>
    </w:p>
    <w:p w14:paraId="62B31F60">
      <w:pPr>
        <w:spacing w:line="360" w:lineRule="auto"/>
        <w:ind w:firstLine="482" w:firstLineChars="200"/>
        <w:rPr>
          <w:rFonts w:hint="default" w:ascii="Times New Roman" w:hAnsi="Times New Roman" w:eastAsia="宋体" w:cs="Times New Roman"/>
          <w:b/>
          <w:bCs/>
          <w:color w:val="000000"/>
          <w:sz w:val="24"/>
          <w:szCs w:val="24"/>
        </w:rPr>
      </w:pPr>
      <w:r>
        <w:rPr>
          <w:rFonts w:hint="default" w:ascii="Times New Roman" w:hAnsi="Times New Roman" w:eastAsia="宋体" w:cs="Times New Roman"/>
          <w:b/>
          <w:bCs/>
          <w:color w:val="000000"/>
          <w:sz w:val="24"/>
          <w:szCs w:val="24"/>
        </w:rPr>
        <w:t>（5）接收可行性分析</w:t>
      </w:r>
    </w:p>
    <w:p w14:paraId="2CD253B9">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现有项目收集的废矿物油暂存后运至远大（湖南）再生燃油股份有限公司处置[湘环（危）字第（136）号]处理处置。对比项目收集的种类及处理量，均在远大（湖南）再生燃油股份有限公司处理范围之内，项目周转量（4000t/a）远小于其117000吨/年（油泥类限省内，规模为4000吨/年）处置能力，项目收集的废矿物油送至远大（湖南）再生燃油股份有限公司处置合理可行。</w:t>
      </w:r>
    </w:p>
    <w:p w14:paraId="6B6870DE">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现有项目收集的危险废物暂存后运至远大（湖南）再生燃油股份有限公司、湖南衡兴环保科技开发有限公司、湖南瀚洋环保科技有限公司处理处置，且大于9800t/a，</w:t>
      </w:r>
      <w:r>
        <w:rPr>
          <w:rFonts w:hint="default" w:ascii="Times New Roman" w:hAnsi="Times New Roman" w:eastAsia="宋体" w:cs="Times New Roman"/>
          <w:sz w:val="24"/>
          <w:szCs w:val="28"/>
        </w:rPr>
        <w:t>项目收集的危险废物送至湖南省内具备相应类别的危险废物经营许可证单位处理处置合理可行。</w:t>
      </w:r>
    </w:p>
    <w:p w14:paraId="4EBB4B9C">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3.3.</w:t>
      </w:r>
      <w:r>
        <w:rPr>
          <w:rFonts w:hint="default" w:ascii="Times New Roman" w:hAnsi="Times New Roman" w:eastAsia="宋体" w:cs="Times New Roman"/>
          <w:sz w:val="24"/>
          <w:lang w:val="en-US" w:eastAsia="zh-CN"/>
        </w:rPr>
        <w:t>8</w:t>
      </w:r>
      <w:r>
        <w:rPr>
          <w:rFonts w:hint="default" w:ascii="Times New Roman" w:hAnsi="Times New Roman" w:eastAsia="宋体" w:cs="Times New Roman"/>
          <w:kern w:val="0"/>
          <w:sz w:val="24"/>
        </w:rPr>
        <w:t>现有工程生产工艺及产排污环节</w:t>
      </w:r>
    </w:p>
    <w:bookmarkEnd w:id="231"/>
    <w:p w14:paraId="712543CC">
      <w:pPr>
        <w:pStyle w:val="8"/>
        <w:spacing w:line="360" w:lineRule="auto"/>
        <w:ind w:firstLine="482"/>
        <w:rPr>
          <w:rFonts w:hint="default" w:ascii="Times New Roman" w:hAnsi="Times New Roman" w:eastAsia="宋体" w:cs="Times New Roman"/>
          <w:lang w:val="en-US"/>
        </w:rPr>
      </w:pPr>
      <w:r>
        <w:rPr>
          <w:rFonts w:hint="default" w:ascii="Times New Roman" w:hAnsi="Times New Roman" w:eastAsia="宋体" w:cs="Times New Roman"/>
          <w:b/>
          <w:bCs/>
          <w:lang w:eastAsia="zh-CN"/>
        </w:rPr>
        <w:t>（一）废矿物油</w:t>
      </w:r>
      <w:r>
        <w:rPr>
          <w:rFonts w:hint="default" w:ascii="Times New Roman" w:hAnsi="Times New Roman" w:eastAsia="宋体" w:cs="Times New Roman"/>
          <w:b/>
          <w:bCs/>
          <w:lang w:val="en-US" w:eastAsia="zh-CN"/>
        </w:rPr>
        <w:t>收集、暂存、转运</w:t>
      </w:r>
    </w:p>
    <w:p w14:paraId="0B5D6DEE">
      <w:pPr>
        <w:pStyle w:val="8"/>
        <w:spacing w:line="360" w:lineRule="auto"/>
        <w:ind w:firstLine="480"/>
        <w:rPr>
          <w:rFonts w:hint="default" w:ascii="Times New Roman" w:hAnsi="Times New Roman" w:eastAsia="宋体" w:cs="Times New Roman"/>
        </w:rPr>
      </w:pPr>
      <w:r>
        <w:rPr>
          <w:rFonts w:hint="default" w:ascii="Times New Roman" w:hAnsi="Times New Roman" w:eastAsia="宋体" w:cs="Times New Roman"/>
          <w:lang w:eastAsia="zh-CN"/>
        </w:rPr>
        <w:t>现有</w:t>
      </w:r>
      <w:r>
        <w:rPr>
          <w:rFonts w:hint="default" w:ascii="Times New Roman" w:hAnsi="Times New Roman" w:eastAsia="宋体" w:cs="Times New Roman"/>
        </w:rPr>
        <w:t>项目只</w:t>
      </w:r>
      <w:r>
        <w:rPr>
          <w:rFonts w:hint="default" w:ascii="Times New Roman" w:hAnsi="Times New Roman" w:eastAsia="宋体" w:cs="Times New Roman"/>
          <w:lang w:eastAsia="zh-CN"/>
        </w:rPr>
        <w:t>负责废矿物油</w:t>
      </w:r>
      <w:r>
        <w:rPr>
          <w:rFonts w:hint="default" w:ascii="Times New Roman" w:hAnsi="Times New Roman" w:eastAsia="宋体" w:cs="Times New Roman"/>
        </w:rPr>
        <w:t>的收集、</w:t>
      </w:r>
      <w:r>
        <w:rPr>
          <w:rFonts w:hint="default" w:ascii="Times New Roman" w:hAnsi="Times New Roman" w:eastAsia="宋体" w:cs="Times New Roman"/>
          <w:lang w:eastAsia="zh-CN"/>
        </w:rPr>
        <w:t>贮</w:t>
      </w:r>
      <w:r>
        <w:rPr>
          <w:rFonts w:hint="default" w:ascii="Times New Roman" w:hAnsi="Times New Roman" w:eastAsia="宋体" w:cs="Times New Roman"/>
        </w:rPr>
        <w:t>存，不涉及处理加工等处置工艺，项目具体操作流程如下：</w:t>
      </w:r>
    </w:p>
    <w:p w14:paraId="244B4781">
      <w:pPr>
        <w:pStyle w:val="8"/>
        <w:spacing w:line="360" w:lineRule="auto"/>
        <w:ind w:firstLine="48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具体工艺流程及产排污节点如图3.3-1。</w:t>
      </w:r>
    </w:p>
    <w:p w14:paraId="30C3DB7A">
      <w:pPr>
        <w:pStyle w:val="31"/>
        <w:tabs>
          <w:tab w:val="left" w:pos="360"/>
        </w:tabs>
        <w:spacing w:line="360" w:lineRule="auto"/>
        <w:ind w:firstLine="0" w:firstLineChars="0"/>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264785" cy="177355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64785" cy="1773555"/>
                    </a:xfrm>
                    <a:prstGeom prst="rect">
                      <a:avLst/>
                    </a:prstGeom>
                    <a:noFill/>
                    <a:ln>
                      <a:noFill/>
                    </a:ln>
                  </pic:spPr>
                </pic:pic>
              </a:graphicData>
            </a:graphic>
          </wp:inline>
        </w:drawing>
      </w:r>
    </w:p>
    <w:p w14:paraId="130C49EA">
      <w:pPr>
        <w:widowControl/>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图3.3-1  工艺流程及产污节点图</w:t>
      </w:r>
    </w:p>
    <w:p w14:paraId="3DBD7E0C">
      <w:pPr>
        <w:spacing w:line="360" w:lineRule="auto"/>
        <w:ind w:firstLine="482" w:firstLineChars="200"/>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工艺流程说明：</w:t>
      </w:r>
    </w:p>
    <w:p w14:paraId="594D0C18">
      <w:pPr>
        <w:pStyle w:val="126"/>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收集范围为从衡阳地区中小微企业和社会源产废企业、汽车维修行业、4s店等收回，收集的危险废物种类为HW08废矿物油与含矿物油废物，具项目年周转总量不发生变化（4000吨，通过内部调整收集暂存的废矿物油各类的转运量）。</w:t>
      </w:r>
    </w:p>
    <w:p w14:paraId="52D39F53">
      <w:pPr>
        <w:pStyle w:val="126"/>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将上述收集的废矿物油进行分区暂存，贮存周期为2天，委托外协专用危险货物运输车进行运输，运至远大（湖南）再生燃油股份有限公司、湖南衡兴环保科技开发有限公司进行集中处置。</w:t>
      </w:r>
    </w:p>
    <w:p w14:paraId="2B9173E4">
      <w:pPr>
        <w:pStyle w:val="126"/>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（1）收集</w:t>
      </w:r>
    </w:p>
    <w:p w14:paraId="04E8F427">
      <w:pPr>
        <w:pStyle w:val="126"/>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从衡阳地区产油企业专用收集桶，输入至运输罐车，油泵输送期间产生噪声、挥发性有机物废气。</w:t>
      </w:r>
    </w:p>
    <w:p w14:paraId="2BAA36BD">
      <w:pPr>
        <w:pStyle w:val="126"/>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（2）运输</w:t>
      </w:r>
    </w:p>
    <w:p w14:paraId="51DA4D37">
      <w:pPr>
        <w:pStyle w:val="126"/>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项目采用公路运输，委外运输罐车途经道路至厂内储罐装卸区，会产生少量粉尘、汽车尾气和噪声。</w:t>
      </w:r>
    </w:p>
    <w:p w14:paraId="14B9425E">
      <w:pPr>
        <w:pStyle w:val="126"/>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（3）贮存</w:t>
      </w:r>
    </w:p>
    <w:p w14:paraId="24158A30">
      <w:pPr>
        <w:pStyle w:val="126"/>
        <w:widowControl w:val="0"/>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通过油泵，从罐车将废矿物油输入计量罐，再从计量罐通过油泵输送收油至储油罐，油泵输送期间产生噪声，挥发少量有机废气；贮存期间，储油罐大、小呼吸产生挥发性有机物废气，长期贮存罐底会产生少量油泥，均由处置单位来转运时一并抽走处理。</w:t>
      </w:r>
    </w:p>
    <w:p w14:paraId="66031EB1">
      <w:pPr>
        <w:pStyle w:val="126"/>
        <w:widowControl w:val="0"/>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（4）转运</w:t>
      </w:r>
    </w:p>
    <w:p w14:paraId="699DACC6">
      <w:pPr>
        <w:pStyle w:val="126"/>
        <w:widowControl w:val="0"/>
        <w:adjustRightInd/>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当废矿物油储存到一定量后，从储油罐发油至运输罐车，油泵输送期间产生噪声，挥发少量有机废气；转运至有资质单位处置，同运输，产生少量粉尘、汽车尾气和行驶噪声。</w:t>
      </w:r>
    </w:p>
    <w:p w14:paraId="529EC9B9">
      <w:pPr>
        <w:pStyle w:val="126"/>
        <w:adjustRightInd/>
        <w:spacing w:line="360" w:lineRule="auto"/>
        <w:ind w:firstLineChars="200"/>
        <w:rPr>
          <w:rFonts w:hint="default" w:ascii="Times New Roman" w:hAnsi="Times New Roman" w:eastAsia="宋体" w:cs="Times New Roman"/>
        </w:rPr>
      </w:pPr>
      <w:r>
        <w:rPr>
          <w:rFonts w:hint="default" w:ascii="Times New Roman" w:hAnsi="Times New Roman" w:eastAsia="宋体" w:cs="Times New Roman"/>
          <w:b/>
          <w:bCs/>
        </w:rPr>
        <w:t>（二）其他危废收集、暂存、转运</w:t>
      </w:r>
    </w:p>
    <w:p w14:paraId="4CF5D60D">
      <w:pPr>
        <w:pStyle w:val="126"/>
        <w:adjustRightInd/>
        <w:spacing w:line="360" w:lineRule="auto"/>
        <w:ind w:firstLine="480" w:firstLineChars="200"/>
        <w:jc w:val="both"/>
        <w:rPr>
          <w:rFonts w:hint="default" w:ascii="Times New Roman" w:hAnsi="Times New Roman" w:eastAsia="宋体" w:cs="Times New Roman"/>
        </w:rPr>
      </w:pPr>
      <w:r>
        <w:rPr>
          <w:rFonts w:hint="default" w:ascii="Times New Roman" w:hAnsi="Times New Roman" w:eastAsia="宋体" w:cs="Times New Roman"/>
        </w:rPr>
        <w:t>项目只负责危险废物的收集、贮存，不涉及处理加工等处置工艺，项目具体操作流程如下：</w:t>
      </w:r>
    </w:p>
    <w:p w14:paraId="72DCC719">
      <w:pPr>
        <w:pStyle w:val="126"/>
        <w:adjustRightInd/>
        <w:spacing w:line="360" w:lineRule="auto"/>
        <w:ind w:firstLine="0"/>
        <w:jc w:val="center"/>
        <w:rPr>
          <w:rFonts w:hint="default" w:ascii="Times New Roman" w:hAnsi="Times New Roman" w:eastAsia="宋体" w:cs="Times New Roman"/>
        </w:rPr>
      </w:pPr>
      <w:r>
        <w:rPr>
          <w:rFonts w:hint="default" w:ascii="Times New Roman" w:hAnsi="Times New Roman" w:eastAsia="宋体" w:cs="Times New Roman"/>
        </w:rPr>
        <w:drawing>
          <wp:inline distT="0" distB="0" distL="0" distR="0">
            <wp:extent cx="5264785" cy="102552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64785" cy="1025525"/>
                    </a:xfrm>
                    <a:prstGeom prst="rect">
                      <a:avLst/>
                    </a:prstGeom>
                    <a:noFill/>
                    <a:ln>
                      <a:noFill/>
                    </a:ln>
                  </pic:spPr>
                </pic:pic>
              </a:graphicData>
            </a:graphic>
          </wp:inline>
        </w:drawing>
      </w:r>
    </w:p>
    <w:p w14:paraId="146A36D2">
      <w:pPr>
        <w:pStyle w:val="126"/>
        <w:adjustRightInd/>
        <w:spacing w:line="36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b/>
          <w:bCs/>
          <w:sz w:val="21"/>
          <w:szCs w:val="21"/>
        </w:rPr>
        <w:t>图3.3-2  其他危废收集、贮存操作流程图</w:t>
      </w:r>
    </w:p>
    <w:p w14:paraId="6DAF6B93">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工艺流程说明：</w:t>
      </w:r>
    </w:p>
    <w:p w14:paraId="6E0E823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收集范围为从衡阳地区中小微企业和社会源产废企业、汽车维修行业、4s店等收回，收集的危险废物种类为HW03废药物、药品，HW06废有机溶剂与含有机溶剂废物，HW09油/水、烃/水混合物或乳化液、HW10多氯（溴）联苯类废物、</w:t>
      </w:r>
      <w:r>
        <w:rPr>
          <w:rFonts w:hint="default" w:ascii="Times New Roman" w:hAnsi="Times New Roman" w:eastAsia="宋体" w:cs="Times New Roman"/>
          <w:color w:val="000000"/>
          <w:kern w:val="0"/>
          <w:sz w:val="24"/>
          <w:szCs w:val="24"/>
          <w:lang w:bidi="ar"/>
        </w:rPr>
        <w:t>HW12染料、涂料废物，HW13有机树脂类废物，HW16感光材料废物，HW29含汞废物，HW36石棉废物，HW49其他废物，HW50废催化剂，共11个大类，23个小类</w:t>
      </w:r>
      <w:r>
        <w:rPr>
          <w:rFonts w:hint="default" w:ascii="Times New Roman" w:hAnsi="Times New Roman" w:eastAsia="宋体" w:cs="Times New Roman"/>
          <w:sz w:val="24"/>
          <w:szCs w:val="24"/>
        </w:rPr>
        <w:t>。</w:t>
      </w:r>
    </w:p>
    <w:p w14:paraId="6E5B887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将上述收集的危险废物进行中转暂存，贮存周期为1天半～半个月，委托衡阳盛泰物流有限公司派专用危险废物运输车进行运输，运至湖南省内</w:t>
      </w:r>
      <w:r>
        <w:rPr>
          <w:rFonts w:hint="default" w:ascii="Times New Roman" w:hAnsi="Times New Roman" w:eastAsia="宋体" w:cs="Times New Roman"/>
          <w:sz w:val="24"/>
          <w:szCs w:val="24"/>
        </w:rPr>
        <w:t>远大（湖南）再生燃油股份有限公司或湖南衡兴环保科技开发有限公司</w:t>
      </w:r>
      <w:r>
        <w:rPr>
          <w:rFonts w:hint="default" w:ascii="Times New Roman" w:hAnsi="Times New Roman" w:eastAsia="宋体" w:cs="Times New Roman"/>
          <w:color w:val="000000"/>
          <w:sz w:val="24"/>
          <w:szCs w:val="24"/>
        </w:rPr>
        <w:t>进行集中处置</w:t>
      </w:r>
      <w:r>
        <w:rPr>
          <w:rFonts w:hint="default" w:ascii="Times New Roman" w:hAnsi="Times New Roman" w:eastAsia="宋体" w:cs="Times New Roman"/>
          <w:sz w:val="24"/>
          <w:szCs w:val="24"/>
        </w:rPr>
        <w:t>。</w:t>
      </w:r>
    </w:p>
    <w:p w14:paraId="595A422B">
      <w:pPr>
        <w:tabs>
          <w:tab w:val="left" w:pos="1021"/>
        </w:tabs>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（1）危险废物收集</w:t>
      </w:r>
    </w:p>
    <w:p w14:paraId="06E91C9F">
      <w:pPr>
        <w:tabs>
          <w:tab w:val="left" w:pos="1021"/>
        </w:tabs>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委托衡阳盛泰物流有限公司</w:t>
      </w:r>
      <w:r>
        <w:rPr>
          <w:rFonts w:hint="default" w:ascii="Times New Roman" w:hAnsi="Times New Roman" w:eastAsia="宋体" w:cs="Times New Roman"/>
          <w:sz w:val="24"/>
          <w:szCs w:val="24"/>
        </w:rPr>
        <w:t>进行收集运输，同时，车辆为集装箱式货运输，车箱内地面设置耐酸、防渗、防流失地面，内设金属外框加固收集箱。</w:t>
      </w:r>
    </w:p>
    <w:p w14:paraId="4B39F6F9">
      <w:pPr>
        <w:tabs>
          <w:tab w:val="left" w:pos="1021"/>
        </w:tabs>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危险废物收集过程中，工作人员应先检查危险废物相关情况，并在废弃物上张贴相应标签，注明来源、规格、完好情况等信息。收集过程中，完好的废弃物应贮存至车辆的收集箱内，破损废弃物则收集至破损废弃物收集容器内。带挥发性的有机溶液，用原有密闭容器包装，再用纸箱封装，贮存于不高于25℃的密闭空间，防止产生二次污染。</w:t>
      </w:r>
    </w:p>
    <w:p w14:paraId="5E050924">
      <w:pPr>
        <w:tabs>
          <w:tab w:val="left" w:pos="1021"/>
        </w:tabs>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要求在收集后运输路线需满足以下条件：转运车辆运输途中应避开经过医院、学校、居民区等人口密集区，避开饮用水源保护区、风景名胜区等敏感区域。同时，运输车辆应按GB13392的规定悬挂相应标志。</w:t>
      </w:r>
    </w:p>
    <w:p w14:paraId="3699A7EF">
      <w:pPr>
        <w:tabs>
          <w:tab w:val="left" w:pos="1021"/>
        </w:tabs>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（2）进场、卸货、分类、分拣、搬运</w:t>
      </w:r>
    </w:p>
    <w:p w14:paraId="199052E9">
      <w:pPr>
        <w:tabs>
          <w:tab w:val="left" w:pos="1021"/>
        </w:tabs>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收集车辆返厂后过磅称重并记录，车辆进入危废库装卸区停位后，采用人工分类、分拣、人工搬运。不同类别危废送相应区域进行存放并进行登记，卸货后车辆有序离开厂区。在装卸、分类、分拣、搬运过程中产生噪声。</w:t>
      </w:r>
    </w:p>
    <w:p w14:paraId="7020F690">
      <w:pPr>
        <w:tabs>
          <w:tab w:val="left" w:pos="1021"/>
        </w:tabs>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（3）分类贮存</w:t>
      </w:r>
    </w:p>
    <w:p w14:paraId="6F63CA21">
      <w:pPr>
        <w:tabs>
          <w:tab w:val="left" w:pos="1021"/>
        </w:tabs>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在各分类区域内将完好的、有破损的废弃物分开贮存，仓库内设置泄漏液收集沟和应急事故池，所产生的泄漏废险废物经导流沟可自流进入应急事故池内。</w:t>
      </w:r>
    </w:p>
    <w:p w14:paraId="7FFC8C3E">
      <w:pPr>
        <w:numPr>
          <w:ilvl w:val="0"/>
          <w:numId w:val="2"/>
        </w:numPr>
        <w:tabs>
          <w:tab w:val="left" w:pos="1021"/>
        </w:tabs>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运输至有相关处理资质的单位进行处理</w:t>
      </w:r>
    </w:p>
    <w:p w14:paraId="115CDB8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当危险废物收集、贮存达到一定数量，同时，满足运输公司发货车辆额定载重后及时安排转移至下游接收单位远大（湖南）再生燃油股份有限公司或湖南衡兴环保科技开发有限公司并做好登记工作。</w:t>
      </w:r>
    </w:p>
    <w:p w14:paraId="7DA67BEB">
      <w:pPr>
        <w:pStyle w:val="126"/>
        <w:adjustRightInd/>
        <w:spacing w:line="360" w:lineRule="auto"/>
        <w:ind w:firstLineChars="200"/>
        <w:rPr>
          <w:rFonts w:hint="default" w:ascii="Times New Roman" w:hAnsi="Times New Roman" w:eastAsia="宋体" w:cs="Times New Roman"/>
        </w:rPr>
      </w:pPr>
      <w:r>
        <w:rPr>
          <w:rFonts w:hint="default" w:ascii="Times New Roman" w:hAnsi="Times New Roman" w:eastAsia="宋体" w:cs="Times New Roman"/>
          <w:b/>
          <w:bCs/>
        </w:rPr>
        <w:t>（三）现有工程产污环节一览表</w:t>
      </w:r>
    </w:p>
    <w:p w14:paraId="6FB7627E">
      <w:pPr>
        <w:pStyle w:val="130"/>
        <w:spacing w:line="360" w:lineRule="auto"/>
        <w:rPr>
          <w:rFonts w:hint="default" w:ascii="Times New Roman" w:hAnsi="Times New Roman" w:eastAsia="宋体" w:cs="Times New Roman"/>
          <w:b/>
          <w:bCs/>
          <w:szCs w:val="21"/>
        </w:rPr>
      </w:pPr>
      <w:r>
        <w:rPr>
          <w:rFonts w:hint="default" w:ascii="Times New Roman" w:hAnsi="Times New Roman" w:eastAsia="宋体" w:cs="Times New Roman"/>
          <w:b/>
          <w:bCs/>
          <w:color w:val="000000"/>
          <w:szCs w:val="21"/>
        </w:rPr>
        <w:t>表3.3-5</w:t>
      </w:r>
      <w:r>
        <w:rPr>
          <w:rFonts w:hint="default" w:ascii="Times New Roman" w:hAnsi="Times New Roman" w:eastAsia="宋体" w:cs="Times New Roman"/>
          <w:b/>
          <w:bCs/>
          <w:color w:val="FF0000"/>
          <w:szCs w:val="21"/>
        </w:rPr>
        <w:t xml:space="preserve">  </w:t>
      </w:r>
      <w:r>
        <w:rPr>
          <w:rFonts w:hint="default" w:ascii="Times New Roman" w:hAnsi="Times New Roman" w:eastAsia="宋体" w:cs="Times New Roman"/>
          <w:b/>
          <w:bCs/>
          <w:szCs w:val="21"/>
        </w:rPr>
        <w:t>现有工程产污情况汇总一览表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93"/>
        <w:gridCol w:w="798"/>
        <w:gridCol w:w="2064"/>
        <w:gridCol w:w="1593"/>
        <w:gridCol w:w="2036"/>
        <w:gridCol w:w="1238"/>
      </w:tblGrid>
      <w:tr w14:paraId="2960D5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6C3AE86B">
            <w:pPr>
              <w:pStyle w:val="139"/>
              <w:keepNext w:val="0"/>
              <w:keepLines w:val="0"/>
              <w:suppressLineNumbers w:val="0"/>
              <w:spacing w:before="0" w:beforeAutospacing="0" w:after="0" w:afterAutospacing="0"/>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468" w:type="pct"/>
            <w:vAlign w:val="center"/>
          </w:tcPr>
          <w:p w14:paraId="6BC2C99A">
            <w:pPr>
              <w:pStyle w:val="139"/>
              <w:keepNext w:val="0"/>
              <w:keepLines w:val="0"/>
              <w:suppressLineNumbers w:val="0"/>
              <w:spacing w:before="0" w:beforeAutospacing="0" w:after="0" w:afterAutospacing="0"/>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类别</w:t>
            </w:r>
          </w:p>
        </w:tc>
        <w:tc>
          <w:tcPr>
            <w:tcW w:w="1210" w:type="pct"/>
            <w:vAlign w:val="center"/>
          </w:tcPr>
          <w:p w14:paraId="6CDA6489">
            <w:pPr>
              <w:pStyle w:val="139"/>
              <w:keepNext w:val="0"/>
              <w:keepLines w:val="0"/>
              <w:suppressLineNumbers w:val="0"/>
              <w:spacing w:before="0" w:beforeAutospacing="0" w:after="0" w:afterAutospacing="0"/>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主要产生单元</w:t>
            </w:r>
          </w:p>
        </w:tc>
        <w:tc>
          <w:tcPr>
            <w:tcW w:w="934" w:type="pct"/>
            <w:vAlign w:val="center"/>
          </w:tcPr>
          <w:p w14:paraId="637880F0">
            <w:pPr>
              <w:pStyle w:val="139"/>
              <w:keepNext w:val="0"/>
              <w:keepLines w:val="0"/>
              <w:suppressLineNumbers w:val="0"/>
              <w:spacing w:before="0" w:beforeAutospacing="0" w:after="0" w:afterAutospacing="0"/>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产生工序</w:t>
            </w:r>
          </w:p>
        </w:tc>
        <w:tc>
          <w:tcPr>
            <w:tcW w:w="1194" w:type="pct"/>
            <w:vAlign w:val="center"/>
          </w:tcPr>
          <w:p w14:paraId="1DD3F14C">
            <w:pPr>
              <w:pStyle w:val="139"/>
              <w:keepNext w:val="0"/>
              <w:keepLines w:val="0"/>
              <w:suppressLineNumbers w:val="0"/>
              <w:spacing w:before="0" w:beforeAutospacing="0" w:after="0" w:afterAutospacing="0"/>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主要污染物</w:t>
            </w:r>
          </w:p>
        </w:tc>
        <w:tc>
          <w:tcPr>
            <w:tcW w:w="726" w:type="pct"/>
            <w:vAlign w:val="center"/>
          </w:tcPr>
          <w:p w14:paraId="31E7F1C9">
            <w:pPr>
              <w:pStyle w:val="139"/>
              <w:keepNext w:val="0"/>
              <w:keepLines w:val="0"/>
              <w:suppressLineNumbers w:val="0"/>
              <w:spacing w:before="0" w:beforeAutospacing="0" w:after="0" w:afterAutospacing="0"/>
              <w:ind w:left="0" w:right="0"/>
              <w:rPr>
                <w:rFonts w:hint="default" w:ascii="Times New Roman" w:hAnsi="Times New Roman" w:eastAsia="宋体" w:cs="Times New Roman"/>
                <w:b/>
                <w:bCs/>
                <w:szCs w:val="21"/>
              </w:rPr>
            </w:pPr>
            <w:r>
              <w:rPr>
                <w:rFonts w:hint="default" w:ascii="Times New Roman" w:hAnsi="Times New Roman" w:eastAsia="宋体" w:cs="Times New Roman"/>
                <w:b/>
                <w:bCs/>
                <w:szCs w:val="21"/>
              </w:rPr>
              <w:t>排放方式</w:t>
            </w:r>
          </w:p>
        </w:tc>
      </w:tr>
      <w:tr w14:paraId="4B24F0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308D9229">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68" w:type="pct"/>
            <w:vMerge w:val="restart"/>
            <w:vAlign w:val="center"/>
          </w:tcPr>
          <w:p w14:paraId="30D8E6AA">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210" w:type="pct"/>
            <w:vAlign w:val="center"/>
          </w:tcPr>
          <w:p w14:paraId="4DAFFF5F">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废矿物油暂存仓库</w:t>
            </w:r>
          </w:p>
        </w:tc>
        <w:tc>
          <w:tcPr>
            <w:tcW w:w="934" w:type="pct"/>
            <w:vAlign w:val="center"/>
          </w:tcPr>
          <w:p w14:paraId="444E2752">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装卸油、贮存</w:t>
            </w:r>
          </w:p>
        </w:tc>
        <w:tc>
          <w:tcPr>
            <w:tcW w:w="1194" w:type="pct"/>
            <w:vAlign w:val="center"/>
          </w:tcPr>
          <w:p w14:paraId="4B06ECB4">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VOC</w:t>
            </w:r>
            <w:r>
              <w:rPr>
                <w:rFonts w:hint="default" w:ascii="Times New Roman" w:hAnsi="Times New Roman" w:eastAsia="宋体" w:cs="Times New Roman"/>
                <w:szCs w:val="21"/>
                <w:vertAlign w:val="subscript"/>
              </w:rPr>
              <w:t>S</w:t>
            </w:r>
          </w:p>
        </w:tc>
        <w:tc>
          <w:tcPr>
            <w:tcW w:w="726" w:type="pct"/>
            <w:vAlign w:val="center"/>
          </w:tcPr>
          <w:p w14:paraId="6A21CA55">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无组织</w:t>
            </w:r>
          </w:p>
        </w:tc>
      </w:tr>
      <w:tr w14:paraId="02ABB5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1141AEB5">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468" w:type="pct"/>
            <w:vMerge w:val="continue"/>
            <w:vAlign w:val="center"/>
          </w:tcPr>
          <w:p w14:paraId="5C220EDD">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1210" w:type="pct"/>
            <w:vAlign w:val="center"/>
          </w:tcPr>
          <w:p w14:paraId="2616B385">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危险废物暂存仓库</w:t>
            </w:r>
          </w:p>
        </w:tc>
        <w:tc>
          <w:tcPr>
            <w:tcW w:w="934" w:type="pct"/>
            <w:vAlign w:val="center"/>
          </w:tcPr>
          <w:p w14:paraId="39E214DE">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贮存</w:t>
            </w:r>
          </w:p>
        </w:tc>
        <w:tc>
          <w:tcPr>
            <w:tcW w:w="1194" w:type="pct"/>
            <w:vAlign w:val="center"/>
          </w:tcPr>
          <w:p w14:paraId="40310F03">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VOC</w:t>
            </w:r>
            <w:r>
              <w:rPr>
                <w:rFonts w:hint="default" w:ascii="Times New Roman" w:hAnsi="Times New Roman" w:eastAsia="宋体" w:cs="Times New Roman"/>
                <w:color w:val="000000"/>
                <w:szCs w:val="21"/>
                <w:vertAlign w:val="subscript"/>
              </w:rPr>
              <w:t>S</w:t>
            </w:r>
          </w:p>
        </w:tc>
        <w:tc>
          <w:tcPr>
            <w:tcW w:w="726" w:type="pct"/>
            <w:vAlign w:val="center"/>
          </w:tcPr>
          <w:p w14:paraId="57B28D73">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有组织</w:t>
            </w:r>
          </w:p>
        </w:tc>
      </w:tr>
      <w:tr w14:paraId="5E293A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797CD517">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468" w:type="pct"/>
            <w:vAlign w:val="center"/>
          </w:tcPr>
          <w:p w14:paraId="5EF2F260">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210" w:type="pct"/>
            <w:vAlign w:val="center"/>
          </w:tcPr>
          <w:p w14:paraId="62E8E92F">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办公区</w:t>
            </w:r>
          </w:p>
        </w:tc>
        <w:tc>
          <w:tcPr>
            <w:tcW w:w="934" w:type="pct"/>
            <w:vAlign w:val="center"/>
          </w:tcPr>
          <w:p w14:paraId="4BC72828">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办公</w:t>
            </w:r>
          </w:p>
        </w:tc>
        <w:tc>
          <w:tcPr>
            <w:tcW w:w="1194" w:type="pct"/>
            <w:vAlign w:val="center"/>
          </w:tcPr>
          <w:p w14:paraId="66D4973E">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w:t>
            </w:r>
          </w:p>
        </w:tc>
        <w:tc>
          <w:tcPr>
            <w:tcW w:w="726" w:type="pct"/>
            <w:vAlign w:val="center"/>
          </w:tcPr>
          <w:p w14:paraId="67933478">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间歇</w:t>
            </w:r>
          </w:p>
        </w:tc>
      </w:tr>
      <w:tr w14:paraId="26AC9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594D8E4B">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468" w:type="pct"/>
            <w:vAlign w:val="center"/>
          </w:tcPr>
          <w:p w14:paraId="03824C9A">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1210" w:type="pct"/>
            <w:vAlign w:val="center"/>
          </w:tcPr>
          <w:p w14:paraId="4F06D086">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装卸区</w:t>
            </w:r>
          </w:p>
        </w:tc>
        <w:tc>
          <w:tcPr>
            <w:tcW w:w="934" w:type="pct"/>
            <w:vAlign w:val="center"/>
          </w:tcPr>
          <w:p w14:paraId="1CFD2F17">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车辆行驶</w:t>
            </w:r>
          </w:p>
        </w:tc>
        <w:tc>
          <w:tcPr>
            <w:tcW w:w="1194" w:type="pct"/>
            <w:vAlign w:val="center"/>
          </w:tcPr>
          <w:p w14:paraId="5B69B02C">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噪声</w:t>
            </w:r>
          </w:p>
        </w:tc>
        <w:tc>
          <w:tcPr>
            <w:tcW w:w="726" w:type="pct"/>
            <w:vAlign w:val="center"/>
          </w:tcPr>
          <w:p w14:paraId="193C9895">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04DEB0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7BDC8205">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468" w:type="pct"/>
            <w:vMerge w:val="restart"/>
            <w:vAlign w:val="center"/>
          </w:tcPr>
          <w:p w14:paraId="61754113">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固体废物</w:t>
            </w:r>
          </w:p>
          <w:p w14:paraId="66FA4B1E">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1210" w:type="pct"/>
            <w:vAlign w:val="center"/>
          </w:tcPr>
          <w:p w14:paraId="5B48E9B2">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收集、贮存危险废物</w:t>
            </w:r>
          </w:p>
        </w:tc>
        <w:tc>
          <w:tcPr>
            <w:tcW w:w="934" w:type="pct"/>
            <w:vAlign w:val="center"/>
          </w:tcPr>
          <w:p w14:paraId="66DE2CB0">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装卸废矿物油、危险废物</w:t>
            </w:r>
          </w:p>
        </w:tc>
        <w:tc>
          <w:tcPr>
            <w:tcW w:w="1194" w:type="pct"/>
            <w:vAlign w:val="center"/>
          </w:tcPr>
          <w:p w14:paraId="23F87D31">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含废矿物油、含危险废物的劳保用品</w:t>
            </w:r>
          </w:p>
        </w:tc>
        <w:tc>
          <w:tcPr>
            <w:tcW w:w="726" w:type="pct"/>
            <w:vAlign w:val="center"/>
          </w:tcPr>
          <w:p w14:paraId="407D0F25">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w:t>
            </w:r>
          </w:p>
        </w:tc>
      </w:tr>
      <w:tr w14:paraId="571574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56D9CE19">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468" w:type="pct"/>
            <w:vMerge w:val="continue"/>
            <w:vAlign w:val="center"/>
          </w:tcPr>
          <w:p w14:paraId="0C0F4BC3">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1210" w:type="pct"/>
            <w:vAlign w:val="center"/>
          </w:tcPr>
          <w:p w14:paraId="4DD7788B">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收集、贮存危险废物</w:t>
            </w:r>
          </w:p>
        </w:tc>
        <w:tc>
          <w:tcPr>
            <w:tcW w:w="934" w:type="pct"/>
            <w:vAlign w:val="center"/>
          </w:tcPr>
          <w:p w14:paraId="2E0634EF">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清理少量泄漏</w:t>
            </w:r>
            <w:r>
              <w:rPr>
                <w:rFonts w:hint="default" w:ascii="Times New Roman" w:hAnsi="Times New Roman" w:eastAsia="宋体" w:cs="Times New Roman"/>
                <w:szCs w:val="21"/>
              </w:rPr>
              <w:t>废矿物油、危险废物</w:t>
            </w:r>
          </w:p>
        </w:tc>
        <w:tc>
          <w:tcPr>
            <w:tcW w:w="1194" w:type="pct"/>
            <w:vAlign w:val="center"/>
          </w:tcPr>
          <w:p w14:paraId="7426F187">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szCs w:val="21"/>
              </w:rPr>
              <w:t>含</w:t>
            </w:r>
            <w:r>
              <w:rPr>
                <w:rFonts w:hint="default" w:ascii="Times New Roman" w:hAnsi="Times New Roman" w:eastAsia="宋体" w:cs="Times New Roman"/>
                <w:szCs w:val="21"/>
              </w:rPr>
              <w:t>废矿物油、危险废物</w:t>
            </w:r>
            <w:r>
              <w:rPr>
                <w:rFonts w:hint="default" w:ascii="Times New Roman" w:hAnsi="Times New Roman" w:eastAsia="宋体" w:cs="Times New Roman"/>
                <w:color w:val="000000"/>
                <w:szCs w:val="21"/>
              </w:rPr>
              <w:t>的吸油毡、抹布等</w:t>
            </w:r>
          </w:p>
        </w:tc>
        <w:tc>
          <w:tcPr>
            <w:tcW w:w="726" w:type="pct"/>
            <w:vAlign w:val="center"/>
          </w:tcPr>
          <w:p w14:paraId="71253127">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w:t>
            </w:r>
          </w:p>
        </w:tc>
      </w:tr>
      <w:tr w14:paraId="00A04F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7267B7C1">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468" w:type="pct"/>
            <w:vMerge w:val="continue"/>
            <w:vAlign w:val="center"/>
          </w:tcPr>
          <w:p w14:paraId="2DCD546E">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1210" w:type="pct"/>
            <w:vAlign w:val="center"/>
          </w:tcPr>
          <w:p w14:paraId="3AA3E4BD">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收集、贮存危险废物</w:t>
            </w:r>
          </w:p>
        </w:tc>
        <w:tc>
          <w:tcPr>
            <w:tcW w:w="934" w:type="pct"/>
            <w:vAlign w:val="center"/>
          </w:tcPr>
          <w:p w14:paraId="6F1D9BFC">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收集、贮存</w:t>
            </w:r>
          </w:p>
        </w:tc>
        <w:tc>
          <w:tcPr>
            <w:tcW w:w="1194" w:type="pct"/>
            <w:vAlign w:val="center"/>
          </w:tcPr>
          <w:p w14:paraId="5392296A">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废油桶、废弃包装物</w:t>
            </w:r>
          </w:p>
        </w:tc>
        <w:tc>
          <w:tcPr>
            <w:tcW w:w="726" w:type="pct"/>
            <w:vAlign w:val="center"/>
          </w:tcPr>
          <w:p w14:paraId="760932B9">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w:t>
            </w:r>
          </w:p>
        </w:tc>
      </w:tr>
      <w:tr w14:paraId="5BE710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37A719C5">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468" w:type="pct"/>
            <w:vMerge w:val="continue"/>
            <w:vAlign w:val="center"/>
          </w:tcPr>
          <w:p w14:paraId="3E77926D">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1210" w:type="pct"/>
            <w:vAlign w:val="center"/>
          </w:tcPr>
          <w:p w14:paraId="4C51DF86">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废气处理设施</w:t>
            </w:r>
          </w:p>
        </w:tc>
        <w:tc>
          <w:tcPr>
            <w:tcW w:w="934" w:type="pct"/>
            <w:vAlign w:val="center"/>
          </w:tcPr>
          <w:p w14:paraId="614F4054">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净化废气</w:t>
            </w:r>
          </w:p>
        </w:tc>
        <w:tc>
          <w:tcPr>
            <w:tcW w:w="1194" w:type="pct"/>
            <w:vAlign w:val="center"/>
          </w:tcPr>
          <w:p w14:paraId="633D1528">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废活性炭</w:t>
            </w:r>
          </w:p>
        </w:tc>
        <w:tc>
          <w:tcPr>
            <w:tcW w:w="726" w:type="pct"/>
            <w:vAlign w:val="center"/>
          </w:tcPr>
          <w:p w14:paraId="1CF04915">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21CF13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465" w:type="pct"/>
            <w:vAlign w:val="center"/>
          </w:tcPr>
          <w:p w14:paraId="125C233F">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468" w:type="pct"/>
            <w:vMerge w:val="continue"/>
            <w:vAlign w:val="center"/>
          </w:tcPr>
          <w:p w14:paraId="6B1FE209">
            <w:pPr>
              <w:pStyle w:val="139"/>
              <w:keepNext w:val="0"/>
              <w:keepLines w:val="0"/>
              <w:suppressLineNumbers w:val="0"/>
              <w:spacing w:before="0" w:beforeAutospacing="0" w:after="0" w:afterAutospacing="0"/>
              <w:ind w:left="0" w:right="0"/>
              <w:rPr>
                <w:rFonts w:hint="default" w:ascii="Times New Roman" w:hAnsi="Times New Roman" w:eastAsia="宋体" w:cs="Times New Roman"/>
                <w:szCs w:val="21"/>
              </w:rPr>
            </w:pPr>
          </w:p>
        </w:tc>
        <w:tc>
          <w:tcPr>
            <w:tcW w:w="1210" w:type="pct"/>
            <w:vAlign w:val="center"/>
          </w:tcPr>
          <w:p w14:paraId="08D59A5F">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办公区</w:t>
            </w:r>
          </w:p>
        </w:tc>
        <w:tc>
          <w:tcPr>
            <w:tcW w:w="934" w:type="pct"/>
            <w:vAlign w:val="center"/>
          </w:tcPr>
          <w:p w14:paraId="3C2189CE">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员工办公</w:t>
            </w:r>
          </w:p>
        </w:tc>
        <w:tc>
          <w:tcPr>
            <w:tcW w:w="1194" w:type="pct"/>
            <w:vAlign w:val="center"/>
          </w:tcPr>
          <w:p w14:paraId="3237337F">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生活垃圾</w:t>
            </w:r>
          </w:p>
        </w:tc>
        <w:tc>
          <w:tcPr>
            <w:tcW w:w="726" w:type="pct"/>
            <w:vAlign w:val="center"/>
          </w:tcPr>
          <w:p w14:paraId="0A2ACD86">
            <w:pPr>
              <w:pStyle w:val="139"/>
              <w:keepNext w:val="0"/>
              <w:keepLines w:val="0"/>
              <w:suppressLineNumbers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w:t>
            </w:r>
          </w:p>
        </w:tc>
      </w:tr>
    </w:tbl>
    <w:p w14:paraId="377F48A9">
      <w:pPr>
        <w:pStyle w:val="4"/>
        <w:spacing w:before="0" w:after="0" w:line="360" w:lineRule="auto"/>
        <w:jc w:val="left"/>
        <w:rPr>
          <w:rFonts w:hint="default" w:ascii="Times New Roman" w:hAnsi="Times New Roman" w:eastAsia="宋体" w:cs="Times New Roman"/>
          <w:sz w:val="24"/>
          <w:u w:val="single" w:color="auto"/>
          <w:lang w:val="en-US" w:eastAsia="zh-CN"/>
        </w:rPr>
      </w:pPr>
      <w:bookmarkStart w:id="232" w:name="_Toc106961876"/>
      <w:bookmarkStart w:id="233" w:name="_Toc123733080"/>
      <w:r>
        <w:rPr>
          <w:rFonts w:hint="default" w:ascii="Times New Roman" w:hAnsi="Times New Roman" w:eastAsia="宋体" w:cs="Times New Roman"/>
          <w:sz w:val="24"/>
          <w:u w:val="single" w:color="auto"/>
        </w:rPr>
        <w:t>3.3.</w:t>
      </w:r>
      <w:r>
        <w:rPr>
          <w:rFonts w:hint="default" w:ascii="Times New Roman" w:hAnsi="Times New Roman" w:eastAsia="宋体" w:cs="Times New Roman"/>
          <w:sz w:val="24"/>
          <w:u w:val="single" w:color="auto"/>
          <w:lang w:val="en-US" w:eastAsia="zh-CN"/>
        </w:rPr>
        <w:t>9</w:t>
      </w:r>
      <w:r>
        <w:rPr>
          <w:rFonts w:hint="default" w:ascii="Times New Roman" w:hAnsi="Times New Roman" w:eastAsia="宋体" w:cs="Times New Roman"/>
          <w:kern w:val="0"/>
          <w:sz w:val="24"/>
          <w:u w:val="single" w:color="auto"/>
        </w:rPr>
        <w:t>现有工程</w:t>
      </w:r>
      <w:r>
        <w:rPr>
          <w:rFonts w:hint="default" w:ascii="Times New Roman" w:hAnsi="Times New Roman" w:eastAsia="宋体" w:cs="Times New Roman"/>
          <w:kern w:val="0"/>
          <w:sz w:val="24"/>
          <w:u w:val="single" w:color="auto"/>
          <w:lang w:val="en-US" w:eastAsia="zh-CN"/>
        </w:rPr>
        <w:t>变动情况</w:t>
      </w:r>
    </w:p>
    <w:p w14:paraId="3BFBC9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color="auto"/>
          <w:lang w:val="en-US" w:eastAsia="zh-CN"/>
        </w:rPr>
      </w:pPr>
      <w:r>
        <w:rPr>
          <w:rFonts w:hint="default" w:ascii="Times New Roman" w:hAnsi="Times New Roman" w:eastAsia="宋体" w:cs="Times New Roman"/>
          <w:sz w:val="24"/>
          <w:szCs w:val="28"/>
          <w:u w:val="single" w:color="auto"/>
          <w:lang w:val="en-US" w:eastAsia="zh-CN"/>
        </w:rPr>
        <w:t>对照</w:t>
      </w:r>
      <w:r>
        <w:rPr>
          <w:rFonts w:hint="default" w:ascii="Times New Roman" w:hAnsi="Times New Roman" w:eastAsia="宋体" w:cs="Times New Roman"/>
          <w:sz w:val="24"/>
          <w:szCs w:val="28"/>
          <w:u w:val="single" w:color="auto"/>
        </w:rPr>
        <w:t>《污染影响类建设项目重大变动清单（试行）》（环办环评函[2020]688 号）</w:t>
      </w:r>
      <w:r>
        <w:rPr>
          <w:rFonts w:hint="default" w:ascii="Times New Roman" w:hAnsi="Times New Roman" w:eastAsia="宋体" w:cs="Times New Roman"/>
          <w:sz w:val="24"/>
          <w:szCs w:val="28"/>
          <w:u w:val="single" w:color="auto"/>
          <w:lang w:eastAsia="zh-CN"/>
        </w:rPr>
        <w:t>，</w:t>
      </w:r>
      <w:r>
        <w:rPr>
          <w:rFonts w:hint="default" w:ascii="Times New Roman" w:hAnsi="Times New Roman" w:eastAsia="宋体" w:cs="Times New Roman"/>
          <w:sz w:val="24"/>
          <w:szCs w:val="28"/>
          <w:u w:val="single" w:color="auto"/>
          <w:lang w:val="en-US" w:eastAsia="zh-CN"/>
        </w:rPr>
        <w:t>结合现场勘查，本项目具体变动情况详见下表：</w:t>
      </w:r>
    </w:p>
    <w:p w14:paraId="58A343E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8"/>
          <w:u w:val="single" w:color="auto"/>
          <w:lang w:val="en-US" w:eastAsia="zh-CN"/>
        </w:rPr>
      </w:pPr>
    </w:p>
    <w:p w14:paraId="3CCB3CC9">
      <w:pPr>
        <w:pStyle w:val="72"/>
        <w:jc w:val="center"/>
        <w:rPr>
          <w:rFonts w:hint="default" w:ascii="Times New Roman" w:hAnsi="Times New Roman" w:eastAsia="宋体" w:cs="Times New Roman"/>
          <w:b/>
          <w:bCs w:val="0"/>
          <w:color w:val="auto"/>
          <w:sz w:val="21"/>
          <w:szCs w:val="18"/>
          <w:u w:val="single" w:color="auto"/>
          <w:lang w:val="en-US" w:eastAsia="zh-CN"/>
        </w:rPr>
      </w:pPr>
    </w:p>
    <w:p w14:paraId="7F0FDE70">
      <w:pPr>
        <w:pStyle w:val="72"/>
        <w:jc w:val="center"/>
        <w:rPr>
          <w:rFonts w:hint="default" w:ascii="Times New Roman" w:hAnsi="Times New Roman" w:eastAsia="宋体" w:cs="Times New Roman"/>
          <w:b/>
          <w:bCs w:val="0"/>
          <w:color w:val="auto"/>
          <w:sz w:val="21"/>
          <w:szCs w:val="18"/>
          <w:u w:val="single" w:color="auto"/>
          <w:lang w:val="en-US" w:eastAsia="zh-CN"/>
        </w:rPr>
      </w:pPr>
      <w:r>
        <w:rPr>
          <w:rFonts w:hint="default" w:ascii="Times New Roman" w:hAnsi="Times New Roman" w:eastAsia="宋体" w:cs="Times New Roman"/>
          <w:b/>
          <w:bCs w:val="0"/>
          <w:color w:val="auto"/>
          <w:sz w:val="21"/>
          <w:szCs w:val="18"/>
          <w:u w:val="single" w:color="auto"/>
          <w:lang w:val="en-US" w:eastAsia="zh-CN"/>
        </w:rPr>
        <w:t>表3.3-6   与“环办环评函〔2020〕688号”变动清单对照一览表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55"/>
        <w:gridCol w:w="4143"/>
        <w:gridCol w:w="1667"/>
        <w:gridCol w:w="1292"/>
        <w:gridCol w:w="965"/>
      </w:tblGrid>
      <w:tr w14:paraId="4AC614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063959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u w:val="single" w:color="auto"/>
                <w:vertAlign w:val="baseline"/>
                <w:lang w:val="en-US" w:eastAsia="zh-CN" w:bidi="ar-SA"/>
              </w:rPr>
            </w:pPr>
            <w:r>
              <w:rPr>
                <w:rFonts w:hint="default" w:ascii="Times New Roman" w:hAnsi="Times New Roman" w:eastAsia="宋体" w:cs="Times New Roman"/>
                <w:b/>
                <w:bCs/>
                <w:color w:val="auto"/>
                <w:sz w:val="21"/>
                <w:szCs w:val="21"/>
                <w:u w:val="single" w:color="auto"/>
                <w:vertAlign w:val="baseline"/>
                <w:lang w:val="en-US" w:eastAsia="zh-CN"/>
              </w:rPr>
              <w:t>性质</w:t>
            </w:r>
          </w:p>
        </w:tc>
      </w:tr>
      <w:tr w14:paraId="26F16B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5958BA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u w:val="single" w:color="auto"/>
                <w:vertAlign w:val="baseline"/>
                <w:lang w:val="en-US" w:eastAsia="zh-CN" w:bidi="ar-SA"/>
              </w:rPr>
            </w:pPr>
            <w:r>
              <w:rPr>
                <w:rFonts w:hint="default" w:ascii="Times New Roman" w:hAnsi="Times New Roman" w:eastAsia="宋体" w:cs="Times New Roman"/>
                <w:b/>
                <w:bCs/>
                <w:color w:val="auto"/>
                <w:sz w:val="21"/>
                <w:szCs w:val="21"/>
                <w:u w:val="single" w:color="auto"/>
                <w:vertAlign w:val="baseline"/>
                <w:lang w:val="en-US" w:eastAsia="zh-CN"/>
              </w:rPr>
              <w:t>序号</w:t>
            </w:r>
          </w:p>
        </w:tc>
        <w:tc>
          <w:tcPr>
            <w:tcW w:w="2431" w:type="pct"/>
            <w:tcBorders>
              <w:tl2br w:val="nil"/>
              <w:tr2bl w:val="nil"/>
            </w:tcBorders>
            <w:noWrap w:val="0"/>
            <w:vAlign w:val="center"/>
          </w:tcPr>
          <w:p w14:paraId="42AAD1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u w:val="single" w:color="auto"/>
                <w:vertAlign w:val="baseline"/>
                <w:lang w:val="en-US" w:eastAsia="zh-CN" w:bidi="ar-SA"/>
              </w:rPr>
            </w:pPr>
            <w:r>
              <w:rPr>
                <w:rFonts w:hint="default" w:ascii="Times New Roman" w:hAnsi="Times New Roman" w:eastAsia="宋体" w:cs="Times New Roman"/>
                <w:b/>
                <w:bCs/>
                <w:color w:val="auto"/>
                <w:sz w:val="21"/>
                <w:szCs w:val="21"/>
                <w:u w:val="single" w:color="auto"/>
                <w:vertAlign w:val="baseline"/>
                <w:lang w:val="en-US" w:eastAsia="zh-CN"/>
              </w:rPr>
              <w:t>变动清单内容</w:t>
            </w:r>
          </w:p>
        </w:tc>
        <w:tc>
          <w:tcPr>
            <w:tcW w:w="978" w:type="pct"/>
            <w:tcBorders>
              <w:tl2br w:val="nil"/>
              <w:tr2bl w:val="nil"/>
            </w:tcBorders>
            <w:noWrap w:val="0"/>
            <w:vAlign w:val="center"/>
          </w:tcPr>
          <w:p w14:paraId="639924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u w:val="single" w:color="auto"/>
                <w:vertAlign w:val="baseline"/>
                <w:lang w:val="en-US" w:eastAsia="zh-CN" w:bidi="ar-SA"/>
              </w:rPr>
            </w:pPr>
            <w:r>
              <w:rPr>
                <w:rFonts w:hint="default" w:ascii="Times New Roman" w:hAnsi="Times New Roman" w:eastAsia="宋体" w:cs="Times New Roman"/>
                <w:b/>
                <w:bCs/>
                <w:color w:val="auto"/>
                <w:sz w:val="21"/>
                <w:szCs w:val="21"/>
                <w:u w:val="single" w:color="auto"/>
                <w:vertAlign w:val="baseline"/>
                <w:lang w:val="en-US" w:eastAsia="zh-CN"/>
              </w:rPr>
              <w:t>本项目实际情况</w:t>
            </w:r>
          </w:p>
        </w:tc>
        <w:tc>
          <w:tcPr>
            <w:tcW w:w="758" w:type="pct"/>
            <w:tcBorders>
              <w:tl2br w:val="nil"/>
              <w:tr2bl w:val="nil"/>
            </w:tcBorders>
            <w:noWrap w:val="0"/>
            <w:vAlign w:val="center"/>
          </w:tcPr>
          <w:p w14:paraId="0D045B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u w:val="single" w:color="auto"/>
                <w:vertAlign w:val="baseline"/>
                <w:lang w:val="en-US" w:eastAsia="zh-CN" w:bidi="ar-SA"/>
              </w:rPr>
            </w:pPr>
            <w:r>
              <w:rPr>
                <w:rFonts w:hint="default" w:ascii="Times New Roman" w:hAnsi="Times New Roman" w:eastAsia="宋体" w:cs="Times New Roman"/>
                <w:b/>
                <w:bCs/>
                <w:color w:val="auto"/>
                <w:sz w:val="21"/>
                <w:szCs w:val="21"/>
                <w:u w:val="single" w:color="auto"/>
                <w:vertAlign w:val="baseline"/>
                <w:lang w:val="en-US" w:eastAsia="zh-CN"/>
              </w:rPr>
              <w:t>变动说明</w:t>
            </w:r>
          </w:p>
        </w:tc>
        <w:tc>
          <w:tcPr>
            <w:tcW w:w="564" w:type="pct"/>
            <w:tcBorders>
              <w:tl2br w:val="nil"/>
              <w:tr2bl w:val="nil"/>
            </w:tcBorders>
            <w:noWrap w:val="0"/>
            <w:vAlign w:val="center"/>
          </w:tcPr>
          <w:p w14:paraId="1E41136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kern w:val="2"/>
                <w:sz w:val="21"/>
                <w:szCs w:val="21"/>
                <w:u w:val="single" w:color="auto"/>
                <w:vertAlign w:val="baseline"/>
                <w:lang w:val="en-US" w:eastAsia="zh-CN" w:bidi="ar-SA"/>
              </w:rPr>
            </w:pPr>
            <w:r>
              <w:rPr>
                <w:rFonts w:hint="default" w:ascii="Times New Roman" w:hAnsi="Times New Roman" w:eastAsia="宋体" w:cs="Times New Roman"/>
                <w:b/>
                <w:bCs/>
                <w:color w:val="auto"/>
                <w:sz w:val="21"/>
                <w:szCs w:val="21"/>
                <w:u w:val="single" w:color="auto"/>
                <w:vertAlign w:val="baseline"/>
                <w:lang w:val="en-US" w:eastAsia="zh-CN"/>
              </w:rPr>
              <w:t>是否属于重大变动</w:t>
            </w:r>
          </w:p>
        </w:tc>
      </w:tr>
      <w:tr w14:paraId="176259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215FC75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1</w:t>
            </w:r>
          </w:p>
        </w:tc>
        <w:tc>
          <w:tcPr>
            <w:tcW w:w="2431" w:type="pct"/>
            <w:tcBorders>
              <w:tl2br w:val="nil"/>
              <w:tr2bl w:val="nil"/>
            </w:tcBorders>
            <w:noWrap w:val="0"/>
            <w:vAlign w:val="center"/>
          </w:tcPr>
          <w:p w14:paraId="4B041B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建设项目开发、使用功能发生变化的</w:t>
            </w:r>
          </w:p>
        </w:tc>
        <w:tc>
          <w:tcPr>
            <w:tcW w:w="978" w:type="pct"/>
            <w:tcBorders>
              <w:tl2br w:val="nil"/>
              <w:tr2bl w:val="nil"/>
            </w:tcBorders>
            <w:noWrap w:val="0"/>
            <w:vAlign w:val="center"/>
          </w:tcPr>
          <w:p w14:paraId="3550E6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仍为危废</w:t>
            </w:r>
            <w:r>
              <w:rPr>
                <w:rFonts w:hint="default" w:ascii="Times New Roman" w:hAnsi="Times New Roman" w:eastAsia="宋体" w:cs="Times New Roman"/>
                <w:color w:val="auto"/>
                <w:kern w:val="0"/>
                <w:sz w:val="21"/>
                <w:szCs w:val="21"/>
                <w:u w:val="single" w:color="auto"/>
                <w:lang w:eastAsia="zh-CN"/>
              </w:rPr>
              <w:t>收集贮存</w:t>
            </w:r>
          </w:p>
        </w:tc>
        <w:tc>
          <w:tcPr>
            <w:tcW w:w="758" w:type="pct"/>
            <w:tcBorders>
              <w:tl2br w:val="nil"/>
              <w:tr2bl w:val="nil"/>
            </w:tcBorders>
            <w:noWrap w:val="0"/>
            <w:vAlign w:val="center"/>
          </w:tcPr>
          <w:p w14:paraId="5560BE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3B967B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否</w:t>
            </w:r>
          </w:p>
        </w:tc>
      </w:tr>
      <w:tr w14:paraId="7F9542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67716D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u w:val="single" w:color="auto"/>
                <w:vertAlign w:val="baseline"/>
                <w:lang w:val="en-US" w:eastAsia="zh-CN"/>
              </w:rPr>
            </w:pPr>
            <w:r>
              <w:rPr>
                <w:rFonts w:hint="default" w:ascii="Times New Roman" w:hAnsi="Times New Roman" w:eastAsia="宋体" w:cs="Times New Roman"/>
                <w:b/>
                <w:bCs/>
                <w:color w:val="auto"/>
                <w:sz w:val="21"/>
                <w:szCs w:val="21"/>
                <w:u w:val="single" w:color="auto"/>
                <w:vertAlign w:val="baseline"/>
                <w:lang w:val="en-US" w:eastAsia="zh-CN"/>
              </w:rPr>
              <w:t>规模</w:t>
            </w:r>
          </w:p>
        </w:tc>
      </w:tr>
      <w:tr w14:paraId="7BE07D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6C78A1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2</w:t>
            </w:r>
          </w:p>
        </w:tc>
        <w:tc>
          <w:tcPr>
            <w:tcW w:w="2431" w:type="pct"/>
            <w:tcBorders>
              <w:tl2br w:val="nil"/>
              <w:tr2bl w:val="nil"/>
            </w:tcBorders>
            <w:noWrap w:val="0"/>
            <w:vAlign w:val="center"/>
          </w:tcPr>
          <w:p w14:paraId="5E95ED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生产、处置或储存能力增大30%及以上的</w:t>
            </w:r>
          </w:p>
        </w:tc>
        <w:tc>
          <w:tcPr>
            <w:tcW w:w="978" w:type="pct"/>
            <w:tcBorders>
              <w:tl2br w:val="nil"/>
              <w:tr2bl w:val="nil"/>
            </w:tcBorders>
            <w:noWrap w:val="0"/>
            <w:vAlign w:val="center"/>
          </w:tcPr>
          <w:p w14:paraId="0FB7D0E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vertAlign w:val="baseline"/>
                <w:lang w:val="en-US" w:eastAsia="zh-CN"/>
              </w:rPr>
              <w:t>仍</w:t>
            </w:r>
            <w:r>
              <w:rPr>
                <w:rFonts w:hint="default" w:ascii="Times New Roman" w:hAnsi="Times New Roman" w:eastAsia="宋体" w:cs="Times New Roman"/>
                <w:color w:val="auto"/>
                <w:kern w:val="0"/>
                <w:sz w:val="21"/>
                <w:szCs w:val="21"/>
                <w:u w:val="single" w:color="auto"/>
                <w:lang w:eastAsia="zh-CN"/>
              </w:rPr>
              <w:t>收集贮存9800吨危废</w:t>
            </w:r>
          </w:p>
        </w:tc>
        <w:tc>
          <w:tcPr>
            <w:tcW w:w="758" w:type="pct"/>
            <w:tcBorders>
              <w:tl2br w:val="nil"/>
              <w:tr2bl w:val="nil"/>
            </w:tcBorders>
            <w:noWrap w:val="0"/>
            <w:vAlign w:val="center"/>
          </w:tcPr>
          <w:p w14:paraId="69FD20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30C4FC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de-DE" w:eastAsia="zh-CN"/>
              </w:rPr>
            </w:pPr>
            <w:r>
              <w:rPr>
                <w:rFonts w:hint="default" w:ascii="Times New Roman" w:hAnsi="Times New Roman" w:eastAsia="宋体" w:cs="Times New Roman"/>
                <w:color w:val="auto"/>
                <w:sz w:val="21"/>
                <w:szCs w:val="21"/>
                <w:u w:val="single" w:color="auto"/>
                <w:vertAlign w:val="baseline"/>
                <w:lang w:val="en-US" w:eastAsia="zh-CN"/>
              </w:rPr>
              <w:t>否</w:t>
            </w:r>
          </w:p>
        </w:tc>
      </w:tr>
      <w:tr w14:paraId="387B67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44FD5E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w:t>
            </w:r>
          </w:p>
        </w:tc>
        <w:tc>
          <w:tcPr>
            <w:tcW w:w="2431" w:type="pct"/>
            <w:tcBorders>
              <w:tl2br w:val="nil"/>
              <w:tr2bl w:val="nil"/>
            </w:tcBorders>
            <w:noWrap w:val="0"/>
            <w:vAlign w:val="center"/>
          </w:tcPr>
          <w:p w14:paraId="164F13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生产、处置或储存能力增大，导致废水第一类污染物排放量增加的</w:t>
            </w:r>
          </w:p>
        </w:tc>
        <w:tc>
          <w:tcPr>
            <w:tcW w:w="978" w:type="pct"/>
            <w:tcBorders>
              <w:tl2br w:val="nil"/>
              <w:tr2bl w:val="nil"/>
            </w:tcBorders>
            <w:noWrap w:val="0"/>
            <w:vAlign w:val="center"/>
          </w:tcPr>
          <w:p w14:paraId="21B7FB4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不增大，且无生产工艺废水</w:t>
            </w:r>
          </w:p>
        </w:tc>
        <w:tc>
          <w:tcPr>
            <w:tcW w:w="758" w:type="pct"/>
            <w:tcBorders>
              <w:tl2br w:val="nil"/>
              <w:tr2bl w:val="nil"/>
            </w:tcBorders>
            <w:noWrap w:val="0"/>
            <w:vAlign w:val="center"/>
          </w:tcPr>
          <w:p w14:paraId="0FB587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37AFCD2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de-DE" w:eastAsia="zh-CN" w:bidi="ar-SA"/>
              </w:rPr>
            </w:pPr>
            <w:r>
              <w:rPr>
                <w:rFonts w:hint="default" w:ascii="Times New Roman" w:hAnsi="Times New Roman" w:eastAsia="宋体" w:cs="Times New Roman"/>
                <w:color w:val="auto"/>
                <w:sz w:val="21"/>
                <w:szCs w:val="21"/>
                <w:u w:val="single" w:color="auto"/>
                <w:vertAlign w:val="baseline"/>
                <w:lang w:val="en-US" w:eastAsia="zh-CN"/>
              </w:rPr>
              <w:t>否</w:t>
            </w:r>
          </w:p>
        </w:tc>
      </w:tr>
      <w:tr w14:paraId="38439D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129D67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4</w:t>
            </w:r>
          </w:p>
        </w:tc>
        <w:tc>
          <w:tcPr>
            <w:tcW w:w="2431" w:type="pct"/>
            <w:tcBorders>
              <w:tl2br w:val="nil"/>
              <w:tr2bl w:val="nil"/>
            </w:tcBorders>
            <w:noWrap w:val="0"/>
            <w:vAlign w:val="center"/>
          </w:tcPr>
          <w:p w14:paraId="471E1C6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位于环境质量不达标区的建设项目生产、处置或储存能力增大，导致相应污染物排放量增加的；位于达标区的建设项目生产、处置或储存能力增大，导致污染物排放量增加10%及以上的。</w:t>
            </w:r>
          </w:p>
        </w:tc>
        <w:tc>
          <w:tcPr>
            <w:tcW w:w="978" w:type="pct"/>
            <w:tcBorders>
              <w:tl2br w:val="nil"/>
              <w:tr2bl w:val="nil"/>
            </w:tcBorders>
            <w:noWrap w:val="0"/>
            <w:vAlign w:val="center"/>
          </w:tcPr>
          <w:p w14:paraId="3E9528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eastAsia="zh-CN"/>
              </w:rPr>
              <w:t>危废</w:t>
            </w:r>
            <w:r>
              <w:rPr>
                <w:rFonts w:hint="default" w:ascii="Times New Roman" w:hAnsi="Times New Roman" w:eastAsia="宋体" w:cs="Times New Roman"/>
                <w:color w:val="auto"/>
                <w:sz w:val="21"/>
                <w:szCs w:val="21"/>
                <w:u w:val="single" w:color="auto"/>
                <w:lang w:val="en-US" w:eastAsia="zh-CN"/>
              </w:rPr>
              <w:t>储存能力不增大</w:t>
            </w:r>
          </w:p>
        </w:tc>
        <w:tc>
          <w:tcPr>
            <w:tcW w:w="758" w:type="pct"/>
            <w:tcBorders>
              <w:tl2br w:val="nil"/>
              <w:tr2bl w:val="nil"/>
            </w:tcBorders>
            <w:noWrap w:val="0"/>
            <w:vAlign w:val="center"/>
          </w:tcPr>
          <w:p w14:paraId="6F28EE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78AC5A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de-DE" w:eastAsia="zh-CN" w:bidi="ar-SA"/>
              </w:rPr>
            </w:pPr>
            <w:r>
              <w:rPr>
                <w:rFonts w:hint="default" w:ascii="Times New Roman" w:hAnsi="Times New Roman" w:eastAsia="宋体" w:cs="Times New Roman"/>
                <w:color w:val="auto"/>
                <w:sz w:val="21"/>
                <w:szCs w:val="21"/>
                <w:u w:val="single" w:color="auto"/>
                <w:vertAlign w:val="baseline"/>
                <w:lang w:val="en-US" w:eastAsia="zh-CN"/>
              </w:rPr>
              <w:t>否</w:t>
            </w:r>
          </w:p>
        </w:tc>
      </w:tr>
      <w:tr w14:paraId="05EF1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724C1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color="auto"/>
                <w:vertAlign w:val="baseline"/>
                <w:lang w:val="en-US" w:eastAsia="zh-CN"/>
              </w:rPr>
            </w:pPr>
            <w:r>
              <w:rPr>
                <w:rFonts w:hint="default" w:ascii="Times New Roman" w:hAnsi="Times New Roman" w:eastAsia="宋体" w:cs="Times New Roman"/>
                <w:b/>
                <w:bCs/>
                <w:color w:val="auto"/>
                <w:sz w:val="21"/>
                <w:szCs w:val="21"/>
                <w:u w:val="single" w:color="auto"/>
                <w:vertAlign w:val="baseline"/>
                <w:lang w:val="en-US" w:eastAsia="zh-CN"/>
              </w:rPr>
              <w:t>地点</w:t>
            </w:r>
          </w:p>
        </w:tc>
      </w:tr>
      <w:tr w14:paraId="207AF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38FF98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5</w:t>
            </w:r>
          </w:p>
        </w:tc>
        <w:tc>
          <w:tcPr>
            <w:tcW w:w="2431" w:type="pct"/>
            <w:tcBorders>
              <w:tl2br w:val="nil"/>
              <w:tr2bl w:val="nil"/>
            </w:tcBorders>
            <w:noWrap w:val="0"/>
            <w:vAlign w:val="center"/>
          </w:tcPr>
          <w:p w14:paraId="6AA158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重新选址；在原厂址附近调整（包括总平面布置变化）导致环境防护距离范围变化且新增敏感点的</w:t>
            </w:r>
          </w:p>
        </w:tc>
        <w:tc>
          <w:tcPr>
            <w:tcW w:w="978" w:type="pct"/>
            <w:tcBorders>
              <w:tl2br w:val="nil"/>
              <w:tr2bl w:val="nil"/>
            </w:tcBorders>
            <w:noWrap w:val="0"/>
            <w:vAlign w:val="center"/>
          </w:tcPr>
          <w:p w14:paraId="762391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仍在原环评厂房内建设</w:t>
            </w:r>
          </w:p>
        </w:tc>
        <w:tc>
          <w:tcPr>
            <w:tcW w:w="758" w:type="pct"/>
            <w:tcBorders>
              <w:tl2br w:val="nil"/>
              <w:tr2bl w:val="nil"/>
            </w:tcBorders>
            <w:noWrap w:val="0"/>
            <w:vAlign w:val="center"/>
          </w:tcPr>
          <w:p w14:paraId="52BA20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212166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de-DE" w:eastAsia="zh-CN" w:bidi="ar-SA"/>
              </w:rPr>
            </w:pPr>
            <w:r>
              <w:rPr>
                <w:rFonts w:hint="default" w:ascii="Times New Roman" w:hAnsi="Times New Roman" w:eastAsia="宋体" w:cs="Times New Roman"/>
                <w:color w:val="auto"/>
                <w:sz w:val="21"/>
                <w:szCs w:val="21"/>
                <w:u w:val="single" w:color="auto"/>
                <w:vertAlign w:val="baseline"/>
                <w:lang w:val="en-US" w:eastAsia="zh-CN"/>
              </w:rPr>
              <w:t>否</w:t>
            </w:r>
          </w:p>
        </w:tc>
      </w:tr>
      <w:tr w14:paraId="28F9B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4EEFD6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b/>
                <w:bCs/>
                <w:color w:val="auto"/>
                <w:sz w:val="21"/>
                <w:szCs w:val="21"/>
                <w:u w:val="single" w:color="auto"/>
                <w:vertAlign w:val="baseline"/>
                <w:lang w:val="en-US" w:eastAsia="zh-CN"/>
              </w:rPr>
            </w:pPr>
            <w:r>
              <w:rPr>
                <w:rFonts w:hint="default" w:ascii="Times New Roman" w:hAnsi="Times New Roman" w:eastAsia="宋体" w:cs="Times New Roman"/>
                <w:b/>
                <w:bCs/>
                <w:color w:val="auto"/>
                <w:sz w:val="21"/>
                <w:szCs w:val="21"/>
                <w:u w:val="single" w:color="auto"/>
                <w:vertAlign w:val="baseline"/>
                <w:lang w:val="en-US" w:eastAsia="zh-CN"/>
              </w:rPr>
              <w:t>生产工艺</w:t>
            </w:r>
          </w:p>
        </w:tc>
      </w:tr>
      <w:tr w14:paraId="58435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75D4D6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6</w:t>
            </w:r>
          </w:p>
        </w:tc>
        <w:tc>
          <w:tcPr>
            <w:tcW w:w="2431" w:type="pct"/>
            <w:tcBorders>
              <w:tl2br w:val="nil"/>
              <w:tr2bl w:val="nil"/>
            </w:tcBorders>
            <w:noWrap w:val="0"/>
            <w:vAlign w:val="center"/>
          </w:tcPr>
          <w:p w14:paraId="6081C6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新增产品品种或生产工艺（含主要生产装置、设备及配套设施）、主要原辅材料、燃料变化，导致以下情形之一：（1）新增排放污染物种类的（毒性、挥发性降低的除外）；</w:t>
            </w:r>
          </w:p>
          <w:p w14:paraId="3C67B086">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位于环境质量不达标区的建设项目相应污染物排放量增加的；</w:t>
            </w:r>
          </w:p>
          <w:p w14:paraId="17722D7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（3）废水第一类污染物排放量增加的；</w:t>
            </w:r>
          </w:p>
          <w:p w14:paraId="79ACBB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（4）其他污染物排放量增加10%及以上的。</w:t>
            </w:r>
          </w:p>
        </w:tc>
        <w:tc>
          <w:tcPr>
            <w:tcW w:w="978" w:type="pct"/>
            <w:tcBorders>
              <w:tl2br w:val="nil"/>
              <w:tr2bl w:val="nil"/>
            </w:tcBorders>
            <w:noWrap w:val="0"/>
            <w:vAlign w:val="center"/>
          </w:tcPr>
          <w:p w14:paraId="2A0A86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kern w:val="0"/>
                <w:sz w:val="21"/>
                <w:szCs w:val="21"/>
                <w:u w:val="single" w:color="auto"/>
                <w:lang w:eastAsia="zh-CN"/>
              </w:rPr>
              <w:t>危废</w:t>
            </w:r>
            <w:r>
              <w:rPr>
                <w:rFonts w:hint="default" w:ascii="Times New Roman" w:hAnsi="Times New Roman" w:eastAsia="宋体" w:cs="Times New Roman"/>
                <w:color w:val="auto"/>
                <w:sz w:val="21"/>
                <w:szCs w:val="21"/>
                <w:u w:val="single" w:color="auto"/>
                <w:lang w:val="en-US" w:eastAsia="zh-CN"/>
              </w:rPr>
              <w:t>储存等不变，且不增加污染物</w:t>
            </w:r>
          </w:p>
        </w:tc>
        <w:tc>
          <w:tcPr>
            <w:tcW w:w="758" w:type="pct"/>
            <w:tcBorders>
              <w:tl2br w:val="nil"/>
              <w:tr2bl w:val="nil"/>
            </w:tcBorders>
            <w:noWrap w:val="0"/>
            <w:vAlign w:val="center"/>
          </w:tcPr>
          <w:p w14:paraId="4A13E8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30AC2C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de-DE" w:eastAsia="zh-CN" w:bidi="ar-SA"/>
              </w:rPr>
            </w:pPr>
            <w:r>
              <w:rPr>
                <w:rFonts w:hint="default" w:ascii="Times New Roman" w:hAnsi="Times New Roman" w:eastAsia="宋体" w:cs="Times New Roman"/>
                <w:color w:val="auto"/>
                <w:sz w:val="21"/>
                <w:szCs w:val="21"/>
                <w:u w:val="single" w:color="auto"/>
                <w:vertAlign w:val="baseline"/>
                <w:lang w:val="en-US" w:eastAsia="zh-CN"/>
              </w:rPr>
              <w:t>否</w:t>
            </w:r>
          </w:p>
        </w:tc>
      </w:tr>
      <w:tr w14:paraId="1B1061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7947F2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7</w:t>
            </w:r>
          </w:p>
        </w:tc>
        <w:tc>
          <w:tcPr>
            <w:tcW w:w="2431" w:type="pct"/>
            <w:tcBorders>
              <w:tl2br w:val="nil"/>
              <w:tr2bl w:val="nil"/>
            </w:tcBorders>
            <w:noWrap w:val="0"/>
            <w:vAlign w:val="center"/>
          </w:tcPr>
          <w:p w14:paraId="05A665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物料运输、装卸、贮存方式变化，导致大气污染物无组织排放量增加10%及以上的</w:t>
            </w:r>
          </w:p>
        </w:tc>
        <w:tc>
          <w:tcPr>
            <w:tcW w:w="978" w:type="pct"/>
            <w:tcBorders>
              <w:tl2br w:val="nil"/>
              <w:tr2bl w:val="nil"/>
            </w:tcBorders>
            <w:noWrap w:val="0"/>
            <w:vAlign w:val="center"/>
          </w:tcPr>
          <w:p w14:paraId="5FDB3A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rPr>
            </w:pPr>
            <w:r>
              <w:rPr>
                <w:rFonts w:hint="default" w:ascii="Times New Roman" w:hAnsi="Times New Roman" w:eastAsia="宋体" w:cs="Times New Roman"/>
                <w:color w:val="auto"/>
                <w:sz w:val="21"/>
                <w:szCs w:val="21"/>
                <w:u w:val="single" w:color="auto"/>
                <w:lang w:val="en-US" w:eastAsia="zh-CN"/>
              </w:rPr>
              <w:t>物料运输、装卸、贮存方式无变化</w:t>
            </w:r>
          </w:p>
        </w:tc>
        <w:tc>
          <w:tcPr>
            <w:tcW w:w="758" w:type="pct"/>
            <w:tcBorders>
              <w:tl2br w:val="nil"/>
              <w:tr2bl w:val="nil"/>
            </w:tcBorders>
            <w:noWrap w:val="0"/>
            <w:vAlign w:val="center"/>
          </w:tcPr>
          <w:p w14:paraId="448527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458067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de-DE" w:eastAsia="zh-CN"/>
              </w:rPr>
            </w:pPr>
            <w:r>
              <w:rPr>
                <w:rFonts w:hint="default" w:ascii="Times New Roman" w:hAnsi="Times New Roman" w:eastAsia="宋体" w:cs="Times New Roman"/>
                <w:color w:val="auto"/>
                <w:sz w:val="21"/>
                <w:szCs w:val="21"/>
                <w:u w:val="single" w:color="auto"/>
                <w:vertAlign w:val="baseline"/>
                <w:lang w:val="en-US" w:eastAsia="zh-CN"/>
              </w:rPr>
              <w:t>否</w:t>
            </w:r>
          </w:p>
        </w:tc>
      </w:tr>
      <w:tr w14:paraId="6F18CE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5"/>
            <w:tcBorders>
              <w:tl2br w:val="nil"/>
              <w:tr2bl w:val="nil"/>
            </w:tcBorders>
            <w:noWrap w:val="0"/>
            <w:vAlign w:val="center"/>
          </w:tcPr>
          <w:p w14:paraId="65307E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u w:val="single" w:color="auto"/>
                <w:vertAlign w:val="baseline"/>
                <w:lang w:val="de-DE" w:eastAsia="zh-CN"/>
              </w:rPr>
            </w:pPr>
            <w:r>
              <w:rPr>
                <w:rFonts w:hint="default" w:ascii="Times New Roman" w:hAnsi="Times New Roman" w:eastAsia="宋体" w:cs="Times New Roman"/>
                <w:b/>
                <w:bCs/>
                <w:color w:val="auto"/>
                <w:sz w:val="21"/>
                <w:szCs w:val="21"/>
                <w:u w:val="single" w:color="auto"/>
                <w:vertAlign w:val="baseline"/>
                <w:lang w:val="de-DE" w:eastAsia="zh-CN"/>
              </w:rPr>
              <w:t>环境保护措施</w:t>
            </w:r>
          </w:p>
        </w:tc>
      </w:tr>
      <w:tr w14:paraId="3CAF18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2168410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8</w:t>
            </w:r>
          </w:p>
        </w:tc>
        <w:tc>
          <w:tcPr>
            <w:tcW w:w="2431" w:type="pct"/>
            <w:tcBorders>
              <w:tl2br w:val="nil"/>
              <w:tr2bl w:val="nil"/>
            </w:tcBorders>
            <w:noWrap w:val="0"/>
            <w:vAlign w:val="center"/>
          </w:tcPr>
          <w:p w14:paraId="23CC7A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废气、废水污染防治措施变化，导致第6条中所列情形之一（废气无组织排放改为有组织排放、污染防治措施强化或改进的除外）或大气污染物无组织排放量增加10%及以上的</w:t>
            </w:r>
          </w:p>
        </w:tc>
        <w:tc>
          <w:tcPr>
            <w:tcW w:w="978" w:type="pct"/>
            <w:tcBorders>
              <w:tl2br w:val="nil"/>
              <w:tr2bl w:val="nil"/>
            </w:tcBorders>
            <w:noWrap w:val="0"/>
            <w:vAlign w:val="center"/>
          </w:tcPr>
          <w:p w14:paraId="11BA3DE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有组织废气措施由</w:t>
            </w:r>
            <w:r>
              <w:rPr>
                <w:rFonts w:hint="default" w:ascii="Times New Roman" w:hAnsi="Times New Roman" w:eastAsia="宋体" w:cs="Times New Roman"/>
                <w:b w:val="0"/>
                <w:bCs/>
                <w:sz w:val="21"/>
                <w:szCs w:val="21"/>
                <w:u w:val="single" w:color="auto"/>
                <w:lang w:val="en-US" w:eastAsia="zh-CN"/>
              </w:rPr>
              <w:t>密闭仓库负压集气+二级活性炭吸附装置</w:t>
            </w:r>
            <w:r>
              <w:rPr>
                <w:rFonts w:hint="default" w:ascii="Times New Roman" w:hAnsi="Times New Roman" w:eastAsia="宋体" w:cs="Times New Roman"/>
                <w:color w:val="auto"/>
                <w:sz w:val="21"/>
                <w:szCs w:val="21"/>
                <w:u w:val="single" w:color="auto"/>
                <w:lang w:val="en-US" w:eastAsia="zh-CN"/>
              </w:rPr>
              <w:t>变化为</w:t>
            </w:r>
            <w:r>
              <w:rPr>
                <w:rFonts w:hint="default" w:ascii="Times New Roman" w:hAnsi="Times New Roman" w:eastAsia="宋体" w:cs="Times New Roman"/>
                <w:b w:val="0"/>
                <w:bCs/>
                <w:sz w:val="21"/>
                <w:szCs w:val="21"/>
                <w:u w:val="single" w:color="auto"/>
                <w:lang w:val="en-US" w:eastAsia="zh-CN"/>
              </w:rPr>
              <w:t>1~14#、20#、25#仓库上方设集气罩、15~19#、21~24#仓库密闭负压集气</w:t>
            </w:r>
            <w:r>
              <w:rPr>
                <w:rFonts w:hint="default" w:ascii="Times New Roman" w:hAnsi="Times New Roman" w:eastAsia="宋体" w:cs="Times New Roman"/>
                <w:color w:val="auto"/>
                <w:sz w:val="21"/>
                <w:szCs w:val="21"/>
                <w:u w:val="single" w:color="auto"/>
                <w:lang w:val="en-US" w:eastAsia="zh-CN"/>
              </w:rPr>
              <w:t>，</w:t>
            </w:r>
            <w:r>
              <w:rPr>
                <w:rFonts w:hint="default" w:ascii="Times New Roman" w:hAnsi="Times New Roman" w:eastAsia="宋体" w:cs="Times New Roman"/>
                <w:b w:val="0"/>
                <w:bCs/>
                <w:sz w:val="21"/>
                <w:szCs w:val="21"/>
                <w:u w:val="single" w:color="auto"/>
                <w:lang w:val="en-US" w:eastAsia="zh-CN"/>
              </w:rPr>
              <w:t>废气全部经管道收集至一套UV光解+活性炭吸附装置</w:t>
            </w:r>
          </w:p>
        </w:tc>
        <w:tc>
          <w:tcPr>
            <w:tcW w:w="758" w:type="pct"/>
            <w:tcBorders>
              <w:tl2br w:val="nil"/>
              <w:tr2bl w:val="nil"/>
            </w:tcBorders>
            <w:noWrap w:val="0"/>
            <w:vAlign w:val="center"/>
          </w:tcPr>
          <w:p w14:paraId="5E9A02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u w:val="single" w:color="auto"/>
                <w:lang w:val="en-US" w:eastAsia="zh-CN"/>
              </w:rPr>
            </w:pPr>
            <w:r>
              <w:rPr>
                <w:rFonts w:hint="default" w:ascii="Times New Roman" w:hAnsi="Times New Roman" w:eastAsia="宋体" w:cs="Times New Roman"/>
                <w:b w:val="0"/>
                <w:bCs/>
                <w:sz w:val="21"/>
                <w:szCs w:val="21"/>
                <w:u w:val="single" w:color="auto"/>
                <w:lang w:val="en-US" w:eastAsia="zh-CN"/>
              </w:rPr>
              <w:t>厂房内1~14#、20#、25#仓库暂存不易挥发废气的固体类危废，上方设集气罩收集废气；考虑到有臭气，废气措施增加UV光解</w:t>
            </w:r>
          </w:p>
        </w:tc>
        <w:tc>
          <w:tcPr>
            <w:tcW w:w="564" w:type="pct"/>
            <w:tcBorders>
              <w:tl2br w:val="nil"/>
              <w:tr2bl w:val="nil"/>
            </w:tcBorders>
            <w:noWrap w:val="0"/>
            <w:vAlign w:val="center"/>
          </w:tcPr>
          <w:p w14:paraId="392884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de-DE" w:eastAsia="zh-CN"/>
              </w:rPr>
            </w:pPr>
            <w:r>
              <w:rPr>
                <w:rFonts w:hint="default" w:ascii="Times New Roman" w:hAnsi="Times New Roman" w:eastAsia="宋体" w:cs="Times New Roman"/>
                <w:color w:val="auto"/>
                <w:sz w:val="21"/>
                <w:szCs w:val="21"/>
                <w:u w:val="single" w:color="auto"/>
                <w:vertAlign w:val="baseline"/>
                <w:lang w:val="en-US" w:eastAsia="zh-CN"/>
              </w:rPr>
              <w:t>否</w:t>
            </w:r>
          </w:p>
        </w:tc>
      </w:tr>
      <w:tr w14:paraId="59C58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34EEAB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9</w:t>
            </w:r>
          </w:p>
        </w:tc>
        <w:tc>
          <w:tcPr>
            <w:tcW w:w="2431" w:type="pct"/>
            <w:tcBorders>
              <w:tl2br w:val="nil"/>
              <w:tr2bl w:val="nil"/>
            </w:tcBorders>
            <w:noWrap w:val="0"/>
            <w:vAlign w:val="center"/>
          </w:tcPr>
          <w:p w14:paraId="5CA667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新增废水直接排放口；废水由间接排放改为直接排放；废水直接排放口位置变化，导致不利环境影响加重的</w:t>
            </w:r>
          </w:p>
        </w:tc>
        <w:tc>
          <w:tcPr>
            <w:tcW w:w="978" w:type="pct"/>
            <w:tcBorders>
              <w:tl2br w:val="nil"/>
              <w:tr2bl w:val="nil"/>
            </w:tcBorders>
            <w:noWrap w:val="0"/>
            <w:vAlign w:val="center"/>
          </w:tcPr>
          <w:p w14:paraId="40859F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napToGrid w:val="0"/>
                <w:color w:val="auto"/>
                <w:kern w:val="0"/>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无废水直接排放口</w:t>
            </w:r>
          </w:p>
        </w:tc>
        <w:tc>
          <w:tcPr>
            <w:tcW w:w="758" w:type="pct"/>
            <w:tcBorders>
              <w:tl2br w:val="nil"/>
              <w:tr2bl w:val="nil"/>
            </w:tcBorders>
            <w:noWrap w:val="0"/>
            <w:vAlign w:val="center"/>
          </w:tcPr>
          <w:p w14:paraId="3BE93B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snapToGrid w:val="0"/>
                <w:color w:val="auto"/>
                <w:kern w:val="0"/>
                <w:sz w:val="21"/>
                <w:szCs w:val="21"/>
                <w:u w:val="single" w:color="auto"/>
                <w:lang w:val="en-US" w:eastAsia="zh-CN"/>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4C7E05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de-DE" w:eastAsia="zh-CN"/>
              </w:rPr>
            </w:pPr>
            <w:r>
              <w:rPr>
                <w:rFonts w:hint="default" w:ascii="Times New Roman" w:hAnsi="Times New Roman" w:eastAsia="宋体" w:cs="Times New Roman"/>
                <w:color w:val="auto"/>
                <w:sz w:val="21"/>
                <w:szCs w:val="21"/>
                <w:u w:val="single" w:color="auto"/>
                <w:vertAlign w:val="baseline"/>
                <w:lang w:val="en-US" w:eastAsia="zh-CN"/>
              </w:rPr>
              <w:t>否</w:t>
            </w:r>
          </w:p>
        </w:tc>
      </w:tr>
      <w:tr w14:paraId="7A71C9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122F45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10</w:t>
            </w:r>
          </w:p>
        </w:tc>
        <w:tc>
          <w:tcPr>
            <w:tcW w:w="2431" w:type="pct"/>
            <w:tcBorders>
              <w:tl2br w:val="nil"/>
              <w:tr2bl w:val="nil"/>
            </w:tcBorders>
            <w:noWrap w:val="0"/>
            <w:vAlign w:val="center"/>
          </w:tcPr>
          <w:p w14:paraId="5F2004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新增废气主要排放口（废气无组织排放改为有组织排放的除外）；主要排放口排气筒高度降低10%及以上的</w:t>
            </w:r>
          </w:p>
        </w:tc>
        <w:tc>
          <w:tcPr>
            <w:tcW w:w="978" w:type="pct"/>
            <w:tcBorders>
              <w:tl2br w:val="nil"/>
              <w:tr2bl w:val="nil"/>
            </w:tcBorders>
            <w:noWrap w:val="0"/>
            <w:vAlign w:val="center"/>
          </w:tcPr>
          <w:p w14:paraId="468908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rPr>
            </w:pPr>
            <w:r>
              <w:rPr>
                <w:rFonts w:hint="default" w:ascii="Times New Roman" w:hAnsi="Times New Roman" w:eastAsia="宋体" w:cs="Times New Roman"/>
                <w:color w:val="auto"/>
                <w:sz w:val="21"/>
                <w:szCs w:val="21"/>
                <w:u w:val="single" w:color="auto"/>
                <w:lang w:val="en-US" w:eastAsia="zh-CN"/>
              </w:rPr>
              <w:t>无废气主要排放口</w:t>
            </w:r>
          </w:p>
        </w:tc>
        <w:tc>
          <w:tcPr>
            <w:tcW w:w="758" w:type="pct"/>
            <w:tcBorders>
              <w:tl2br w:val="nil"/>
              <w:tr2bl w:val="nil"/>
            </w:tcBorders>
            <w:noWrap w:val="0"/>
            <w:vAlign w:val="center"/>
          </w:tcPr>
          <w:p w14:paraId="0FA836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en-US" w:eastAsia="zh-CN"/>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20ED02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de-DE" w:eastAsia="zh-CN"/>
              </w:rPr>
            </w:pPr>
            <w:r>
              <w:rPr>
                <w:rFonts w:hint="default" w:ascii="Times New Roman" w:hAnsi="Times New Roman" w:eastAsia="宋体" w:cs="Times New Roman"/>
                <w:color w:val="auto"/>
                <w:sz w:val="21"/>
                <w:szCs w:val="21"/>
                <w:u w:val="single" w:color="auto"/>
                <w:vertAlign w:val="baseline"/>
                <w:lang w:val="en-US" w:eastAsia="zh-CN"/>
              </w:rPr>
              <w:t>否</w:t>
            </w:r>
          </w:p>
        </w:tc>
      </w:tr>
      <w:tr w14:paraId="33155A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114BE1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11</w:t>
            </w:r>
          </w:p>
        </w:tc>
        <w:tc>
          <w:tcPr>
            <w:tcW w:w="2431" w:type="pct"/>
            <w:tcBorders>
              <w:tl2br w:val="nil"/>
              <w:tr2bl w:val="nil"/>
            </w:tcBorders>
            <w:noWrap w:val="0"/>
            <w:vAlign w:val="center"/>
          </w:tcPr>
          <w:p w14:paraId="528E28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噪声、土壤或地下水污染防治措施变化，导致不利环境影响加重的</w:t>
            </w:r>
          </w:p>
        </w:tc>
        <w:tc>
          <w:tcPr>
            <w:tcW w:w="978" w:type="pct"/>
            <w:tcBorders>
              <w:tl2br w:val="nil"/>
              <w:tr2bl w:val="nil"/>
            </w:tcBorders>
            <w:noWrap w:val="0"/>
            <w:vAlign w:val="center"/>
          </w:tcPr>
          <w:p w14:paraId="3CBD04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污防措施不变，且未加重不利影响</w:t>
            </w:r>
          </w:p>
        </w:tc>
        <w:tc>
          <w:tcPr>
            <w:tcW w:w="758" w:type="pct"/>
            <w:tcBorders>
              <w:tl2br w:val="nil"/>
              <w:tr2bl w:val="nil"/>
            </w:tcBorders>
            <w:noWrap w:val="0"/>
            <w:vAlign w:val="center"/>
          </w:tcPr>
          <w:p w14:paraId="37DD276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6B2FF6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de-DE" w:eastAsia="zh-CN"/>
              </w:rPr>
            </w:pPr>
            <w:r>
              <w:rPr>
                <w:rFonts w:hint="default" w:ascii="Times New Roman" w:hAnsi="Times New Roman" w:eastAsia="宋体" w:cs="Times New Roman"/>
                <w:color w:val="auto"/>
                <w:sz w:val="21"/>
                <w:szCs w:val="21"/>
                <w:u w:val="single" w:color="auto"/>
                <w:vertAlign w:val="baseline"/>
                <w:lang w:val="en-US" w:eastAsia="zh-CN"/>
              </w:rPr>
              <w:t>否</w:t>
            </w:r>
          </w:p>
        </w:tc>
      </w:tr>
      <w:tr w14:paraId="23329C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312DA77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12</w:t>
            </w:r>
          </w:p>
        </w:tc>
        <w:tc>
          <w:tcPr>
            <w:tcW w:w="2431" w:type="pct"/>
            <w:tcBorders>
              <w:tl2br w:val="nil"/>
              <w:tr2bl w:val="nil"/>
            </w:tcBorders>
            <w:noWrap w:val="0"/>
            <w:vAlign w:val="center"/>
          </w:tcPr>
          <w:p w14:paraId="516A82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固体废物利用处置方式由委托外单位利用处置改为自行利用处置的（自行利用处置设施单独开展环境影响评价的除外）；固体废物自行处置方式变化，导致不利环境影响加重的</w:t>
            </w:r>
          </w:p>
        </w:tc>
        <w:tc>
          <w:tcPr>
            <w:tcW w:w="978" w:type="pct"/>
            <w:tcBorders>
              <w:tl2br w:val="nil"/>
              <w:tr2bl w:val="nil"/>
            </w:tcBorders>
            <w:noWrap w:val="0"/>
            <w:vAlign w:val="center"/>
          </w:tcPr>
          <w:p w14:paraId="1AAEDF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固废全部外委妥善处置，且未加重不利影响</w:t>
            </w:r>
          </w:p>
        </w:tc>
        <w:tc>
          <w:tcPr>
            <w:tcW w:w="758" w:type="pct"/>
            <w:tcBorders>
              <w:tl2br w:val="nil"/>
              <w:tr2bl w:val="nil"/>
            </w:tcBorders>
            <w:noWrap w:val="0"/>
            <w:vAlign w:val="center"/>
          </w:tcPr>
          <w:p w14:paraId="672EADE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6AEFE32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sz w:val="21"/>
                <w:szCs w:val="21"/>
                <w:u w:val="single" w:color="auto"/>
                <w:vertAlign w:val="baseline"/>
                <w:lang w:val="de-DE" w:eastAsia="zh-CN"/>
              </w:rPr>
            </w:pPr>
            <w:r>
              <w:rPr>
                <w:rFonts w:hint="default" w:ascii="Times New Roman" w:hAnsi="Times New Roman" w:eastAsia="宋体" w:cs="Times New Roman"/>
                <w:color w:val="auto"/>
                <w:sz w:val="21"/>
                <w:szCs w:val="21"/>
                <w:u w:val="single" w:color="auto"/>
                <w:vertAlign w:val="baseline"/>
                <w:lang w:val="en-US" w:eastAsia="zh-CN"/>
              </w:rPr>
              <w:t>否</w:t>
            </w:r>
          </w:p>
        </w:tc>
      </w:tr>
      <w:tr w14:paraId="4AFC8C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67" w:type="pct"/>
            <w:tcBorders>
              <w:tl2br w:val="nil"/>
              <w:tr2bl w:val="nil"/>
            </w:tcBorders>
            <w:noWrap w:val="0"/>
            <w:vAlign w:val="center"/>
          </w:tcPr>
          <w:p w14:paraId="2EEC9D7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13</w:t>
            </w:r>
          </w:p>
        </w:tc>
        <w:tc>
          <w:tcPr>
            <w:tcW w:w="2431" w:type="pct"/>
            <w:tcBorders>
              <w:tl2br w:val="nil"/>
              <w:tr2bl w:val="nil"/>
            </w:tcBorders>
            <w:noWrap w:val="0"/>
            <w:vAlign w:val="center"/>
          </w:tcPr>
          <w:p w14:paraId="77A0D9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single" w:color="auto"/>
                <w:lang w:val="en-US" w:eastAsia="zh-CN"/>
              </w:rPr>
            </w:pPr>
            <w:r>
              <w:rPr>
                <w:rFonts w:hint="default" w:ascii="Times New Roman" w:hAnsi="Times New Roman" w:eastAsia="宋体" w:cs="Times New Roman"/>
                <w:color w:val="auto"/>
                <w:sz w:val="21"/>
                <w:szCs w:val="21"/>
                <w:u w:val="single" w:color="auto"/>
                <w:lang w:val="en-US" w:eastAsia="zh-CN"/>
              </w:rPr>
              <w:t>事故废水暂存能力或拦截设施变化，导致环境风险防范能力弱化或降低的</w:t>
            </w:r>
          </w:p>
        </w:tc>
        <w:tc>
          <w:tcPr>
            <w:tcW w:w="978" w:type="pct"/>
            <w:tcBorders>
              <w:tl2br w:val="nil"/>
              <w:tr2bl w:val="nil"/>
            </w:tcBorders>
            <w:noWrap w:val="0"/>
            <w:vAlign w:val="center"/>
          </w:tcPr>
          <w:p w14:paraId="5274848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single" w:color="auto"/>
                <w:lang w:val="en-US" w:eastAsia="zh-CN"/>
              </w:rPr>
            </w:pPr>
            <w:r>
              <w:rPr>
                <w:rFonts w:hint="default" w:ascii="Times New Roman" w:hAnsi="Times New Roman" w:eastAsia="宋体" w:cs="Times New Roman"/>
                <w:color w:val="auto"/>
                <w:kern w:val="0"/>
                <w:sz w:val="21"/>
                <w:szCs w:val="21"/>
                <w:u w:val="single" w:color="auto"/>
                <w:lang w:val="en-US" w:eastAsia="zh-CN"/>
              </w:rPr>
              <w:t>风险防范措施无变化</w:t>
            </w:r>
          </w:p>
        </w:tc>
        <w:tc>
          <w:tcPr>
            <w:tcW w:w="758" w:type="pct"/>
            <w:tcBorders>
              <w:tl2br w:val="nil"/>
              <w:tr2bl w:val="nil"/>
            </w:tcBorders>
            <w:noWrap w:val="0"/>
            <w:vAlign w:val="center"/>
          </w:tcPr>
          <w:p w14:paraId="728155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en-US" w:eastAsia="zh-CN" w:bidi="ar-SA"/>
              </w:rPr>
            </w:pPr>
            <w:r>
              <w:rPr>
                <w:rFonts w:hint="default" w:ascii="Times New Roman" w:hAnsi="Times New Roman" w:eastAsia="宋体" w:cs="Times New Roman"/>
                <w:color w:val="auto"/>
                <w:sz w:val="21"/>
                <w:szCs w:val="21"/>
                <w:u w:val="single" w:color="auto"/>
                <w:vertAlign w:val="baseline"/>
                <w:lang w:val="en-US" w:eastAsia="zh-CN"/>
              </w:rPr>
              <w:t>未变动</w:t>
            </w:r>
          </w:p>
        </w:tc>
        <w:tc>
          <w:tcPr>
            <w:tcW w:w="564" w:type="pct"/>
            <w:tcBorders>
              <w:tl2br w:val="nil"/>
              <w:tr2bl w:val="nil"/>
            </w:tcBorders>
            <w:noWrap w:val="0"/>
            <w:vAlign w:val="center"/>
          </w:tcPr>
          <w:p w14:paraId="7AFA46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single" w:color="auto"/>
                <w:vertAlign w:val="baseline"/>
                <w:lang w:val="de-DE" w:eastAsia="zh-CN" w:bidi="ar-SA"/>
              </w:rPr>
            </w:pPr>
            <w:r>
              <w:rPr>
                <w:rFonts w:hint="default" w:ascii="Times New Roman" w:hAnsi="Times New Roman" w:eastAsia="宋体" w:cs="Times New Roman"/>
                <w:color w:val="auto"/>
                <w:sz w:val="21"/>
                <w:szCs w:val="21"/>
                <w:u w:val="single" w:color="auto"/>
                <w:vertAlign w:val="baseline"/>
                <w:lang w:val="en-US" w:eastAsia="zh-CN"/>
              </w:rPr>
              <w:t>否</w:t>
            </w:r>
          </w:p>
        </w:tc>
      </w:tr>
    </w:tbl>
    <w:p w14:paraId="22704A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u w:val="single" w:color="auto"/>
        </w:rPr>
      </w:pPr>
      <w:r>
        <w:rPr>
          <w:rFonts w:hint="default" w:ascii="Times New Roman" w:hAnsi="Times New Roman" w:eastAsia="宋体" w:cs="Times New Roman"/>
          <w:color w:val="auto"/>
          <w:sz w:val="24"/>
          <w:szCs w:val="24"/>
          <w:u w:val="single" w:color="auto"/>
          <w:lang w:val="en-US" w:eastAsia="zh-CN"/>
        </w:rPr>
        <w:t>综上，</w:t>
      </w:r>
      <w:r>
        <w:rPr>
          <w:rFonts w:hint="default" w:ascii="Times New Roman" w:hAnsi="Times New Roman" w:eastAsia="宋体" w:cs="Times New Roman"/>
          <w:i w:val="0"/>
          <w:iCs w:val="0"/>
          <w:color w:val="auto"/>
          <w:sz w:val="24"/>
          <w:szCs w:val="24"/>
          <w:u w:val="single" w:color="auto"/>
          <w:lang w:val="en-US" w:eastAsia="zh-CN"/>
        </w:rPr>
        <w:t>本项目主要建设性质、地点、规模、工艺均按照环评及批复要求建设，环境保护措施中</w:t>
      </w:r>
      <w:r>
        <w:rPr>
          <w:rFonts w:hint="default" w:ascii="Times New Roman" w:hAnsi="Times New Roman" w:eastAsia="宋体" w:cs="Times New Roman"/>
          <w:color w:val="auto"/>
          <w:sz w:val="24"/>
          <w:szCs w:val="24"/>
          <w:u w:val="single" w:color="auto"/>
          <w:lang w:val="en-US" w:eastAsia="zh-CN"/>
        </w:rPr>
        <w:t>有组织收集处理废气措施由</w:t>
      </w:r>
      <w:r>
        <w:rPr>
          <w:rFonts w:hint="default" w:ascii="Times New Roman" w:hAnsi="Times New Roman" w:eastAsia="宋体" w:cs="Times New Roman"/>
          <w:b w:val="0"/>
          <w:bCs/>
          <w:sz w:val="24"/>
          <w:szCs w:val="24"/>
          <w:u w:val="single" w:color="auto"/>
          <w:lang w:val="en-US" w:eastAsia="zh-CN"/>
        </w:rPr>
        <w:t>密闭仓库负压集气+二级活性炭吸附装置</w:t>
      </w:r>
      <w:r>
        <w:rPr>
          <w:rFonts w:hint="default" w:ascii="Times New Roman" w:hAnsi="Times New Roman" w:eastAsia="宋体" w:cs="Times New Roman"/>
          <w:color w:val="auto"/>
          <w:sz w:val="24"/>
          <w:szCs w:val="24"/>
          <w:u w:val="single" w:color="auto"/>
          <w:lang w:val="en-US" w:eastAsia="zh-CN"/>
        </w:rPr>
        <w:t>变化为</w:t>
      </w:r>
      <w:r>
        <w:rPr>
          <w:rFonts w:hint="default" w:ascii="Times New Roman" w:hAnsi="Times New Roman" w:eastAsia="宋体" w:cs="Times New Roman"/>
          <w:b w:val="0"/>
          <w:bCs/>
          <w:sz w:val="24"/>
          <w:szCs w:val="24"/>
          <w:u w:val="single" w:color="auto"/>
          <w:lang w:val="en-US" w:eastAsia="zh-CN"/>
        </w:rPr>
        <w:t>1~14#、20#、25#仓库上方设集气罩、15~19#、21~24#仓库密闭负压集气</w:t>
      </w:r>
      <w:r>
        <w:rPr>
          <w:rFonts w:hint="default" w:ascii="Times New Roman" w:hAnsi="Times New Roman" w:eastAsia="宋体" w:cs="Times New Roman"/>
          <w:color w:val="auto"/>
          <w:sz w:val="24"/>
          <w:szCs w:val="24"/>
          <w:u w:val="single" w:color="auto"/>
          <w:lang w:val="en-US" w:eastAsia="zh-CN"/>
        </w:rPr>
        <w:t>，</w:t>
      </w:r>
      <w:r>
        <w:rPr>
          <w:rFonts w:hint="default" w:ascii="Times New Roman" w:hAnsi="Times New Roman" w:eastAsia="宋体" w:cs="Times New Roman"/>
          <w:b w:val="0"/>
          <w:bCs/>
          <w:sz w:val="24"/>
          <w:szCs w:val="24"/>
          <w:u w:val="single" w:color="auto"/>
          <w:lang w:val="en-US" w:eastAsia="zh-CN"/>
        </w:rPr>
        <w:t>废气全部经管道收集至一套UV光解+活性炭吸附装置</w:t>
      </w:r>
      <w:r>
        <w:rPr>
          <w:rFonts w:hint="default" w:ascii="Times New Roman" w:hAnsi="Times New Roman" w:eastAsia="宋体" w:cs="Times New Roman"/>
          <w:color w:val="auto"/>
          <w:kern w:val="0"/>
          <w:sz w:val="24"/>
          <w:szCs w:val="24"/>
          <w:u w:val="single" w:color="auto"/>
          <w:lang w:val="en-US" w:eastAsia="zh-CN"/>
        </w:rPr>
        <w:t>。以上</w:t>
      </w:r>
      <w:r>
        <w:rPr>
          <w:rFonts w:hint="default" w:ascii="Times New Roman" w:hAnsi="Times New Roman" w:eastAsia="宋体" w:cs="Times New Roman"/>
          <w:color w:val="auto"/>
          <w:sz w:val="24"/>
          <w:szCs w:val="24"/>
          <w:u w:val="single" w:color="auto"/>
          <w:lang w:val="en-US" w:eastAsia="zh-CN"/>
        </w:rPr>
        <w:t>五个因素中未发生重大变动的情况，且未导致环境影响显著变化（特别是不利环境影响加重）的，现有项目未发生</w:t>
      </w:r>
      <w:r>
        <w:rPr>
          <w:rFonts w:hint="default" w:ascii="Times New Roman" w:hAnsi="Times New Roman" w:eastAsia="宋体" w:cs="Times New Roman"/>
          <w:i w:val="0"/>
          <w:iCs w:val="0"/>
          <w:snapToGrid w:val="0"/>
          <w:color w:val="auto"/>
          <w:kern w:val="0"/>
          <w:sz w:val="24"/>
          <w:szCs w:val="24"/>
          <w:u w:val="single" w:color="auto"/>
          <w:lang w:val="en-US" w:eastAsia="zh-CN"/>
        </w:rPr>
        <w:t>重大变动</w:t>
      </w:r>
      <w:r>
        <w:rPr>
          <w:rFonts w:hint="default" w:ascii="Times New Roman" w:hAnsi="Times New Roman" w:eastAsia="宋体" w:cs="Times New Roman"/>
          <w:color w:val="auto"/>
          <w:sz w:val="24"/>
          <w:szCs w:val="24"/>
          <w:u w:val="single" w:color="auto"/>
        </w:rPr>
        <w:t>。</w:t>
      </w:r>
    </w:p>
    <w:p w14:paraId="44509ABB">
      <w:pPr>
        <w:pStyle w:val="3"/>
        <w:spacing w:before="0" w:after="0" w:line="360" w:lineRule="auto"/>
        <w:jc w:val="left"/>
        <w:rPr>
          <w:rFonts w:hint="default" w:ascii="Times New Roman" w:hAnsi="Times New Roman" w:eastAsia="宋体" w:cs="Times New Roman"/>
          <w:kern w:val="0"/>
          <w:sz w:val="30"/>
          <w:szCs w:val="28"/>
        </w:rPr>
      </w:pPr>
      <w:bookmarkStart w:id="234" w:name="_Toc22644"/>
      <w:r>
        <w:rPr>
          <w:rFonts w:hint="default" w:ascii="Times New Roman" w:hAnsi="Times New Roman" w:eastAsia="宋体" w:cs="Times New Roman"/>
          <w:kern w:val="0"/>
          <w:sz w:val="30"/>
          <w:szCs w:val="28"/>
        </w:rPr>
        <w:t>3.4现有工程的环保措施情况</w:t>
      </w:r>
      <w:bookmarkEnd w:id="232"/>
      <w:bookmarkEnd w:id="233"/>
      <w:bookmarkEnd w:id="234"/>
    </w:p>
    <w:p w14:paraId="312450C6">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3.4.1</w:t>
      </w:r>
      <w:r>
        <w:rPr>
          <w:rFonts w:hint="default" w:ascii="Times New Roman" w:hAnsi="Times New Roman" w:eastAsia="宋体" w:cs="Times New Roman"/>
          <w:kern w:val="0"/>
          <w:sz w:val="24"/>
          <w:u w:val="single"/>
        </w:rPr>
        <w:t>大气污染物</w:t>
      </w:r>
    </w:p>
    <w:p w14:paraId="40D0EB5F">
      <w:pPr>
        <w:spacing w:line="360" w:lineRule="auto"/>
        <w:ind w:firstLine="480" w:firstLineChars="200"/>
        <w:rPr>
          <w:rFonts w:hint="default" w:ascii="Times New Roman" w:hAnsi="Times New Roman" w:eastAsia="宋体" w:cs="Times New Roman"/>
          <w:color w:val="000000"/>
          <w:sz w:val="24"/>
          <w:szCs w:val="24"/>
          <w:u w:val="single"/>
          <w:shd w:val="clear" w:color="auto" w:fill="FFFFFF"/>
        </w:rPr>
      </w:pPr>
      <w:r>
        <w:rPr>
          <w:rFonts w:hint="default" w:ascii="Times New Roman" w:hAnsi="Times New Roman" w:eastAsia="宋体" w:cs="Times New Roman"/>
          <w:color w:val="000000"/>
          <w:sz w:val="24"/>
          <w:szCs w:val="24"/>
          <w:u w:val="single"/>
          <w:shd w:val="clear" w:color="auto" w:fill="FFFFFF"/>
        </w:rPr>
        <w:t>现有项目各类危废在厂房内相应危废仓库单独分区暂存，贮存过程中会产生VOCs、臭味等废气污染物。</w:t>
      </w:r>
      <w:r>
        <w:rPr>
          <w:rFonts w:hint="default" w:ascii="Times New Roman" w:hAnsi="Times New Roman" w:eastAsia="宋体" w:cs="Times New Roman"/>
          <w:b w:val="0"/>
          <w:bCs/>
          <w:sz w:val="24"/>
          <w:szCs w:val="24"/>
          <w:u w:val="single"/>
          <w:lang w:val="en-US" w:eastAsia="zh-CN"/>
        </w:rPr>
        <w:t>厂房内1~14#、20#、25#仓库暂存不易挥发废气的固体类危废，通过在各仓库上方设集气罩收集废气；其他15~19#、21~24#</w:t>
      </w:r>
      <w:r>
        <w:rPr>
          <w:rFonts w:hint="default" w:ascii="Times New Roman" w:hAnsi="Times New Roman" w:eastAsia="宋体" w:cs="Times New Roman"/>
          <w:i w:val="0"/>
          <w:iCs w:val="0"/>
          <w:caps w:val="0"/>
          <w:color w:val="000000"/>
          <w:spacing w:val="0"/>
          <w:sz w:val="24"/>
          <w:szCs w:val="24"/>
          <w:u w:val="single"/>
          <w:shd w:val="clear" w:color="auto" w:fill="FFFFFF"/>
          <w:lang w:eastAsia="zh-CN"/>
        </w:rPr>
        <w:t>各</w:t>
      </w:r>
      <w:r>
        <w:rPr>
          <w:rFonts w:hint="default" w:ascii="Times New Roman" w:hAnsi="Times New Roman" w:eastAsia="宋体" w:cs="Times New Roman"/>
          <w:i w:val="0"/>
          <w:iCs w:val="0"/>
          <w:caps w:val="0"/>
          <w:color w:val="000000"/>
          <w:spacing w:val="0"/>
          <w:sz w:val="24"/>
          <w:szCs w:val="24"/>
          <w:u w:val="single"/>
          <w:shd w:val="clear" w:color="auto" w:fill="FFFFFF"/>
          <w:lang w:val="en-US" w:eastAsia="zh-CN"/>
        </w:rPr>
        <w:t>仓库设卷闸门，顶部密闭设负压</w:t>
      </w:r>
      <w:r>
        <w:rPr>
          <w:rFonts w:hint="default" w:ascii="Times New Roman" w:hAnsi="Times New Roman" w:eastAsia="宋体" w:cs="Times New Roman"/>
          <w:i w:val="0"/>
          <w:iCs w:val="0"/>
          <w:caps w:val="0"/>
          <w:color w:val="000000"/>
          <w:spacing w:val="0"/>
          <w:sz w:val="24"/>
          <w:szCs w:val="24"/>
          <w:u w:val="single"/>
          <w:shd w:val="clear" w:color="auto" w:fill="FFFFFF"/>
          <w:lang w:eastAsia="zh-CN"/>
        </w:rPr>
        <w:t>集气收集</w:t>
      </w:r>
      <w:r>
        <w:rPr>
          <w:rFonts w:hint="default" w:ascii="Times New Roman" w:hAnsi="Times New Roman" w:eastAsia="宋体" w:cs="Times New Roman"/>
          <w:i w:val="0"/>
          <w:iCs w:val="0"/>
          <w:caps w:val="0"/>
          <w:color w:val="000000"/>
          <w:spacing w:val="0"/>
          <w:sz w:val="24"/>
          <w:szCs w:val="24"/>
          <w:u w:val="single"/>
          <w:shd w:val="clear" w:color="auto" w:fill="FFFFFF"/>
          <w:lang w:val="en-US" w:eastAsia="zh-CN"/>
        </w:rPr>
        <w:t>管道，所有废气全部经管道集中收集至一套UV光解+活性炭吸附装置处理后，通过15m的排气筒（DA001）排放</w:t>
      </w:r>
      <w:r>
        <w:rPr>
          <w:rFonts w:hint="default" w:ascii="Times New Roman" w:hAnsi="Times New Roman" w:eastAsia="宋体" w:cs="Times New Roman"/>
          <w:color w:val="000000"/>
          <w:sz w:val="24"/>
          <w:szCs w:val="24"/>
          <w:u w:val="single"/>
          <w:shd w:val="clear" w:color="auto" w:fill="FFFFFF"/>
        </w:rPr>
        <w:t>。</w:t>
      </w:r>
    </w:p>
    <w:tbl>
      <w:tblPr>
        <w:tblStyle w:val="3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32"/>
        <w:gridCol w:w="4390"/>
      </w:tblGrid>
      <w:tr w14:paraId="1BC01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30" w:type="dxa"/>
            <w:tcBorders>
              <w:tl2br w:val="nil"/>
              <w:tr2bl w:val="nil"/>
            </w:tcBorders>
            <w:noWrap w:val="0"/>
            <w:vAlign w:val="top"/>
          </w:tcPr>
          <w:p w14:paraId="33AA6FAF">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drawing>
                <wp:inline distT="0" distB="0" distL="114300" distR="114300">
                  <wp:extent cx="2536190" cy="3352800"/>
                  <wp:effectExtent l="0" t="0" r="8890" b="0"/>
                  <wp:docPr id="32" name="图片 12" descr="IMG_20220922_175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2" descr="IMG_20220922_175422"/>
                          <pic:cNvPicPr>
                            <a:picLocks noChangeAspect="1"/>
                          </pic:cNvPicPr>
                        </pic:nvPicPr>
                        <pic:blipFill>
                          <a:blip r:embed="rId8">
                            <a:lum bright="17999"/>
                          </a:blip>
                          <a:srcRect t="845"/>
                          <a:stretch>
                            <a:fillRect/>
                          </a:stretch>
                        </pic:blipFill>
                        <pic:spPr>
                          <a:xfrm>
                            <a:off x="0" y="0"/>
                            <a:ext cx="2536190" cy="3352800"/>
                          </a:xfrm>
                          <a:prstGeom prst="rect">
                            <a:avLst/>
                          </a:prstGeom>
                          <a:noFill/>
                          <a:ln>
                            <a:noFill/>
                          </a:ln>
                        </pic:spPr>
                      </pic:pic>
                    </a:graphicData>
                  </a:graphic>
                </wp:inline>
              </w:drawing>
            </w:r>
          </w:p>
        </w:tc>
        <w:tc>
          <w:tcPr>
            <w:tcW w:w="4392" w:type="dxa"/>
            <w:tcBorders>
              <w:tl2br w:val="nil"/>
              <w:tr2bl w:val="nil"/>
            </w:tcBorders>
            <w:noWrap w:val="0"/>
            <w:vAlign w:val="top"/>
          </w:tcPr>
          <w:p w14:paraId="36721151">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drawing>
                <wp:inline distT="0" distB="0" distL="114300" distR="114300">
                  <wp:extent cx="2696845" cy="1718945"/>
                  <wp:effectExtent l="0" t="0" r="635" b="3175"/>
                  <wp:docPr id="29" name="图片 13" descr="IMG_20220513_10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descr="IMG_20220513_104211"/>
                          <pic:cNvPicPr>
                            <a:picLocks noChangeAspect="1"/>
                          </pic:cNvPicPr>
                        </pic:nvPicPr>
                        <pic:blipFill>
                          <a:blip r:embed="rId9">
                            <a:lum bright="23999"/>
                          </a:blip>
                          <a:srcRect l="21008" t="15331" r="7474" b="23865"/>
                          <a:stretch>
                            <a:fillRect/>
                          </a:stretch>
                        </pic:blipFill>
                        <pic:spPr>
                          <a:xfrm>
                            <a:off x="0" y="0"/>
                            <a:ext cx="2696845" cy="1718945"/>
                          </a:xfrm>
                          <a:prstGeom prst="rect">
                            <a:avLst/>
                          </a:prstGeom>
                          <a:noFill/>
                          <a:ln>
                            <a:noFill/>
                          </a:ln>
                        </pic:spPr>
                      </pic:pic>
                    </a:graphicData>
                  </a:graphic>
                </wp:inline>
              </w:drawing>
            </w:r>
            <w:r>
              <w:rPr>
                <w:rFonts w:hint="default" w:ascii="Times New Roman" w:hAnsi="Times New Roman" w:eastAsia="宋体" w:cs="Times New Roman"/>
                <w:u w:val="single"/>
                <w:lang w:val="en-US" w:eastAsia="zh-CN"/>
              </w:rPr>
              <w:drawing>
                <wp:inline distT="0" distB="0" distL="114300" distR="114300">
                  <wp:extent cx="2706370" cy="1476375"/>
                  <wp:effectExtent l="0" t="0" r="6350" b="1905"/>
                  <wp:docPr id="26" name="图片 14" descr="IMG_20220513_10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descr="IMG_20220513_104200"/>
                          <pic:cNvPicPr>
                            <a:picLocks noChangeAspect="1"/>
                          </pic:cNvPicPr>
                        </pic:nvPicPr>
                        <pic:blipFill>
                          <a:blip r:embed="rId10">
                            <a:lum bright="35999"/>
                          </a:blip>
                          <a:srcRect l="3284" t="10440" b="19202"/>
                          <a:stretch>
                            <a:fillRect/>
                          </a:stretch>
                        </pic:blipFill>
                        <pic:spPr>
                          <a:xfrm>
                            <a:off x="0" y="0"/>
                            <a:ext cx="2706370" cy="1476375"/>
                          </a:xfrm>
                          <a:prstGeom prst="rect">
                            <a:avLst/>
                          </a:prstGeom>
                          <a:noFill/>
                          <a:ln>
                            <a:noFill/>
                          </a:ln>
                        </pic:spPr>
                      </pic:pic>
                    </a:graphicData>
                  </a:graphic>
                </wp:inline>
              </w:drawing>
            </w:r>
          </w:p>
        </w:tc>
      </w:tr>
      <w:tr w14:paraId="54DE04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30" w:type="dxa"/>
            <w:tcBorders>
              <w:tl2br w:val="nil"/>
              <w:tr2bl w:val="nil"/>
            </w:tcBorders>
            <w:noWrap w:val="0"/>
            <w:vAlign w:val="top"/>
          </w:tcPr>
          <w:p w14:paraId="00F33944">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u w:val="single"/>
                <w:lang w:val="en-US" w:eastAsia="zh-CN"/>
              </w:rPr>
            </w:pPr>
            <w:r>
              <w:rPr>
                <w:rFonts w:hint="default" w:ascii="Times New Roman" w:hAnsi="Times New Roman" w:eastAsia="宋体" w:cs="Times New Roman"/>
                <w:b/>
                <w:bCs/>
                <w:u w:val="single"/>
                <w:lang w:val="en-US" w:eastAsia="zh-CN"/>
              </w:rPr>
              <w:t>密闭仓库顶部设负压集气罩</w:t>
            </w:r>
          </w:p>
        </w:tc>
        <w:tc>
          <w:tcPr>
            <w:tcW w:w="4392" w:type="dxa"/>
            <w:tcBorders>
              <w:tl2br w:val="nil"/>
              <w:tr2bl w:val="nil"/>
            </w:tcBorders>
            <w:noWrap w:val="0"/>
            <w:vAlign w:val="top"/>
          </w:tcPr>
          <w:p w14:paraId="6A54FD3C">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u w:val="single"/>
                <w:lang w:val="en-US" w:eastAsia="zh-CN"/>
              </w:rPr>
            </w:pPr>
            <w:r>
              <w:rPr>
                <w:rFonts w:hint="default" w:ascii="Times New Roman" w:hAnsi="Times New Roman" w:eastAsia="宋体" w:cs="Times New Roman"/>
                <w:b/>
                <w:bCs/>
                <w:u w:val="single"/>
                <w:lang w:val="en-US" w:eastAsia="zh-CN"/>
              </w:rPr>
              <w:t>敞开式仓库上方设集气罩</w:t>
            </w:r>
          </w:p>
        </w:tc>
      </w:tr>
      <w:tr w14:paraId="1BA74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130" w:type="dxa"/>
            <w:tcBorders>
              <w:tl2br w:val="nil"/>
              <w:tr2bl w:val="nil"/>
            </w:tcBorders>
            <w:noWrap w:val="0"/>
            <w:vAlign w:val="top"/>
          </w:tcPr>
          <w:p w14:paraId="6B3C18D4">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drawing>
                <wp:inline distT="0" distB="0" distL="114300" distR="114300">
                  <wp:extent cx="2536190" cy="3143250"/>
                  <wp:effectExtent l="0" t="0" r="8890" b="11430"/>
                  <wp:docPr id="31" name="图片 15" descr="IMG_20220922_18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descr="IMG_20220922_181114"/>
                          <pic:cNvPicPr>
                            <a:picLocks noChangeAspect="1"/>
                          </pic:cNvPicPr>
                        </pic:nvPicPr>
                        <pic:blipFill>
                          <a:blip r:embed="rId11">
                            <a:lum bright="17999"/>
                          </a:blip>
                          <a:srcRect b="7042"/>
                          <a:stretch>
                            <a:fillRect/>
                          </a:stretch>
                        </pic:blipFill>
                        <pic:spPr>
                          <a:xfrm>
                            <a:off x="0" y="0"/>
                            <a:ext cx="2536190" cy="3143250"/>
                          </a:xfrm>
                          <a:prstGeom prst="rect">
                            <a:avLst/>
                          </a:prstGeom>
                          <a:noFill/>
                          <a:ln>
                            <a:noFill/>
                          </a:ln>
                        </pic:spPr>
                      </pic:pic>
                    </a:graphicData>
                  </a:graphic>
                </wp:inline>
              </w:drawing>
            </w:r>
          </w:p>
        </w:tc>
        <w:tc>
          <w:tcPr>
            <w:tcW w:w="4392" w:type="dxa"/>
            <w:tcBorders>
              <w:tl2br w:val="nil"/>
              <w:tr2bl w:val="nil"/>
            </w:tcBorders>
            <w:noWrap w:val="0"/>
            <w:vAlign w:val="top"/>
          </w:tcPr>
          <w:p w14:paraId="3C75FFAF">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drawing>
                <wp:inline distT="0" distB="0" distL="114300" distR="114300">
                  <wp:extent cx="2685415" cy="1767205"/>
                  <wp:effectExtent l="0" t="0" r="12065" b="635"/>
                  <wp:docPr id="33" name="图片 16" descr="IMG_20220922_18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6" descr="IMG_20220922_181134"/>
                          <pic:cNvPicPr>
                            <a:picLocks noChangeAspect="1"/>
                          </pic:cNvPicPr>
                        </pic:nvPicPr>
                        <pic:blipFill>
                          <a:blip r:embed="rId12">
                            <a:lum bright="29999" contrast="17999"/>
                          </a:blip>
                          <a:srcRect t="5200" b="7091"/>
                          <a:stretch>
                            <a:fillRect/>
                          </a:stretch>
                        </pic:blipFill>
                        <pic:spPr>
                          <a:xfrm>
                            <a:off x="0" y="0"/>
                            <a:ext cx="2685415" cy="1767205"/>
                          </a:xfrm>
                          <a:prstGeom prst="rect">
                            <a:avLst/>
                          </a:prstGeom>
                          <a:noFill/>
                          <a:ln>
                            <a:noFill/>
                          </a:ln>
                        </pic:spPr>
                      </pic:pic>
                    </a:graphicData>
                  </a:graphic>
                </wp:inline>
              </w:drawing>
            </w:r>
            <w:r>
              <w:rPr>
                <w:rFonts w:hint="default" w:ascii="Times New Roman" w:hAnsi="Times New Roman" w:eastAsia="宋体" w:cs="Times New Roman"/>
                <w:u w:val="single"/>
                <w:lang w:val="en-US" w:eastAsia="zh-CN"/>
              </w:rPr>
              <w:drawing>
                <wp:inline distT="0" distB="0" distL="114300" distR="114300">
                  <wp:extent cx="2704465" cy="1374140"/>
                  <wp:effectExtent l="0" t="0" r="8255" b="12700"/>
                  <wp:docPr id="25" name="图片 17" descr="IMG_20220513_10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descr="IMG_20220513_103725"/>
                          <pic:cNvPicPr>
                            <a:picLocks noChangeAspect="1"/>
                          </pic:cNvPicPr>
                        </pic:nvPicPr>
                        <pic:blipFill>
                          <a:blip r:embed="rId13"/>
                          <a:srcRect l="7234" r="22015" b="73051"/>
                          <a:stretch>
                            <a:fillRect/>
                          </a:stretch>
                        </pic:blipFill>
                        <pic:spPr>
                          <a:xfrm>
                            <a:off x="0" y="0"/>
                            <a:ext cx="2704465" cy="1374140"/>
                          </a:xfrm>
                          <a:prstGeom prst="rect">
                            <a:avLst/>
                          </a:prstGeom>
                          <a:noFill/>
                          <a:ln>
                            <a:noFill/>
                          </a:ln>
                        </pic:spPr>
                      </pic:pic>
                    </a:graphicData>
                  </a:graphic>
                </wp:inline>
              </w:drawing>
            </w:r>
          </w:p>
        </w:tc>
      </w:tr>
      <w:tr w14:paraId="314A32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2" w:type="dxa"/>
            <w:gridSpan w:val="2"/>
            <w:tcBorders>
              <w:tl2br w:val="nil"/>
              <w:tr2bl w:val="nil"/>
            </w:tcBorders>
            <w:noWrap w:val="0"/>
            <w:vAlign w:val="top"/>
          </w:tcPr>
          <w:p w14:paraId="38A410F5">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u w:val="single"/>
                <w:lang w:val="en-US" w:eastAsia="zh-CN"/>
              </w:rPr>
            </w:pPr>
            <w:r>
              <w:rPr>
                <w:rFonts w:hint="default" w:ascii="Times New Roman" w:hAnsi="Times New Roman" w:eastAsia="宋体" w:cs="Times New Roman"/>
                <w:b/>
                <w:bCs/>
                <w:i w:val="0"/>
                <w:iCs w:val="0"/>
                <w:caps w:val="0"/>
                <w:color w:val="000000"/>
                <w:spacing w:val="0"/>
                <w:sz w:val="24"/>
                <w:szCs w:val="24"/>
                <w:u w:val="single"/>
                <w:shd w:val="clear" w:color="auto" w:fill="FFFFFF"/>
                <w:lang w:val="en-US" w:eastAsia="zh-CN"/>
              </w:rPr>
              <w:t>UV光解+活性炭吸附装置，厂房顶部15m排气筒排口</w:t>
            </w:r>
          </w:p>
        </w:tc>
      </w:tr>
    </w:tbl>
    <w:p w14:paraId="1521E092">
      <w:pPr>
        <w:pStyle w:val="8"/>
        <w:spacing w:line="360" w:lineRule="auto"/>
        <w:ind w:firstLine="480"/>
        <w:rPr>
          <w:rFonts w:hint="default" w:ascii="Times New Roman" w:hAnsi="Times New Roman" w:eastAsia="宋体" w:cs="Times New Roman"/>
          <w:u w:val="single"/>
        </w:rPr>
      </w:pPr>
      <w:r>
        <w:rPr>
          <w:rFonts w:hint="default" w:ascii="Times New Roman" w:hAnsi="Times New Roman" w:eastAsia="宋体" w:cs="Times New Roman"/>
          <w:u w:val="single"/>
        </w:rPr>
        <w:t>根据全国排污许可证管理信息平台公布的企业2022年度自行监测信息（http://permit.mee.gov.cn/perxxgkinfo/xkgkAction!xkgk.action?xkgk=getxxgkContent&amp;dataid=463ab4445d514abea8684607f3a30f92），项目</w:t>
      </w:r>
      <w:r>
        <w:rPr>
          <w:rFonts w:hint="default" w:ascii="Times New Roman" w:hAnsi="Times New Roman" w:eastAsia="宋体" w:cs="Times New Roman"/>
          <w:u w:val="single"/>
          <w:lang w:eastAsia="zh-CN"/>
        </w:rPr>
        <w:t>有组织废气和</w:t>
      </w:r>
      <w:r>
        <w:rPr>
          <w:rFonts w:hint="default" w:ascii="Times New Roman" w:hAnsi="Times New Roman" w:eastAsia="宋体" w:cs="Times New Roman"/>
          <w:u w:val="single"/>
        </w:rPr>
        <w:t>无组织废气均已实现达标排放（监测结果见下图）。</w:t>
      </w:r>
    </w:p>
    <w:p w14:paraId="19DBC191">
      <w:pPr>
        <w:spacing w:line="360" w:lineRule="auto"/>
        <w:rPr>
          <w:rFonts w:hint="default" w:ascii="Times New Roman" w:hAnsi="Times New Roman" w:eastAsia="宋体" w:cs="Times New Roman"/>
          <w:sz w:val="24"/>
          <w:u w:val="single"/>
          <w:lang w:val="zh-CN"/>
        </w:rPr>
      </w:pPr>
      <w:r>
        <w:rPr>
          <w:rFonts w:hint="default" w:ascii="Times New Roman" w:hAnsi="Times New Roman" w:eastAsia="宋体" w:cs="Times New Roman"/>
          <w:u w:val="single"/>
        </w:rPr>
        <w:drawing>
          <wp:inline distT="0" distB="0" distL="114300" distR="114300">
            <wp:extent cx="5272405" cy="1260475"/>
            <wp:effectExtent l="0" t="0" r="635" b="4445"/>
            <wp:docPr id="6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6"/>
                    <pic:cNvPicPr>
                      <a:picLocks noChangeAspect="1"/>
                    </pic:cNvPicPr>
                  </pic:nvPicPr>
                  <pic:blipFill>
                    <a:blip r:embed="rId14"/>
                    <a:stretch>
                      <a:fillRect/>
                    </a:stretch>
                  </pic:blipFill>
                  <pic:spPr>
                    <a:xfrm>
                      <a:off x="0" y="0"/>
                      <a:ext cx="5272405" cy="1260475"/>
                    </a:xfrm>
                    <a:prstGeom prst="rect">
                      <a:avLst/>
                    </a:prstGeom>
                    <a:noFill/>
                    <a:ln>
                      <a:noFill/>
                    </a:ln>
                  </pic:spPr>
                </pic:pic>
              </a:graphicData>
            </a:graphic>
          </wp:inline>
        </w:drawing>
      </w:r>
    </w:p>
    <w:p w14:paraId="262252F5">
      <w:pPr>
        <w:spacing w:line="360" w:lineRule="auto"/>
        <w:jc w:val="center"/>
        <w:rPr>
          <w:rFonts w:hint="default" w:ascii="Times New Roman" w:hAnsi="Times New Roman" w:eastAsia="宋体" w:cs="Times New Roman"/>
          <w:b/>
          <w:bCs/>
          <w:szCs w:val="20"/>
          <w:u w:val="single"/>
          <w:lang w:val="zh-CN"/>
        </w:rPr>
      </w:pPr>
      <w:r>
        <w:rPr>
          <w:rFonts w:hint="default" w:ascii="Times New Roman" w:hAnsi="Times New Roman" w:eastAsia="宋体" w:cs="Times New Roman"/>
          <w:u w:val="single"/>
        </w:rPr>
        <w:drawing>
          <wp:inline distT="0" distB="0" distL="114300" distR="114300">
            <wp:extent cx="5272405" cy="2885440"/>
            <wp:effectExtent l="0" t="0" r="635" b="1016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8"/>
                    <pic:cNvPicPr>
                      <a:picLocks noChangeAspect="1"/>
                    </pic:cNvPicPr>
                  </pic:nvPicPr>
                  <pic:blipFill>
                    <a:blip r:embed="rId15"/>
                    <a:stretch>
                      <a:fillRect/>
                    </a:stretch>
                  </pic:blipFill>
                  <pic:spPr>
                    <a:xfrm>
                      <a:off x="0" y="0"/>
                      <a:ext cx="5272405" cy="2885440"/>
                    </a:xfrm>
                    <a:prstGeom prst="rect">
                      <a:avLst/>
                    </a:prstGeom>
                    <a:noFill/>
                    <a:ln>
                      <a:noFill/>
                    </a:ln>
                  </pic:spPr>
                </pic:pic>
              </a:graphicData>
            </a:graphic>
          </wp:inline>
        </w:drawing>
      </w:r>
    </w:p>
    <w:p w14:paraId="55A2395F">
      <w:pPr>
        <w:spacing w:line="360" w:lineRule="auto"/>
        <w:jc w:val="center"/>
        <w:rPr>
          <w:rFonts w:hint="default" w:ascii="Times New Roman" w:hAnsi="Times New Roman" w:eastAsia="宋体" w:cs="Times New Roman"/>
          <w:b/>
          <w:bCs/>
          <w:szCs w:val="20"/>
          <w:u w:val="single"/>
          <w:lang w:val="zh-CN"/>
        </w:rPr>
      </w:pPr>
      <w:r>
        <w:rPr>
          <w:rFonts w:hint="default" w:ascii="Times New Roman" w:hAnsi="Times New Roman" w:eastAsia="宋体" w:cs="Times New Roman"/>
          <w:b/>
          <w:bCs/>
          <w:szCs w:val="20"/>
          <w:u w:val="single"/>
          <w:lang w:val="zh-CN"/>
        </w:rPr>
        <w:t>图3.4-1  现有项目废气排放自行监测信息截图</w:t>
      </w:r>
    </w:p>
    <w:p w14:paraId="1137CBDF">
      <w:pPr>
        <w:spacing w:line="360" w:lineRule="auto"/>
        <w:jc w:val="left"/>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b w:val="0"/>
          <w:bCs w:val="0"/>
          <w:sz w:val="24"/>
          <w:szCs w:val="24"/>
          <w:u w:val="single"/>
          <w:lang w:val="en-US" w:eastAsia="zh-CN"/>
        </w:rPr>
        <w:t xml:space="preserve">    此外，根据现有项目的竣工环境保护验收报告，报告结论给出“</w:t>
      </w:r>
      <w:r>
        <w:rPr>
          <w:rFonts w:hint="default" w:ascii="Times New Roman" w:hAnsi="Times New Roman" w:eastAsia="宋体" w:cs="Times New Roman"/>
          <w:b w:val="0"/>
          <w:bCs w:val="0"/>
          <w:kern w:val="2"/>
          <w:sz w:val="24"/>
          <w:szCs w:val="24"/>
          <w:u w:val="single"/>
          <w:lang w:val="en-US" w:eastAsia="zh-CN" w:bidi="ar"/>
        </w:rPr>
        <w:t>验收监测期间，厂房内1~14#、20#、25#仓库暂存不易挥发废气的固体类危废，通过在各仓库上方设集气罩收集废气；其他15~19#、21~24#</w:t>
      </w:r>
      <w:r>
        <w:rPr>
          <w:rFonts w:hint="default" w:ascii="Times New Roman" w:hAnsi="Times New Roman" w:eastAsia="宋体" w:cs="Times New Roman"/>
          <w:b w:val="0"/>
          <w:bCs w:val="0"/>
          <w:color w:val="000000"/>
          <w:kern w:val="2"/>
          <w:sz w:val="24"/>
          <w:szCs w:val="24"/>
          <w:u w:val="single"/>
          <w:shd w:val="clear" w:fill="FFFFFF"/>
          <w:lang w:val="en-US" w:eastAsia="zh-CN" w:bidi="ar"/>
        </w:rPr>
        <w:t>各仓库设卷闸门，顶部密闭设负压集气收集管道，所有废气全部经管道集中收集至一套UV光解+活性炭吸附装置处理后，通过15m的排气筒（DA001）排放</w:t>
      </w:r>
      <w:r>
        <w:rPr>
          <w:rFonts w:hint="default" w:ascii="Times New Roman" w:hAnsi="Times New Roman" w:eastAsia="宋体" w:cs="Times New Roman"/>
          <w:b w:val="0"/>
          <w:bCs w:val="0"/>
          <w:kern w:val="24"/>
          <w:sz w:val="24"/>
          <w:szCs w:val="24"/>
          <w:u w:val="single"/>
          <w:lang w:val="en-US" w:eastAsia="zh-CN" w:bidi="ar"/>
        </w:rPr>
        <w:t>。</w:t>
      </w:r>
      <w:r>
        <w:rPr>
          <w:rFonts w:hint="default" w:ascii="Times New Roman" w:hAnsi="Times New Roman" w:eastAsia="宋体" w:cs="Times New Roman"/>
          <w:b w:val="0"/>
          <w:bCs w:val="0"/>
          <w:kern w:val="2"/>
          <w:sz w:val="24"/>
          <w:szCs w:val="24"/>
          <w:u w:val="single"/>
          <w:lang w:val="en-US" w:eastAsia="zh-CN" w:bidi="ar"/>
        </w:rPr>
        <w:t>外排非甲烷总烃废气可达到《大气污染物综合排放标准》（GB16297-1996）表2对应15m排气筒标准（浓度&lt;120mg/m</w:t>
      </w:r>
      <w:r>
        <w:rPr>
          <w:rFonts w:hint="default" w:ascii="Times New Roman" w:hAnsi="Times New Roman" w:eastAsia="宋体" w:cs="Times New Roman"/>
          <w:b w:val="0"/>
          <w:bCs w:val="0"/>
          <w:kern w:val="2"/>
          <w:sz w:val="24"/>
          <w:szCs w:val="24"/>
          <w:u w:val="single"/>
          <w:vertAlign w:val="superscript"/>
          <w:lang w:val="en-US" w:eastAsia="zh-CN" w:bidi="ar"/>
        </w:rPr>
        <w:t>3</w:t>
      </w:r>
      <w:r>
        <w:rPr>
          <w:rFonts w:hint="default" w:ascii="Times New Roman" w:hAnsi="Times New Roman" w:eastAsia="宋体" w:cs="Times New Roman"/>
          <w:b w:val="0"/>
          <w:bCs w:val="0"/>
          <w:kern w:val="2"/>
          <w:sz w:val="24"/>
          <w:szCs w:val="24"/>
          <w:u w:val="single"/>
          <w:lang w:val="en-US" w:eastAsia="zh-CN" w:bidi="ar"/>
        </w:rPr>
        <w:t>；速率&lt;10kg/h）</w:t>
      </w:r>
      <w:r>
        <w:rPr>
          <w:rFonts w:hint="default" w:ascii="Times New Roman" w:hAnsi="Times New Roman" w:eastAsia="宋体" w:cs="Times New Roman"/>
          <w:b w:val="0"/>
          <w:bCs w:val="0"/>
          <w:sz w:val="24"/>
          <w:szCs w:val="24"/>
          <w:u w:val="single"/>
          <w:lang w:val="en-US" w:eastAsia="zh-CN"/>
        </w:rPr>
        <w:t>”，“</w:t>
      </w:r>
      <w:r>
        <w:rPr>
          <w:rFonts w:hint="default" w:ascii="Times New Roman" w:hAnsi="Times New Roman" w:eastAsia="宋体" w:cs="Times New Roman"/>
          <w:b w:val="0"/>
          <w:bCs w:val="0"/>
          <w:color w:val="000000"/>
          <w:kern w:val="2"/>
          <w:sz w:val="24"/>
          <w:szCs w:val="24"/>
          <w:u w:val="single"/>
          <w:lang w:val="en-US" w:eastAsia="zh-CN" w:bidi="ar"/>
        </w:rPr>
        <w:t>厂界西北侧（</w:t>
      </w:r>
      <w:r>
        <w:rPr>
          <w:rFonts w:hint="default" w:ascii="Times New Roman" w:hAnsi="Times New Roman" w:eastAsia="宋体" w:cs="Times New Roman"/>
          <w:b w:val="0"/>
          <w:bCs w:val="0"/>
          <w:kern w:val="2"/>
          <w:sz w:val="24"/>
          <w:szCs w:val="24"/>
          <w:u w:val="single"/>
          <w:lang w:val="en-US" w:eastAsia="zh-CN" w:bidi="ar"/>
        </w:rPr>
        <w:t>Q1</w:t>
      </w:r>
      <w:r>
        <w:rPr>
          <w:rFonts w:hint="default" w:ascii="Times New Roman" w:hAnsi="Times New Roman" w:eastAsia="宋体" w:cs="Times New Roman"/>
          <w:b w:val="0"/>
          <w:bCs w:val="0"/>
          <w:color w:val="000000"/>
          <w:kern w:val="2"/>
          <w:sz w:val="24"/>
          <w:szCs w:val="24"/>
          <w:u w:val="single"/>
          <w:lang w:val="en-US" w:eastAsia="zh-CN" w:bidi="ar"/>
        </w:rPr>
        <w:t>上风向）、厂界南侧</w:t>
      </w:r>
      <w:r>
        <w:rPr>
          <w:rFonts w:hint="default" w:ascii="Times New Roman" w:hAnsi="Times New Roman" w:eastAsia="宋体" w:cs="Times New Roman"/>
          <w:b w:val="0"/>
          <w:bCs w:val="0"/>
          <w:kern w:val="2"/>
          <w:sz w:val="24"/>
          <w:szCs w:val="24"/>
          <w:u w:val="single"/>
          <w:lang w:val="en-US" w:eastAsia="zh-CN" w:bidi="ar"/>
        </w:rPr>
        <w:t>（Q2下风向）</w:t>
      </w:r>
      <w:r>
        <w:rPr>
          <w:rFonts w:hint="default" w:ascii="Times New Roman" w:hAnsi="Times New Roman" w:eastAsia="宋体" w:cs="Times New Roman"/>
          <w:b w:val="0"/>
          <w:bCs w:val="0"/>
          <w:color w:val="000000"/>
          <w:kern w:val="2"/>
          <w:sz w:val="24"/>
          <w:szCs w:val="24"/>
          <w:u w:val="single"/>
          <w:lang w:val="en-US" w:eastAsia="zh-CN" w:bidi="ar"/>
        </w:rPr>
        <w:t>、厂界东南侧</w:t>
      </w:r>
      <w:r>
        <w:rPr>
          <w:rFonts w:hint="default" w:ascii="Times New Roman" w:hAnsi="Times New Roman" w:eastAsia="宋体" w:cs="Times New Roman"/>
          <w:b w:val="0"/>
          <w:bCs w:val="0"/>
          <w:kern w:val="2"/>
          <w:sz w:val="24"/>
          <w:szCs w:val="24"/>
          <w:u w:val="single"/>
          <w:lang w:val="en-US" w:eastAsia="zh-CN" w:bidi="ar"/>
        </w:rPr>
        <w:t>（侧风向）</w:t>
      </w:r>
      <w:r>
        <w:rPr>
          <w:rFonts w:hint="default" w:ascii="Times New Roman" w:hAnsi="Times New Roman" w:eastAsia="宋体" w:cs="Times New Roman"/>
          <w:b w:val="0"/>
          <w:bCs w:val="0"/>
          <w:color w:val="000000"/>
          <w:kern w:val="2"/>
          <w:sz w:val="24"/>
          <w:szCs w:val="24"/>
          <w:u w:val="single"/>
          <w:lang w:val="en-US" w:eastAsia="zh-CN" w:bidi="ar"/>
        </w:rPr>
        <w:t>的</w:t>
      </w:r>
      <w:r>
        <w:rPr>
          <w:rFonts w:hint="default" w:ascii="Times New Roman" w:hAnsi="Times New Roman" w:eastAsia="宋体" w:cs="Times New Roman"/>
          <w:b w:val="0"/>
          <w:bCs w:val="0"/>
          <w:kern w:val="2"/>
          <w:sz w:val="24"/>
          <w:szCs w:val="24"/>
          <w:u w:val="single"/>
          <w:lang w:val="en-US" w:eastAsia="zh-CN" w:bidi="ar"/>
        </w:rPr>
        <w:t>无组织</w:t>
      </w:r>
      <w:r>
        <w:rPr>
          <w:rFonts w:hint="default" w:ascii="Times New Roman" w:hAnsi="Times New Roman" w:eastAsia="宋体" w:cs="Times New Roman"/>
          <w:b w:val="0"/>
          <w:bCs w:val="0"/>
          <w:color w:val="000000"/>
          <w:kern w:val="2"/>
          <w:sz w:val="24"/>
          <w:szCs w:val="24"/>
          <w:u w:val="single"/>
          <w:lang w:val="en-US" w:eastAsia="zh-CN" w:bidi="ar"/>
        </w:rPr>
        <w:t>废气中颗粒物、</w:t>
      </w:r>
      <w:r>
        <w:rPr>
          <w:rFonts w:hint="default" w:ascii="Times New Roman" w:hAnsi="Times New Roman" w:eastAsia="宋体" w:cs="Times New Roman"/>
          <w:b w:val="0"/>
          <w:bCs w:val="0"/>
          <w:kern w:val="24"/>
          <w:sz w:val="24"/>
          <w:szCs w:val="24"/>
          <w:u w:val="single"/>
          <w:lang w:val="en-US" w:eastAsia="zh-CN" w:bidi="ar"/>
        </w:rPr>
        <w:t>非甲烷总烃</w:t>
      </w:r>
      <w:r>
        <w:rPr>
          <w:rFonts w:hint="default" w:ascii="Times New Roman" w:hAnsi="Times New Roman" w:eastAsia="宋体" w:cs="Times New Roman"/>
          <w:b w:val="0"/>
          <w:bCs w:val="0"/>
          <w:color w:val="000000"/>
          <w:kern w:val="2"/>
          <w:sz w:val="24"/>
          <w:szCs w:val="24"/>
          <w:u w:val="single"/>
          <w:lang w:val="en-US" w:eastAsia="zh-CN" w:bidi="ar"/>
        </w:rPr>
        <w:t>可达到《大气污染物综合排放标准》（GB16297-1996）中表2无组织监控浓度限值，</w:t>
      </w:r>
      <w:r>
        <w:rPr>
          <w:rFonts w:hint="default" w:ascii="Times New Roman" w:hAnsi="Times New Roman" w:eastAsia="宋体" w:cs="Times New Roman"/>
          <w:b w:val="0"/>
          <w:bCs w:val="0"/>
          <w:kern w:val="24"/>
          <w:sz w:val="24"/>
          <w:szCs w:val="24"/>
          <w:u w:val="single"/>
          <w:lang w:val="en-US" w:eastAsia="zh-CN" w:bidi="ar"/>
        </w:rPr>
        <w:t>硫化氢、氨、臭气浓度</w:t>
      </w:r>
      <w:r>
        <w:rPr>
          <w:rFonts w:hint="default" w:ascii="Times New Roman" w:hAnsi="Times New Roman" w:eastAsia="宋体" w:cs="Times New Roman"/>
          <w:b w:val="0"/>
          <w:bCs w:val="0"/>
          <w:kern w:val="2"/>
          <w:sz w:val="24"/>
          <w:szCs w:val="24"/>
          <w:u w:val="single"/>
          <w:lang w:val="en-US" w:eastAsia="zh-CN" w:bidi="ar"/>
        </w:rPr>
        <w:t>可达到</w:t>
      </w:r>
      <w:r>
        <w:rPr>
          <w:rFonts w:hint="default" w:ascii="Times New Roman" w:hAnsi="Times New Roman" w:eastAsia="宋体" w:cs="Times New Roman"/>
          <w:b w:val="0"/>
          <w:bCs w:val="0"/>
          <w:kern w:val="24"/>
          <w:sz w:val="24"/>
          <w:szCs w:val="24"/>
          <w:u w:val="single"/>
          <w:lang w:val="en-US" w:eastAsia="zh-CN" w:bidi="ar"/>
        </w:rPr>
        <w:t>《恶臭污染物排放标准》（GB14554-1993）表1中二级新改扩建标准限值</w:t>
      </w:r>
      <w:r>
        <w:rPr>
          <w:rFonts w:hint="default" w:ascii="Times New Roman" w:hAnsi="Times New Roman" w:eastAsia="宋体" w:cs="Times New Roman"/>
          <w:b w:val="0"/>
          <w:bCs w:val="0"/>
          <w:sz w:val="24"/>
          <w:szCs w:val="24"/>
          <w:u w:val="single"/>
          <w:lang w:val="en-US" w:eastAsia="zh-CN"/>
        </w:rPr>
        <w:t>”，因此现有项目废气均实现了达标排放。</w:t>
      </w:r>
    </w:p>
    <w:p w14:paraId="1A5E5733">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3.4.2</w:t>
      </w:r>
      <w:r>
        <w:rPr>
          <w:rFonts w:hint="default" w:ascii="Times New Roman" w:hAnsi="Times New Roman" w:eastAsia="宋体" w:cs="Times New Roman"/>
          <w:kern w:val="0"/>
          <w:sz w:val="24"/>
        </w:rPr>
        <w:t>水污染物</w:t>
      </w:r>
    </w:p>
    <w:p w14:paraId="5866E845">
      <w:pPr>
        <w:keepNext w:val="0"/>
        <w:keepLines w:val="0"/>
        <w:widowControl/>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4"/>
          <w:szCs w:val="24"/>
          <w:lang w:val="en-US"/>
        </w:rPr>
      </w:pPr>
      <w:r>
        <w:rPr>
          <w:rFonts w:hint="default" w:ascii="Times New Roman" w:hAnsi="Times New Roman" w:eastAsia="宋体" w:cs="Times New Roman"/>
          <w:kern w:val="24"/>
          <w:sz w:val="24"/>
          <w:szCs w:val="24"/>
          <w:lang w:val="en-US" w:eastAsia="zh-CN" w:bidi="ar"/>
        </w:rPr>
        <w:t>现有项目采用雨污分流制，无生产工艺废水，主要废水为员工生活污水、初期雨水。</w:t>
      </w:r>
    </w:p>
    <w:p w14:paraId="7AA9FEBF">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rPr>
      </w:pPr>
      <w:r>
        <w:rPr>
          <w:rFonts w:hint="default" w:ascii="Times New Roman" w:hAnsi="Times New Roman" w:eastAsia="宋体" w:cs="Times New Roman"/>
          <w:kern w:val="2"/>
          <w:sz w:val="24"/>
          <w:szCs w:val="20"/>
          <w:lang w:val="en-US" w:eastAsia="zh-CN" w:bidi="ar"/>
        </w:rPr>
        <w:t>（1）初期雨水</w:t>
      </w:r>
    </w:p>
    <w:p w14:paraId="4AAC47F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szCs w:val="24"/>
          <w:lang w:val="en-US"/>
        </w:rPr>
      </w:pPr>
      <w:r>
        <w:rPr>
          <w:rFonts w:hint="default" w:ascii="Times New Roman" w:hAnsi="Times New Roman" w:eastAsia="宋体" w:cs="Times New Roman"/>
          <w:kern w:val="2"/>
          <w:sz w:val="24"/>
          <w:szCs w:val="20"/>
          <w:lang w:val="en-US" w:eastAsia="zh-CN" w:bidi="ar"/>
        </w:rPr>
        <w:t>根据现状调查，</w:t>
      </w:r>
      <w:r>
        <w:rPr>
          <w:rFonts w:hint="default" w:ascii="Times New Roman" w:hAnsi="Times New Roman" w:eastAsia="宋体" w:cs="Times New Roman"/>
          <w:kern w:val="2"/>
          <w:sz w:val="24"/>
          <w:szCs w:val="24"/>
          <w:lang w:val="en-US" w:eastAsia="zh-CN" w:bidi="ar"/>
        </w:rPr>
        <w:t>项目无生产冲洗废水。但是由于项目收集贮存危废，在下雨过程中厂区门口装卸区下雨时初期雨水中会有SS和石油类等污染，因此需要收集项目厂区内的初期雨水进行处理。现已在厂房四周建设雨水截流沟分区收集雨水，</w:t>
      </w:r>
      <w:r>
        <w:rPr>
          <w:rFonts w:hint="default" w:ascii="Times New Roman" w:hAnsi="Times New Roman" w:eastAsia="宋体" w:cs="Times New Roman"/>
          <w:bCs/>
          <w:kern w:val="2"/>
          <w:sz w:val="24"/>
          <w:szCs w:val="24"/>
          <w:lang w:val="en-US" w:eastAsia="zh-CN" w:bidi="ar"/>
        </w:rPr>
        <w:t>厂房西、北侧雨水经北侧雨水沟</w:t>
      </w:r>
      <w:r>
        <w:rPr>
          <w:rFonts w:hint="default" w:ascii="Times New Roman" w:hAnsi="Times New Roman" w:eastAsia="宋体" w:cs="Times New Roman"/>
          <w:kern w:val="2"/>
          <w:sz w:val="24"/>
          <w:szCs w:val="24"/>
          <w:lang w:val="en-US" w:eastAsia="zh-CN" w:bidi="ar"/>
        </w:rPr>
        <w:t>收集至厂房外东北侧地势较低处设50m</w:t>
      </w:r>
      <w:r>
        <w:rPr>
          <w:rFonts w:hint="default" w:ascii="Times New Roman" w:hAnsi="Times New Roman" w:eastAsia="宋体" w:cs="Times New Roman"/>
          <w:kern w:val="2"/>
          <w:sz w:val="24"/>
          <w:szCs w:val="24"/>
          <w:vertAlign w:val="superscript"/>
          <w:lang w:val="en-US" w:eastAsia="zh-CN" w:bidi="ar"/>
        </w:rPr>
        <w:t>3</w:t>
      </w:r>
      <w:r>
        <w:rPr>
          <w:rFonts w:hint="default" w:ascii="Times New Roman" w:hAnsi="Times New Roman" w:eastAsia="宋体" w:cs="Times New Roman"/>
          <w:kern w:val="2"/>
          <w:sz w:val="24"/>
          <w:szCs w:val="24"/>
          <w:lang w:val="en-US" w:eastAsia="zh-CN" w:bidi="ar"/>
        </w:rPr>
        <w:t>池体，将该</w:t>
      </w:r>
      <w:r>
        <w:rPr>
          <w:rFonts w:hint="default" w:ascii="Times New Roman" w:hAnsi="Times New Roman" w:eastAsia="宋体" w:cs="Times New Roman"/>
          <w:bCs/>
          <w:kern w:val="2"/>
          <w:sz w:val="24"/>
          <w:szCs w:val="24"/>
          <w:lang w:val="en-US" w:eastAsia="zh-CN" w:bidi="ar"/>
        </w:rPr>
        <w:t>池体一分为二，池体前端25m</w:t>
      </w:r>
      <w:r>
        <w:rPr>
          <w:rFonts w:hint="default" w:ascii="Times New Roman" w:hAnsi="Times New Roman" w:eastAsia="宋体" w:cs="Times New Roman"/>
          <w:bCs/>
          <w:kern w:val="2"/>
          <w:sz w:val="24"/>
          <w:szCs w:val="24"/>
          <w:vertAlign w:val="superscript"/>
          <w:lang w:val="en-US" w:eastAsia="zh-CN" w:bidi="ar"/>
        </w:rPr>
        <w:t>3</w:t>
      </w:r>
      <w:r>
        <w:rPr>
          <w:rFonts w:hint="default" w:ascii="Times New Roman" w:hAnsi="Times New Roman" w:eastAsia="宋体" w:cs="Times New Roman"/>
          <w:bCs/>
          <w:kern w:val="2"/>
          <w:sz w:val="24"/>
          <w:szCs w:val="24"/>
          <w:lang w:val="en-US" w:eastAsia="zh-CN" w:bidi="ar"/>
        </w:rPr>
        <w:t>为初期雨水池，池体后端25m</w:t>
      </w:r>
      <w:r>
        <w:rPr>
          <w:rFonts w:hint="default" w:ascii="Times New Roman" w:hAnsi="Times New Roman" w:eastAsia="宋体" w:cs="Times New Roman"/>
          <w:bCs/>
          <w:kern w:val="2"/>
          <w:sz w:val="24"/>
          <w:szCs w:val="24"/>
          <w:vertAlign w:val="superscript"/>
          <w:lang w:val="en-US" w:eastAsia="zh-CN" w:bidi="ar"/>
        </w:rPr>
        <w:t>3</w:t>
      </w:r>
      <w:r>
        <w:rPr>
          <w:rFonts w:hint="default" w:ascii="Times New Roman" w:hAnsi="Times New Roman" w:eastAsia="宋体" w:cs="Times New Roman"/>
          <w:bCs/>
          <w:kern w:val="2"/>
          <w:sz w:val="24"/>
          <w:szCs w:val="24"/>
          <w:lang w:val="en-US" w:eastAsia="zh-CN" w:bidi="ar"/>
        </w:rPr>
        <w:t>为消防事故应急池，进水口、出水口设手摇式隔断闸阀，正常情况关闭雨水池与应急池之间的闸阀，雨水进入初期雨水池处理后经雨水口排入市政雨水管网</w:t>
      </w:r>
      <w:r>
        <w:rPr>
          <w:rFonts w:hint="default" w:ascii="Times New Roman" w:hAnsi="Times New Roman" w:eastAsia="宋体" w:cs="Times New Roman"/>
          <w:kern w:val="2"/>
          <w:sz w:val="24"/>
          <w:szCs w:val="24"/>
          <w:lang w:val="en-US" w:eastAsia="zh-CN" w:bidi="ar"/>
        </w:rPr>
        <w:t>；</w:t>
      </w:r>
      <w:r>
        <w:rPr>
          <w:rFonts w:hint="default" w:ascii="Times New Roman" w:hAnsi="Times New Roman" w:eastAsia="宋体" w:cs="Times New Roman"/>
          <w:bCs/>
          <w:kern w:val="2"/>
          <w:sz w:val="24"/>
          <w:szCs w:val="24"/>
          <w:lang w:val="en-US" w:eastAsia="zh-CN" w:bidi="ar"/>
        </w:rPr>
        <w:t>厂房东、南侧雨水分别经厂房外雨水沟收集至厂房外东侧大门附近1个20m</w:t>
      </w:r>
      <w:r>
        <w:rPr>
          <w:rFonts w:hint="default" w:ascii="Times New Roman" w:hAnsi="Times New Roman" w:eastAsia="宋体" w:cs="Times New Roman"/>
          <w:bCs/>
          <w:kern w:val="2"/>
          <w:sz w:val="24"/>
          <w:szCs w:val="24"/>
          <w:vertAlign w:val="superscript"/>
          <w:lang w:val="en-US" w:eastAsia="zh-CN" w:bidi="ar"/>
        </w:rPr>
        <w:t>3</w:t>
      </w:r>
      <w:r>
        <w:rPr>
          <w:rFonts w:hint="default" w:ascii="Times New Roman" w:hAnsi="Times New Roman" w:eastAsia="宋体" w:cs="Times New Roman"/>
          <w:bCs/>
          <w:kern w:val="2"/>
          <w:sz w:val="24"/>
          <w:szCs w:val="24"/>
          <w:lang w:val="en-US" w:eastAsia="zh-CN" w:bidi="ar"/>
        </w:rPr>
        <w:t>初期雨水收集池。初期雨水全部</w:t>
      </w:r>
      <w:r>
        <w:rPr>
          <w:rFonts w:hint="default" w:ascii="Times New Roman" w:hAnsi="Times New Roman" w:eastAsia="宋体" w:cs="Times New Roman"/>
          <w:kern w:val="2"/>
          <w:sz w:val="24"/>
          <w:szCs w:val="24"/>
          <w:lang w:val="en-US" w:eastAsia="zh-CN" w:bidi="ar"/>
        </w:rPr>
        <w:t>经过隔油沉淀处理达标后经废水管网排入市政管网</w:t>
      </w:r>
      <w:r>
        <w:rPr>
          <w:rFonts w:hint="default" w:ascii="Times New Roman" w:hAnsi="Times New Roman" w:eastAsia="宋体" w:cs="Times New Roman"/>
          <w:kern w:val="24"/>
          <w:sz w:val="24"/>
          <w:szCs w:val="24"/>
          <w:lang w:val="en-US" w:eastAsia="zh-CN" w:bidi="ar"/>
        </w:rPr>
        <w:t>最终进入松木</w:t>
      </w:r>
      <w:r>
        <w:rPr>
          <w:rFonts w:hint="eastAsia" w:ascii="Times New Roman" w:hAnsi="Times New Roman" w:cs="Times New Roman"/>
          <w:kern w:val="24"/>
          <w:sz w:val="24"/>
          <w:szCs w:val="24"/>
          <w:lang w:val="en-US" w:eastAsia="zh-CN" w:bidi="ar"/>
        </w:rPr>
        <w:t>污水处理厂</w:t>
      </w:r>
      <w:r>
        <w:rPr>
          <w:rFonts w:hint="default" w:ascii="Times New Roman" w:hAnsi="Times New Roman" w:eastAsia="宋体" w:cs="Times New Roman"/>
          <w:kern w:val="24"/>
          <w:sz w:val="24"/>
          <w:szCs w:val="24"/>
          <w:lang w:val="en-US" w:eastAsia="zh-CN" w:bidi="ar"/>
        </w:rPr>
        <w:t>集中处理达标后外排湘江</w:t>
      </w:r>
      <w:r>
        <w:rPr>
          <w:rFonts w:hint="default" w:ascii="Times New Roman" w:hAnsi="Times New Roman" w:eastAsia="宋体" w:cs="Times New Roman"/>
          <w:kern w:val="2"/>
          <w:sz w:val="24"/>
          <w:szCs w:val="24"/>
          <w:lang w:val="en-US" w:eastAsia="zh-CN" w:bidi="ar"/>
        </w:rPr>
        <w:t>。</w:t>
      </w:r>
    </w:p>
    <w:p w14:paraId="64C415C6">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lang w:val="en-US"/>
        </w:rPr>
      </w:pPr>
      <w:r>
        <w:rPr>
          <w:rFonts w:hint="default" w:ascii="Times New Roman" w:hAnsi="Times New Roman" w:eastAsia="宋体" w:cs="Times New Roman"/>
          <w:kern w:val="2"/>
          <w:sz w:val="24"/>
          <w:szCs w:val="20"/>
          <w:lang w:val="en-US" w:eastAsia="zh-CN" w:bidi="ar"/>
        </w:rPr>
        <w:t>（2）生活污水</w:t>
      </w:r>
    </w:p>
    <w:p w14:paraId="1209E202">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4"/>
          <w:sz w:val="24"/>
          <w:szCs w:val="24"/>
        </w:rPr>
      </w:pPr>
      <w:r>
        <w:rPr>
          <w:rFonts w:hint="default" w:ascii="Times New Roman" w:hAnsi="Times New Roman" w:eastAsia="宋体" w:cs="Times New Roman"/>
          <w:kern w:val="24"/>
          <w:sz w:val="24"/>
          <w:szCs w:val="24"/>
          <w:lang w:val="en-US" w:eastAsia="zh-CN" w:bidi="ar"/>
        </w:rPr>
        <w:t>项目生活污水排放量为0.4m</w:t>
      </w:r>
      <w:r>
        <w:rPr>
          <w:rFonts w:hint="default" w:ascii="Times New Roman" w:hAnsi="Times New Roman" w:eastAsia="宋体" w:cs="Times New Roman"/>
          <w:kern w:val="24"/>
          <w:sz w:val="24"/>
          <w:szCs w:val="24"/>
          <w:vertAlign w:val="superscript"/>
          <w:lang w:val="en-US" w:eastAsia="zh-CN" w:bidi="ar"/>
        </w:rPr>
        <w:t>3</w:t>
      </w:r>
      <w:r>
        <w:rPr>
          <w:rFonts w:hint="default" w:ascii="Times New Roman" w:hAnsi="Times New Roman" w:eastAsia="宋体" w:cs="Times New Roman"/>
          <w:kern w:val="24"/>
          <w:sz w:val="24"/>
          <w:szCs w:val="24"/>
          <w:lang w:val="en-US" w:eastAsia="zh-CN" w:bidi="ar"/>
        </w:rPr>
        <w:t>/d（132m</w:t>
      </w:r>
      <w:r>
        <w:rPr>
          <w:rFonts w:hint="default" w:ascii="Times New Roman" w:hAnsi="Times New Roman" w:eastAsia="宋体" w:cs="Times New Roman"/>
          <w:kern w:val="24"/>
          <w:sz w:val="24"/>
          <w:szCs w:val="24"/>
          <w:vertAlign w:val="superscript"/>
          <w:lang w:val="en-US" w:eastAsia="zh-CN" w:bidi="ar"/>
        </w:rPr>
        <w:t>3</w:t>
      </w:r>
      <w:r>
        <w:rPr>
          <w:rFonts w:hint="default" w:ascii="Times New Roman" w:hAnsi="Times New Roman" w:eastAsia="宋体" w:cs="Times New Roman"/>
          <w:kern w:val="24"/>
          <w:sz w:val="24"/>
          <w:szCs w:val="24"/>
          <w:lang w:val="en-US" w:eastAsia="zh-CN" w:bidi="ar"/>
        </w:rPr>
        <w:t>/a），生活污水经化粪池预处理达标后，于2022年5月场</w:t>
      </w:r>
      <w:r>
        <w:rPr>
          <w:rFonts w:hint="default" w:ascii="Times New Roman" w:hAnsi="Times New Roman" w:eastAsia="宋体" w:cs="Times New Roman"/>
          <w:spacing w:val="4"/>
          <w:kern w:val="2"/>
          <w:sz w:val="24"/>
          <w:szCs w:val="24"/>
          <w:lang w:val="en-US" w:eastAsia="zh-CN" w:bidi="ar"/>
        </w:rPr>
        <w:t>内污水排放管已与金源路园区市政污水管网接通，</w:t>
      </w:r>
      <w:r>
        <w:rPr>
          <w:rFonts w:hint="default" w:ascii="Times New Roman" w:hAnsi="Times New Roman" w:eastAsia="宋体" w:cs="Times New Roman"/>
          <w:kern w:val="24"/>
          <w:sz w:val="24"/>
          <w:szCs w:val="24"/>
          <w:lang w:val="en-US" w:eastAsia="zh-CN" w:bidi="ar"/>
        </w:rPr>
        <w:t>场</w:t>
      </w:r>
      <w:r>
        <w:rPr>
          <w:rFonts w:hint="default" w:ascii="Times New Roman" w:hAnsi="Times New Roman" w:eastAsia="宋体" w:cs="Times New Roman"/>
          <w:spacing w:val="4"/>
          <w:kern w:val="2"/>
          <w:sz w:val="24"/>
          <w:szCs w:val="24"/>
          <w:lang w:val="en-US" w:eastAsia="zh-CN" w:bidi="ar"/>
        </w:rPr>
        <w:t>内污水</w:t>
      </w:r>
      <w:r>
        <w:rPr>
          <w:rFonts w:hint="default" w:ascii="Times New Roman" w:hAnsi="Times New Roman" w:eastAsia="宋体" w:cs="Times New Roman"/>
          <w:kern w:val="24"/>
          <w:sz w:val="24"/>
          <w:szCs w:val="24"/>
          <w:lang w:val="en-US" w:eastAsia="zh-CN" w:bidi="ar"/>
        </w:rPr>
        <w:t>经金源路园区市政污水管网向北1.7km最终排入松木</w:t>
      </w:r>
      <w:r>
        <w:rPr>
          <w:rFonts w:hint="eastAsia" w:ascii="Times New Roman" w:hAnsi="Times New Roman" w:cs="Times New Roman"/>
          <w:kern w:val="24"/>
          <w:sz w:val="24"/>
          <w:szCs w:val="24"/>
          <w:lang w:val="en-US" w:eastAsia="zh-CN" w:bidi="ar"/>
        </w:rPr>
        <w:t>污水处理厂</w:t>
      </w:r>
      <w:r>
        <w:rPr>
          <w:rFonts w:hint="default" w:ascii="Times New Roman" w:hAnsi="Times New Roman" w:eastAsia="宋体" w:cs="Times New Roman"/>
          <w:kern w:val="24"/>
          <w:sz w:val="24"/>
          <w:szCs w:val="24"/>
          <w:lang w:val="en-US" w:eastAsia="zh-CN" w:bidi="ar"/>
        </w:rPr>
        <w:t>集中处理达标后外排湘江</w:t>
      </w:r>
      <w:r>
        <w:rPr>
          <w:rFonts w:hint="default" w:ascii="Times New Roman" w:hAnsi="Times New Roman" w:eastAsia="宋体" w:cs="Times New Roman"/>
          <w:kern w:val="24"/>
          <w:sz w:val="24"/>
          <w:szCs w:val="24"/>
        </w:rPr>
        <w:t>。</w:t>
      </w:r>
    </w:p>
    <w:p w14:paraId="78616775">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kern w:val="24"/>
          <w:sz w:val="24"/>
          <w:szCs w:val="24"/>
        </w:rPr>
      </w:pPr>
      <w:r>
        <w:rPr>
          <w:rFonts w:hint="default" w:ascii="Times New Roman" w:hAnsi="Times New Roman" w:eastAsia="宋体" w:cs="Times New Roman"/>
          <w:b w:val="0"/>
          <w:bCs w:val="0"/>
          <w:sz w:val="24"/>
          <w:szCs w:val="24"/>
          <w:u w:val="none"/>
          <w:lang w:val="en-US" w:eastAsia="zh-CN"/>
        </w:rPr>
        <w:t>根据现有项目的竣工环境保护验收报告，报告结论给出“</w:t>
      </w:r>
      <w:r>
        <w:rPr>
          <w:rFonts w:hint="default" w:ascii="Times New Roman" w:hAnsi="Times New Roman" w:eastAsia="宋体" w:cs="Times New Roman"/>
          <w:kern w:val="2"/>
          <w:sz w:val="24"/>
          <w:szCs w:val="20"/>
          <w:lang w:val="en-US" w:eastAsia="zh-CN" w:bidi="ar"/>
        </w:rPr>
        <w:t>验收监测期间，废水总排口主要污染因子均可达到《污水综合排放标准》（GB 8978-1996）表4中三级标准限值要求</w:t>
      </w:r>
      <w:r>
        <w:rPr>
          <w:rFonts w:hint="default" w:ascii="Times New Roman" w:hAnsi="Times New Roman" w:eastAsia="宋体" w:cs="Times New Roman"/>
          <w:b w:val="0"/>
          <w:bCs w:val="0"/>
          <w:sz w:val="24"/>
          <w:szCs w:val="24"/>
          <w:u w:val="none"/>
          <w:lang w:val="en-US" w:eastAsia="zh-CN"/>
        </w:rPr>
        <w:t>”，因此现有项目废水均实现了达标排放。</w:t>
      </w:r>
    </w:p>
    <w:p w14:paraId="7D69D0A9">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3.4.3</w:t>
      </w:r>
      <w:r>
        <w:rPr>
          <w:rFonts w:hint="default" w:ascii="Times New Roman" w:hAnsi="Times New Roman" w:eastAsia="宋体" w:cs="Times New Roman"/>
          <w:kern w:val="0"/>
          <w:sz w:val="24"/>
        </w:rPr>
        <w:t>噪声</w:t>
      </w:r>
    </w:p>
    <w:p w14:paraId="31C78CAC">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现有工程主要噪声源为风机、泵类、冷水机组等设备，项目目前采用的主要降噪措施为对风机、泵类等采用基础减振，风机采用软管连接等方式降噪，</w:t>
      </w:r>
      <w:r>
        <w:rPr>
          <w:rFonts w:hint="default" w:ascii="Times New Roman" w:hAnsi="Times New Roman" w:eastAsia="宋体" w:cs="Times New Roman"/>
          <w:b w:val="0"/>
          <w:bCs w:val="0"/>
          <w:sz w:val="24"/>
          <w:szCs w:val="24"/>
          <w:u w:val="none"/>
          <w:lang w:val="en-US" w:eastAsia="zh-CN"/>
        </w:rPr>
        <w:t>根据现有项目的竣工环境保护验收报告，</w:t>
      </w:r>
      <w:r>
        <w:rPr>
          <w:rFonts w:hint="default" w:ascii="Times New Roman" w:hAnsi="Times New Roman" w:eastAsia="宋体" w:cs="Times New Roman"/>
          <w:kern w:val="0"/>
          <w:sz w:val="24"/>
        </w:rPr>
        <w:t>通过对厂界四周处的噪声进行监测，监测结果表明：厂界东、南、西边的昼间和夜间噪声均符合《工业企业厂界环境噪声排放标准》（GB12348-2008）中3类标准。</w:t>
      </w:r>
    </w:p>
    <w:p w14:paraId="47DED26E">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3.4.4</w:t>
      </w:r>
      <w:r>
        <w:rPr>
          <w:rFonts w:hint="default" w:ascii="Times New Roman" w:hAnsi="Times New Roman" w:eastAsia="宋体" w:cs="Times New Roman"/>
          <w:kern w:val="0"/>
          <w:sz w:val="24"/>
        </w:rPr>
        <w:t>固体废物</w:t>
      </w:r>
    </w:p>
    <w:p w14:paraId="7705AC5A">
      <w:pPr>
        <w:pStyle w:val="9"/>
        <w:widowControl/>
        <w:spacing w:line="360" w:lineRule="auto"/>
        <w:ind w:firstLine="480" w:firstLineChars="200"/>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1</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lang w:val="en-US" w:eastAsia="zh-CN"/>
        </w:rPr>
        <w:t>自产固废</w:t>
      </w:r>
    </w:p>
    <w:p w14:paraId="0390AC5F">
      <w:pPr>
        <w:pStyle w:val="9"/>
        <w:widowControl/>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color w:val="000000"/>
          <w:sz w:val="24"/>
          <w:szCs w:val="24"/>
        </w:rPr>
        <w:t>项目固废主要为生活垃圾；含危险废物废抹布、含危险废物废劳保用品、废弃包装物、废活性炭、废油桶</w:t>
      </w:r>
      <w:r>
        <w:rPr>
          <w:rFonts w:hint="default" w:ascii="Times New Roman" w:hAnsi="Times New Roman" w:eastAsia="宋体" w:cs="Times New Roman"/>
          <w:color w:val="000000"/>
          <w:sz w:val="24"/>
          <w:szCs w:val="24"/>
          <w:lang w:bidi="ar"/>
        </w:rPr>
        <w:t>等</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szCs w:val="24"/>
        </w:rPr>
        <w:t>分类收集后暂存在厂房对应危废间，与外购贮存的危废一同委托有相应危废资质（远大再生燃油公司资质及委托处置合同详见附件）单位回收处置。员工生活产生的生活垃圾袋装后清运至园区集中暂存点，由环卫部门清运处理</w:t>
      </w:r>
      <w:r>
        <w:rPr>
          <w:rFonts w:hint="default" w:ascii="Times New Roman" w:hAnsi="Times New Roman" w:eastAsia="宋体" w:cs="Times New Roman"/>
        </w:rPr>
        <w:t>。</w:t>
      </w:r>
    </w:p>
    <w:p w14:paraId="6D798ECC">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b/>
          <w:bCs/>
          <w:szCs w:val="21"/>
        </w:rPr>
        <w:t>表3.4-1  自产固废产生处置情况一览表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8"/>
        <w:gridCol w:w="1299"/>
        <w:gridCol w:w="723"/>
        <w:gridCol w:w="678"/>
        <w:gridCol w:w="977"/>
        <w:gridCol w:w="753"/>
        <w:gridCol w:w="925"/>
        <w:gridCol w:w="690"/>
        <w:gridCol w:w="837"/>
        <w:gridCol w:w="922"/>
      </w:tblGrid>
      <w:tr w14:paraId="400792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93" w:hRule="atLeast"/>
          <w:jc w:val="center"/>
        </w:trPr>
        <w:tc>
          <w:tcPr>
            <w:tcW w:w="421" w:type="pct"/>
            <w:vAlign w:val="center"/>
          </w:tcPr>
          <w:p w14:paraId="04950421">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产污环节名称</w:t>
            </w:r>
          </w:p>
        </w:tc>
        <w:tc>
          <w:tcPr>
            <w:tcW w:w="762" w:type="pct"/>
            <w:vAlign w:val="center"/>
          </w:tcPr>
          <w:p w14:paraId="7D3D488B">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固体废物名称</w:t>
            </w:r>
          </w:p>
        </w:tc>
        <w:tc>
          <w:tcPr>
            <w:tcW w:w="424" w:type="pct"/>
            <w:vAlign w:val="center"/>
          </w:tcPr>
          <w:p w14:paraId="74A7E16B">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属性</w:t>
            </w:r>
          </w:p>
        </w:tc>
        <w:tc>
          <w:tcPr>
            <w:tcW w:w="398" w:type="pct"/>
            <w:vAlign w:val="center"/>
          </w:tcPr>
          <w:p w14:paraId="04E143A8">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物理性状</w:t>
            </w:r>
          </w:p>
        </w:tc>
        <w:tc>
          <w:tcPr>
            <w:tcW w:w="573" w:type="pct"/>
            <w:vAlign w:val="center"/>
          </w:tcPr>
          <w:p w14:paraId="57B6B3BB">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产生量t/a</w:t>
            </w:r>
          </w:p>
        </w:tc>
        <w:tc>
          <w:tcPr>
            <w:tcW w:w="442" w:type="pct"/>
            <w:vAlign w:val="center"/>
          </w:tcPr>
          <w:p w14:paraId="6DE37D15">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贮存方式</w:t>
            </w:r>
          </w:p>
        </w:tc>
        <w:tc>
          <w:tcPr>
            <w:tcW w:w="543" w:type="pct"/>
            <w:vAlign w:val="center"/>
          </w:tcPr>
          <w:p w14:paraId="7FA32C43">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利用处置方式</w:t>
            </w:r>
          </w:p>
        </w:tc>
        <w:tc>
          <w:tcPr>
            <w:tcW w:w="405" w:type="pct"/>
            <w:vAlign w:val="center"/>
          </w:tcPr>
          <w:p w14:paraId="5EED9305">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利用量t/a</w:t>
            </w:r>
          </w:p>
        </w:tc>
        <w:tc>
          <w:tcPr>
            <w:tcW w:w="491" w:type="pct"/>
            <w:vAlign w:val="center"/>
          </w:tcPr>
          <w:p w14:paraId="5D7C8293">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处置量t/a</w:t>
            </w:r>
          </w:p>
        </w:tc>
        <w:tc>
          <w:tcPr>
            <w:tcW w:w="542" w:type="pct"/>
            <w:vAlign w:val="center"/>
          </w:tcPr>
          <w:p w14:paraId="41047AA6">
            <w:pPr>
              <w:pStyle w:val="110"/>
              <w:keepNext w:val="0"/>
              <w:keepLines w:val="0"/>
              <w:suppressLineNumbers w:val="0"/>
              <w:spacing w:before="0" w:beforeAutospacing="0" w:after="0" w:afterAutospacing="0"/>
              <w:ind w:left="0" w:right="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环境管理要求</w:t>
            </w:r>
          </w:p>
        </w:tc>
      </w:tr>
      <w:tr w14:paraId="32A7E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421" w:type="pct"/>
            <w:vAlign w:val="center"/>
          </w:tcPr>
          <w:p w14:paraId="7179D53B">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员工办公生活</w:t>
            </w:r>
          </w:p>
        </w:tc>
        <w:tc>
          <w:tcPr>
            <w:tcW w:w="762" w:type="pct"/>
            <w:vAlign w:val="center"/>
          </w:tcPr>
          <w:p w14:paraId="054ED0E3">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生活垃圾</w:t>
            </w:r>
          </w:p>
        </w:tc>
        <w:tc>
          <w:tcPr>
            <w:tcW w:w="424" w:type="pct"/>
            <w:vAlign w:val="center"/>
          </w:tcPr>
          <w:p w14:paraId="46EEC7B6">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生活垃圾</w:t>
            </w:r>
          </w:p>
        </w:tc>
        <w:tc>
          <w:tcPr>
            <w:tcW w:w="398" w:type="pct"/>
            <w:vAlign w:val="center"/>
          </w:tcPr>
          <w:p w14:paraId="64B5A965">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固态</w:t>
            </w:r>
          </w:p>
        </w:tc>
        <w:tc>
          <w:tcPr>
            <w:tcW w:w="573" w:type="pct"/>
            <w:vAlign w:val="center"/>
          </w:tcPr>
          <w:p w14:paraId="68C78C83">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1.65</w:t>
            </w:r>
          </w:p>
        </w:tc>
        <w:tc>
          <w:tcPr>
            <w:tcW w:w="442" w:type="pct"/>
            <w:vAlign w:val="center"/>
          </w:tcPr>
          <w:p w14:paraId="307FE23E">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垃圾桶</w:t>
            </w:r>
          </w:p>
        </w:tc>
        <w:tc>
          <w:tcPr>
            <w:tcW w:w="543" w:type="pct"/>
            <w:vAlign w:val="center"/>
          </w:tcPr>
          <w:p w14:paraId="6492C893">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环卫部门清运</w:t>
            </w:r>
          </w:p>
        </w:tc>
        <w:tc>
          <w:tcPr>
            <w:tcW w:w="405" w:type="pct"/>
            <w:vAlign w:val="center"/>
          </w:tcPr>
          <w:p w14:paraId="727525A0">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w:t>
            </w:r>
          </w:p>
        </w:tc>
        <w:tc>
          <w:tcPr>
            <w:tcW w:w="491" w:type="pct"/>
            <w:vAlign w:val="center"/>
          </w:tcPr>
          <w:p w14:paraId="4AB1BF7F">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1.65</w:t>
            </w:r>
          </w:p>
        </w:tc>
        <w:tc>
          <w:tcPr>
            <w:tcW w:w="542" w:type="pct"/>
            <w:vMerge w:val="restart"/>
            <w:vAlign w:val="center"/>
          </w:tcPr>
          <w:p w14:paraId="22E75A6E">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建立危险废物台账管理制度，危险废物交由相应危废资质单位处置</w:t>
            </w:r>
          </w:p>
        </w:tc>
      </w:tr>
      <w:tr w14:paraId="271A31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1" w:type="pct"/>
            <w:vMerge w:val="restart"/>
            <w:vAlign w:val="center"/>
          </w:tcPr>
          <w:p w14:paraId="61340C63">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危险废物收集贮存</w:t>
            </w:r>
          </w:p>
        </w:tc>
        <w:tc>
          <w:tcPr>
            <w:tcW w:w="762" w:type="pct"/>
            <w:vAlign w:val="center"/>
          </w:tcPr>
          <w:p w14:paraId="36959E04">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废含危险废物抹布</w:t>
            </w:r>
          </w:p>
        </w:tc>
        <w:tc>
          <w:tcPr>
            <w:tcW w:w="424" w:type="pct"/>
            <w:vMerge w:val="restart"/>
            <w:vAlign w:val="center"/>
          </w:tcPr>
          <w:p w14:paraId="2016B7B9">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危险废物</w:t>
            </w:r>
          </w:p>
        </w:tc>
        <w:tc>
          <w:tcPr>
            <w:tcW w:w="398" w:type="pct"/>
            <w:vAlign w:val="center"/>
          </w:tcPr>
          <w:p w14:paraId="614CED12">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固态</w:t>
            </w:r>
          </w:p>
        </w:tc>
        <w:tc>
          <w:tcPr>
            <w:tcW w:w="573" w:type="pct"/>
            <w:vAlign w:val="center"/>
          </w:tcPr>
          <w:p w14:paraId="028E12D4">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0.1</w:t>
            </w:r>
          </w:p>
        </w:tc>
        <w:tc>
          <w:tcPr>
            <w:tcW w:w="442" w:type="pct"/>
            <w:vMerge w:val="restart"/>
            <w:vAlign w:val="center"/>
          </w:tcPr>
          <w:p w14:paraId="77A39F5A">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废矿物油、其它危险废物贮存区</w:t>
            </w:r>
          </w:p>
        </w:tc>
        <w:tc>
          <w:tcPr>
            <w:tcW w:w="543" w:type="pct"/>
            <w:vMerge w:val="restart"/>
            <w:vAlign w:val="center"/>
          </w:tcPr>
          <w:p w14:paraId="1B77EE82">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委托具有相应危废资质单位处置</w:t>
            </w:r>
          </w:p>
        </w:tc>
        <w:tc>
          <w:tcPr>
            <w:tcW w:w="405" w:type="pct"/>
            <w:vAlign w:val="center"/>
          </w:tcPr>
          <w:p w14:paraId="47798077">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w:t>
            </w:r>
          </w:p>
        </w:tc>
        <w:tc>
          <w:tcPr>
            <w:tcW w:w="491" w:type="pct"/>
            <w:vAlign w:val="center"/>
          </w:tcPr>
          <w:p w14:paraId="4A3ACF3A">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0.1</w:t>
            </w:r>
          </w:p>
        </w:tc>
        <w:tc>
          <w:tcPr>
            <w:tcW w:w="542" w:type="pct"/>
            <w:vMerge w:val="continue"/>
            <w:vAlign w:val="center"/>
          </w:tcPr>
          <w:p w14:paraId="217454FD">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p>
        </w:tc>
      </w:tr>
      <w:tr w14:paraId="0BCF92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1" w:type="pct"/>
            <w:vMerge w:val="continue"/>
            <w:vAlign w:val="center"/>
          </w:tcPr>
          <w:p w14:paraId="25DF85F1">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762" w:type="pct"/>
            <w:vAlign w:val="center"/>
          </w:tcPr>
          <w:p w14:paraId="3E398918">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废含危险废物劳保用品</w:t>
            </w:r>
          </w:p>
        </w:tc>
        <w:tc>
          <w:tcPr>
            <w:tcW w:w="424" w:type="pct"/>
            <w:vMerge w:val="continue"/>
            <w:vAlign w:val="center"/>
          </w:tcPr>
          <w:p w14:paraId="37AC6549">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398" w:type="pct"/>
            <w:vAlign w:val="center"/>
          </w:tcPr>
          <w:p w14:paraId="0EBC6A9A">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固态</w:t>
            </w:r>
          </w:p>
        </w:tc>
        <w:tc>
          <w:tcPr>
            <w:tcW w:w="573" w:type="pct"/>
            <w:vAlign w:val="center"/>
          </w:tcPr>
          <w:p w14:paraId="616C52C2">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0.1</w:t>
            </w:r>
          </w:p>
        </w:tc>
        <w:tc>
          <w:tcPr>
            <w:tcW w:w="442" w:type="pct"/>
            <w:vMerge w:val="continue"/>
            <w:vAlign w:val="center"/>
          </w:tcPr>
          <w:p w14:paraId="651DDDA4">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543" w:type="pct"/>
            <w:vMerge w:val="continue"/>
            <w:vAlign w:val="center"/>
          </w:tcPr>
          <w:p w14:paraId="1A903347">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405" w:type="pct"/>
            <w:vAlign w:val="center"/>
          </w:tcPr>
          <w:p w14:paraId="4D467453">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w:t>
            </w:r>
          </w:p>
        </w:tc>
        <w:tc>
          <w:tcPr>
            <w:tcW w:w="491" w:type="pct"/>
            <w:vAlign w:val="center"/>
          </w:tcPr>
          <w:p w14:paraId="5A654CBA">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0.1</w:t>
            </w:r>
          </w:p>
        </w:tc>
        <w:tc>
          <w:tcPr>
            <w:tcW w:w="542" w:type="pct"/>
            <w:vMerge w:val="continue"/>
            <w:vAlign w:val="center"/>
          </w:tcPr>
          <w:p w14:paraId="4165E1CB">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r>
      <w:tr w14:paraId="70D3AF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1" w:type="pct"/>
            <w:vMerge w:val="continue"/>
            <w:vAlign w:val="center"/>
          </w:tcPr>
          <w:p w14:paraId="242C28AD">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762" w:type="pct"/>
            <w:vAlign w:val="center"/>
          </w:tcPr>
          <w:p w14:paraId="754952C6">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废弃包装物</w:t>
            </w:r>
          </w:p>
        </w:tc>
        <w:tc>
          <w:tcPr>
            <w:tcW w:w="424" w:type="pct"/>
            <w:vMerge w:val="continue"/>
            <w:vAlign w:val="center"/>
          </w:tcPr>
          <w:p w14:paraId="6CC4004A">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398" w:type="pct"/>
            <w:vAlign w:val="center"/>
          </w:tcPr>
          <w:p w14:paraId="1BE4A6EE">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固态</w:t>
            </w:r>
          </w:p>
        </w:tc>
        <w:tc>
          <w:tcPr>
            <w:tcW w:w="573" w:type="pct"/>
            <w:vAlign w:val="center"/>
          </w:tcPr>
          <w:p w14:paraId="7C2532D5">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1.5</w:t>
            </w:r>
          </w:p>
        </w:tc>
        <w:tc>
          <w:tcPr>
            <w:tcW w:w="442" w:type="pct"/>
            <w:vMerge w:val="continue"/>
            <w:vAlign w:val="center"/>
          </w:tcPr>
          <w:p w14:paraId="4154C4F7">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543" w:type="pct"/>
            <w:vMerge w:val="continue"/>
            <w:vAlign w:val="center"/>
          </w:tcPr>
          <w:p w14:paraId="3ED98E0B">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405" w:type="pct"/>
            <w:vAlign w:val="center"/>
          </w:tcPr>
          <w:p w14:paraId="3575AAD0">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w:t>
            </w:r>
          </w:p>
        </w:tc>
        <w:tc>
          <w:tcPr>
            <w:tcW w:w="491" w:type="pct"/>
            <w:vAlign w:val="center"/>
          </w:tcPr>
          <w:p w14:paraId="4D09E123">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1.5</w:t>
            </w:r>
          </w:p>
        </w:tc>
        <w:tc>
          <w:tcPr>
            <w:tcW w:w="542" w:type="pct"/>
            <w:vMerge w:val="continue"/>
            <w:vAlign w:val="center"/>
          </w:tcPr>
          <w:p w14:paraId="07868521">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r>
      <w:tr w14:paraId="1664FD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421" w:type="pct"/>
            <w:vMerge w:val="continue"/>
            <w:vAlign w:val="center"/>
          </w:tcPr>
          <w:p w14:paraId="7BB7FA09">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762" w:type="pct"/>
            <w:vAlign w:val="center"/>
          </w:tcPr>
          <w:p w14:paraId="73DD2087">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废活性炭</w:t>
            </w:r>
          </w:p>
        </w:tc>
        <w:tc>
          <w:tcPr>
            <w:tcW w:w="424" w:type="pct"/>
            <w:vMerge w:val="continue"/>
            <w:vAlign w:val="center"/>
          </w:tcPr>
          <w:p w14:paraId="613C540E">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398" w:type="pct"/>
            <w:vAlign w:val="center"/>
          </w:tcPr>
          <w:p w14:paraId="54863C26">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固态</w:t>
            </w:r>
          </w:p>
        </w:tc>
        <w:tc>
          <w:tcPr>
            <w:tcW w:w="573" w:type="pct"/>
            <w:vAlign w:val="center"/>
          </w:tcPr>
          <w:p w14:paraId="407F4DA6">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2.104</w:t>
            </w:r>
          </w:p>
        </w:tc>
        <w:tc>
          <w:tcPr>
            <w:tcW w:w="442" w:type="pct"/>
            <w:vMerge w:val="continue"/>
            <w:vAlign w:val="center"/>
          </w:tcPr>
          <w:p w14:paraId="472429AB">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543" w:type="pct"/>
            <w:vMerge w:val="continue"/>
            <w:vAlign w:val="center"/>
          </w:tcPr>
          <w:p w14:paraId="3CDBA4E3">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405" w:type="pct"/>
            <w:vAlign w:val="center"/>
          </w:tcPr>
          <w:p w14:paraId="66EE4CF0">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w:t>
            </w:r>
          </w:p>
        </w:tc>
        <w:tc>
          <w:tcPr>
            <w:tcW w:w="491" w:type="pct"/>
            <w:vAlign w:val="center"/>
          </w:tcPr>
          <w:p w14:paraId="09699213">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2.104</w:t>
            </w:r>
          </w:p>
        </w:tc>
        <w:tc>
          <w:tcPr>
            <w:tcW w:w="542" w:type="pct"/>
            <w:vMerge w:val="continue"/>
            <w:vAlign w:val="center"/>
          </w:tcPr>
          <w:p w14:paraId="4916085F">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r>
      <w:tr w14:paraId="124FBD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0" w:hRule="atLeast"/>
          <w:jc w:val="center"/>
        </w:trPr>
        <w:tc>
          <w:tcPr>
            <w:tcW w:w="421" w:type="pct"/>
            <w:vMerge w:val="continue"/>
            <w:vAlign w:val="center"/>
          </w:tcPr>
          <w:p w14:paraId="0C5817AC">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762" w:type="pct"/>
            <w:vAlign w:val="center"/>
          </w:tcPr>
          <w:p w14:paraId="645549E2">
            <w:pPr>
              <w:pStyle w:val="127"/>
              <w:keepNext w:val="0"/>
              <w:keepLines w:val="0"/>
              <w:widowControl w:val="0"/>
              <w:suppressLineNumbers w:val="0"/>
              <w:adjustRightInd w:val="0"/>
              <w:snapToGrid w:val="0"/>
              <w:spacing w:before="0" w:beforeAutospacing="0" w:after="0" w:afterAutospacing="0" w:line="240" w:lineRule="auto"/>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rPr>
              <w:t>废油桶</w:t>
            </w:r>
          </w:p>
        </w:tc>
        <w:tc>
          <w:tcPr>
            <w:tcW w:w="424" w:type="pct"/>
            <w:vMerge w:val="continue"/>
            <w:vAlign w:val="center"/>
          </w:tcPr>
          <w:p w14:paraId="3209CA84">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398" w:type="pct"/>
            <w:vAlign w:val="center"/>
          </w:tcPr>
          <w:p w14:paraId="26EAF237">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固态</w:t>
            </w:r>
          </w:p>
        </w:tc>
        <w:tc>
          <w:tcPr>
            <w:tcW w:w="573" w:type="pct"/>
            <w:vAlign w:val="center"/>
          </w:tcPr>
          <w:p w14:paraId="5FB6C10B">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0.2</w:t>
            </w:r>
          </w:p>
        </w:tc>
        <w:tc>
          <w:tcPr>
            <w:tcW w:w="442" w:type="pct"/>
            <w:vMerge w:val="continue"/>
            <w:vAlign w:val="center"/>
          </w:tcPr>
          <w:p w14:paraId="1624677D">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543" w:type="pct"/>
            <w:vMerge w:val="continue"/>
            <w:vAlign w:val="center"/>
          </w:tcPr>
          <w:p w14:paraId="1373ED91">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c>
          <w:tcPr>
            <w:tcW w:w="405" w:type="pct"/>
            <w:vAlign w:val="center"/>
          </w:tcPr>
          <w:p w14:paraId="4DDB7007">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w:t>
            </w:r>
          </w:p>
        </w:tc>
        <w:tc>
          <w:tcPr>
            <w:tcW w:w="491" w:type="pct"/>
            <w:vAlign w:val="center"/>
          </w:tcPr>
          <w:p w14:paraId="66E85CC5">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r>
              <w:rPr>
                <w:rFonts w:hint="default" w:ascii="Times New Roman" w:hAnsi="Times New Roman" w:eastAsia="宋体" w:cs="Times New Roman"/>
                <w:color w:val="000000"/>
                <w:szCs w:val="21"/>
              </w:rPr>
              <w:t>0.2</w:t>
            </w:r>
          </w:p>
        </w:tc>
        <w:tc>
          <w:tcPr>
            <w:tcW w:w="542" w:type="pct"/>
            <w:vMerge w:val="continue"/>
            <w:vAlign w:val="center"/>
          </w:tcPr>
          <w:p w14:paraId="09C04EEE">
            <w:pPr>
              <w:pStyle w:val="110"/>
              <w:keepNext w:val="0"/>
              <w:keepLines w:val="0"/>
              <w:suppressLineNumbers w:val="0"/>
              <w:spacing w:before="0" w:beforeAutospacing="0" w:after="0" w:afterAutospacing="0"/>
              <w:ind w:left="0" w:right="0"/>
              <w:rPr>
                <w:rFonts w:hint="default" w:ascii="Times New Roman" w:hAnsi="Times New Roman" w:eastAsia="宋体" w:cs="Times New Roman"/>
                <w:color w:val="000000"/>
                <w:szCs w:val="21"/>
              </w:rPr>
            </w:pPr>
          </w:p>
        </w:tc>
      </w:tr>
    </w:tbl>
    <w:p w14:paraId="241EDE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lang w:val="en-US" w:eastAsia="zh-CN"/>
        </w:rPr>
      </w:pPr>
      <w:bookmarkStart w:id="235" w:name="_Toc106961877"/>
      <w:bookmarkStart w:id="236" w:name="_Toc123733081"/>
      <w:r>
        <w:rPr>
          <w:rFonts w:hint="default" w:ascii="Times New Roman" w:hAnsi="Times New Roman" w:eastAsia="宋体" w:cs="Times New Roman"/>
          <w:sz w:val="24"/>
          <w:szCs w:val="28"/>
          <w:lang w:eastAsia="zh-CN"/>
        </w:rPr>
        <w:t>（</w:t>
      </w:r>
      <w:r>
        <w:rPr>
          <w:rFonts w:hint="default" w:ascii="Times New Roman" w:hAnsi="Times New Roman" w:eastAsia="宋体" w:cs="Times New Roman"/>
          <w:sz w:val="24"/>
          <w:szCs w:val="28"/>
          <w:lang w:val="en-US" w:eastAsia="zh-CN"/>
        </w:rPr>
        <w:t>2</w:t>
      </w:r>
      <w:r>
        <w:rPr>
          <w:rFonts w:hint="default" w:ascii="Times New Roman" w:hAnsi="Times New Roman" w:eastAsia="宋体" w:cs="Times New Roman"/>
          <w:sz w:val="24"/>
          <w:szCs w:val="28"/>
          <w:lang w:eastAsia="zh-CN"/>
        </w:rPr>
        <w:t>）</w:t>
      </w:r>
      <w:r>
        <w:rPr>
          <w:rFonts w:hint="default" w:ascii="Times New Roman" w:hAnsi="Times New Roman" w:eastAsia="宋体" w:cs="Times New Roman"/>
          <w:sz w:val="24"/>
          <w:szCs w:val="28"/>
          <w:lang w:val="en-US" w:eastAsia="zh-CN"/>
        </w:rPr>
        <w:t>收集贮存危废</w:t>
      </w:r>
    </w:p>
    <w:p w14:paraId="3BDB70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bCs/>
          <w:color w:val="000000"/>
          <w:szCs w:val="24"/>
          <w:lang w:val="en-US"/>
        </w:rPr>
      </w:pPr>
      <w:r>
        <w:rPr>
          <w:rFonts w:hint="default" w:ascii="Times New Roman" w:hAnsi="Times New Roman" w:eastAsia="宋体" w:cs="Times New Roman"/>
          <w:bCs/>
          <w:color w:val="000000"/>
          <w:kern w:val="2"/>
          <w:sz w:val="24"/>
          <w:szCs w:val="24"/>
          <w:lang w:val="en-US" w:eastAsia="zh-CN" w:bidi="ar"/>
        </w:rPr>
        <w:t>本次调查期间，现有项目各类危废收集、贮存及处置去向情况见下表。</w:t>
      </w:r>
    </w:p>
    <w:p w14:paraId="0A5AF4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b/>
          <w:bCs/>
          <w:sz w:val="20"/>
          <w:szCs w:val="21"/>
          <w:lang w:val="en-US"/>
        </w:rPr>
      </w:pPr>
      <w:r>
        <w:rPr>
          <w:rFonts w:hint="default" w:ascii="Times New Roman" w:hAnsi="Times New Roman" w:eastAsia="宋体" w:cs="Times New Roman"/>
          <w:b/>
          <w:bCs/>
          <w:kern w:val="2"/>
          <w:sz w:val="22"/>
          <w:szCs w:val="18"/>
          <w:lang w:val="en-US" w:eastAsia="zh-CN" w:bidi="ar"/>
        </w:rPr>
        <w:t>表3.4-2  现有项目危废收集、贮存情况一览表</w:t>
      </w:r>
    </w:p>
    <w:tbl>
      <w:tblPr>
        <w:tblStyle w:val="32"/>
        <w:tblW w:w="49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62"/>
        <w:gridCol w:w="1449"/>
        <w:gridCol w:w="1243"/>
        <w:gridCol w:w="1053"/>
        <w:gridCol w:w="1306"/>
        <w:gridCol w:w="2923"/>
      </w:tblGrid>
      <w:tr w14:paraId="4FC342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 w:type="pct"/>
            <w:tcBorders>
              <w:tl2br w:val="nil"/>
              <w:tr2bl w:val="nil"/>
            </w:tcBorders>
            <w:shd w:val="clear" w:color="auto" w:fill="auto"/>
            <w:vAlign w:val="center"/>
          </w:tcPr>
          <w:p w14:paraId="39EB968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序号</w:t>
            </w:r>
          </w:p>
        </w:tc>
        <w:tc>
          <w:tcPr>
            <w:tcW w:w="1596" w:type="pct"/>
            <w:gridSpan w:val="2"/>
            <w:tcBorders>
              <w:tl2br w:val="nil"/>
              <w:tr2bl w:val="nil"/>
            </w:tcBorders>
            <w:shd w:val="clear" w:color="auto" w:fill="auto"/>
            <w:vAlign w:val="center"/>
          </w:tcPr>
          <w:p w14:paraId="5347E70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废物代码</w:t>
            </w:r>
          </w:p>
        </w:tc>
        <w:tc>
          <w:tcPr>
            <w:tcW w:w="624" w:type="pct"/>
            <w:tcBorders>
              <w:tl2br w:val="nil"/>
              <w:tr2bl w:val="nil"/>
            </w:tcBorders>
            <w:shd w:val="clear" w:color="auto" w:fill="auto"/>
            <w:vAlign w:val="center"/>
          </w:tcPr>
          <w:p w14:paraId="130453B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贮存仓库</w:t>
            </w:r>
          </w:p>
        </w:tc>
        <w:tc>
          <w:tcPr>
            <w:tcW w:w="774" w:type="pct"/>
            <w:tcBorders>
              <w:tl2br w:val="nil"/>
              <w:tr2bl w:val="nil"/>
            </w:tcBorders>
            <w:shd w:val="clear" w:color="auto" w:fill="auto"/>
            <w:vAlign w:val="center"/>
          </w:tcPr>
          <w:p w14:paraId="002F694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验收期间贮存量</w:t>
            </w:r>
          </w:p>
        </w:tc>
        <w:tc>
          <w:tcPr>
            <w:tcW w:w="1730" w:type="pct"/>
            <w:tcBorders>
              <w:tl2br w:val="nil"/>
              <w:tr2bl w:val="nil"/>
            </w:tcBorders>
            <w:shd w:val="clear" w:color="auto" w:fill="auto"/>
            <w:vAlign w:val="center"/>
          </w:tcPr>
          <w:p w14:paraId="0D37A31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委托处置单位</w:t>
            </w:r>
          </w:p>
        </w:tc>
      </w:tr>
      <w:tr w14:paraId="6E62F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tcBorders>
              <w:tl2br w:val="nil"/>
              <w:tr2bl w:val="nil"/>
            </w:tcBorders>
            <w:shd w:val="clear" w:color="auto" w:fill="auto"/>
            <w:vAlign w:val="center"/>
          </w:tcPr>
          <w:p w14:paraId="2F8C7DB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w:t>
            </w:r>
          </w:p>
        </w:tc>
        <w:tc>
          <w:tcPr>
            <w:tcW w:w="859" w:type="pct"/>
            <w:tcBorders>
              <w:tl2br w:val="nil"/>
              <w:tr2bl w:val="nil"/>
            </w:tcBorders>
            <w:shd w:val="clear" w:color="auto" w:fill="auto"/>
            <w:vAlign w:val="center"/>
          </w:tcPr>
          <w:p w14:paraId="30EAE2D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HW03废药物、药品</w:t>
            </w:r>
          </w:p>
        </w:tc>
        <w:tc>
          <w:tcPr>
            <w:tcW w:w="737" w:type="pct"/>
            <w:tcBorders>
              <w:tl2br w:val="nil"/>
              <w:tr2bl w:val="nil"/>
            </w:tcBorders>
            <w:shd w:val="clear" w:color="auto" w:fill="auto"/>
            <w:vAlign w:val="center"/>
          </w:tcPr>
          <w:p w14:paraId="1F2695F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900-002-03</w:t>
            </w:r>
          </w:p>
        </w:tc>
        <w:tc>
          <w:tcPr>
            <w:tcW w:w="624" w:type="pct"/>
            <w:tcBorders>
              <w:tl2br w:val="nil"/>
              <w:tr2bl w:val="nil"/>
            </w:tcBorders>
            <w:shd w:val="clear" w:color="auto" w:fill="auto"/>
            <w:vAlign w:val="center"/>
          </w:tcPr>
          <w:p w14:paraId="4C66B96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6#</w:t>
            </w:r>
          </w:p>
        </w:tc>
        <w:tc>
          <w:tcPr>
            <w:tcW w:w="774" w:type="pct"/>
            <w:tcBorders>
              <w:tl2br w:val="nil"/>
              <w:tr2bl w:val="nil"/>
            </w:tcBorders>
            <w:shd w:val="clear" w:color="auto" w:fill="auto"/>
            <w:vAlign w:val="center"/>
          </w:tcPr>
          <w:p w14:paraId="7C6950D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693ED2B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湖南瀚洋环保科技有限公司</w:t>
            </w:r>
          </w:p>
        </w:tc>
      </w:tr>
      <w:tr w14:paraId="0451E8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tcBorders>
              <w:tl2br w:val="nil"/>
              <w:tr2bl w:val="nil"/>
            </w:tcBorders>
            <w:shd w:val="clear" w:color="auto" w:fill="auto"/>
            <w:vAlign w:val="center"/>
          </w:tcPr>
          <w:p w14:paraId="3B6C63F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2</w:t>
            </w:r>
          </w:p>
        </w:tc>
        <w:tc>
          <w:tcPr>
            <w:tcW w:w="859" w:type="pct"/>
            <w:tcBorders>
              <w:tl2br w:val="nil"/>
              <w:tr2bl w:val="nil"/>
            </w:tcBorders>
            <w:shd w:val="clear" w:color="auto" w:fill="auto"/>
            <w:vAlign w:val="center"/>
          </w:tcPr>
          <w:p w14:paraId="3D5C49F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HW06废有机溶剂与含有机溶剂废物</w:t>
            </w:r>
          </w:p>
        </w:tc>
        <w:tc>
          <w:tcPr>
            <w:tcW w:w="737" w:type="pct"/>
            <w:tcBorders>
              <w:tl2br w:val="nil"/>
              <w:tr2bl w:val="nil"/>
            </w:tcBorders>
            <w:shd w:val="clear" w:color="auto" w:fill="auto"/>
            <w:vAlign w:val="center"/>
          </w:tcPr>
          <w:p w14:paraId="27ECCD1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900-402-06</w:t>
            </w:r>
          </w:p>
        </w:tc>
        <w:tc>
          <w:tcPr>
            <w:tcW w:w="624" w:type="pct"/>
            <w:tcBorders>
              <w:tl2br w:val="nil"/>
              <w:tr2bl w:val="nil"/>
            </w:tcBorders>
            <w:shd w:val="clear" w:color="auto" w:fill="auto"/>
            <w:vAlign w:val="center"/>
          </w:tcPr>
          <w:p w14:paraId="5273CEE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16#</w:t>
            </w:r>
          </w:p>
        </w:tc>
        <w:tc>
          <w:tcPr>
            <w:tcW w:w="774" w:type="pct"/>
            <w:tcBorders>
              <w:tl2br w:val="nil"/>
              <w:tr2bl w:val="nil"/>
            </w:tcBorders>
            <w:shd w:val="clear" w:color="auto" w:fill="auto"/>
            <w:vAlign w:val="center"/>
          </w:tcPr>
          <w:p w14:paraId="7F43148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052240E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湖南邦德博鑫环保科技有限公司</w:t>
            </w:r>
          </w:p>
        </w:tc>
      </w:tr>
      <w:tr w14:paraId="1E96E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restart"/>
            <w:tcBorders>
              <w:tl2br w:val="nil"/>
              <w:tr2bl w:val="nil"/>
            </w:tcBorders>
            <w:shd w:val="clear" w:color="auto" w:fill="auto"/>
            <w:vAlign w:val="center"/>
          </w:tcPr>
          <w:p w14:paraId="09790B8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3</w:t>
            </w:r>
          </w:p>
        </w:tc>
        <w:tc>
          <w:tcPr>
            <w:tcW w:w="859" w:type="pct"/>
            <w:vMerge w:val="restart"/>
            <w:tcBorders>
              <w:tl2br w:val="nil"/>
              <w:tr2bl w:val="nil"/>
            </w:tcBorders>
            <w:shd w:val="clear" w:color="auto" w:fill="auto"/>
            <w:vAlign w:val="center"/>
          </w:tcPr>
          <w:p w14:paraId="4306106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HW09油/水、烃/水混合物或乳化液</w:t>
            </w:r>
          </w:p>
        </w:tc>
        <w:tc>
          <w:tcPr>
            <w:tcW w:w="737" w:type="pct"/>
            <w:tcBorders>
              <w:tl2br w:val="nil"/>
              <w:tr2bl w:val="nil"/>
            </w:tcBorders>
            <w:shd w:val="clear" w:color="auto" w:fill="auto"/>
            <w:vAlign w:val="center"/>
          </w:tcPr>
          <w:p w14:paraId="18172BE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900-005-09</w:t>
            </w:r>
          </w:p>
        </w:tc>
        <w:tc>
          <w:tcPr>
            <w:tcW w:w="624" w:type="pct"/>
            <w:vMerge w:val="restart"/>
            <w:tcBorders>
              <w:tl2br w:val="nil"/>
              <w:tr2bl w:val="nil"/>
            </w:tcBorders>
            <w:shd w:val="clear" w:color="auto" w:fill="auto"/>
            <w:vAlign w:val="center"/>
          </w:tcPr>
          <w:p w14:paraId="63803B5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24#</w:t>
            </w:r>
          </w:p>
          <w:p w14:paraId="47BE05C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（内部分区暂存）</w:t>
            </w:r>
          </w:p>
        </w:tc>
        <w:tc>
          <w:tcPr>
            <w:tcW w:w="774" w:type="pct"/>
            <w:vMerge w:val="restart"/>
            <w:tcBorders>
              <w:tl2br w:val="nil"/>
              <w:tr2bl w:val="nil"/>
            </w:tcBorders>
            <w:shd w:val="clear" w:color="auto" w:fill="auto"/>
            <w:vAlign w:val="center"/>
          </w:tcPr>
          <w:p w14:paraId="63A033C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vMerge w:val="restart"/>
            <w:tcBorders>
              <w:tl2br w:val="nil"/>
              <w:tr2bl w:val="nil"/>
            </w:tcBorders>
            <w:shd w:val="clear" w:color="auto" w:fill="auto"/>
            <w:vAlign w:val="center"/>
          </w:tcPr>
          <w:p w14:paraId="06FF7C1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远大（湖南）再生燃油股份有限公司</w:t>
            </w:r>
          </w:p>
        </w:tc>
      </w:tr>
      <w:tr w14:paraId="14521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05FB43F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78A1BB9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37" w:type="pct"/>
            <w:tcBorders>
              <w:tl2br w:val="nil"/>
              <w:tr2bl w:val="nil"/>
            </w:tcBorders>
            <w:shd w:val="clear" w:color="auto" w:fill="auto"/>
            <w:vAlign w:val="center"/>
          </w:tcPr>
          <w:p w14:paraId="7EA68A2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900-006-09</w:t>
            </w:r>
          </w:p>
        </w:tc>
        <w:tc>
          <w:tcPr>
            <w:tcW w:w="624" w:type="pct"/>
            <w:vMerge w:val="continue"/>
            <w:tcBorders>
              <w:tl2br w:val="nil"/>
              <w:tr2bl w:val="nil"/>
            </w:tcBorders>
            <w:shd w:val="clear" w:color="auto" w:fill="auto"/>
            <w:vAlign w:val="center"/>
          </w:tcPr>
          <w:p w14:paraId="69A66B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74" w:type="pct"/>
            <w:vMerge w:val="continue"/>
            <w:tcBorders>
              <w:tl2br w:val="nil"/>
              <w:tr2bl w:val="nil"/>
            </w:tcBorders>
            <w:shd w:val="clear" w:color="auto" w:fill="auto"/>
            <w:vAlign w:val="center"/>
          </w:tcPr>
          <w:p w14:paraId="07F49E4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vMerge w:val="continue"/>
            <w:tcBorders>
              <w:tl2br w:val="nil"/>
              <w:tr2bl w:val="nil"/>
            </w:tcBorders>
            <w:shd w:val="clear" w:color="auto" w:fill="auto"/>
            <w:vAlign w:val="center"/>
          </w:tcPr>
          <w:p w14:paraId="31A44AA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r>
      <w:tr w14:paraId="2D0CD1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03FBB01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6FC4727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37" w:type="pct"/>
            <w:tcBorders>
              <w:tl2br w:val="nil"/>
              <w:tr2bl w:val="nil"/>
            </w:tcBorders>
            <w:shd w:val="clear" w:color="auto" w:fill="auto"/>
            <w:vAlign w:val="center"/>
          </w:tcPr>
          <w:p w14:paraId="1237F9C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900-007-09</w:t>
            </w:r>
          </w:p>
        </w:tc>
        <w:tc>
          <w:tcPr>
            <w:tcW w:w="624" w:type="pct"/>
            <w:vMerge w:val="continue"/>
            <w:tcBorders>
              <w:tl2br w:val="nil"/>
              <w:tr2bl w:val="nil"/>
            </w:tcBorders>
            <w:shd w:val="clear" w:color="auto" w:fill="auto"/>
            <w:vAlign w:val="center"/>
          </w:tcPr>
          <w:p w14:paraId="4A54217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74" w:type="pct"/>
            <w:vMerge w:val="continue"/>
            <w:tcBorders>
              <w:tl2br w:val="nil"/>
              <w:tr2bl w:val="nil"/>
            </w:tcBorders>
            <w:shd w:val="clear" w:color="auto" w:fill="auto"/>
            <w:vAlign w:val="center"/>
          </w:tcPr>
          <w:p w14:paraId="72FE9E9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vMerge w:val="continue"/>
            <w:tcBorders>
              <w:tl2br w:val="nil"/>
              <w:tr2bl w:val="nil"/>
            </w:tcBorders>
            <w:shd w:val="clear" w:color="auto" w:fill="auto"/>
            <w:vAlign w:val="center"/>
          </w:tcPr>
          <w:p w14:paraId="0A3E52B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r>
      <w:tr w14:paraId="475C4F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0" w:hRule="atLeast"/>
          <w:jc w:val="center"/>
        </w:trPr>
        <w:tc>
          <w:tcPr>
            <w:tcW w:w="274" w:type="pct"/>
            <w:tcBorders>
              <w:tl2br w:val="nil"/>
              <w:tr2bl w:val="nil"/>
            </w:tcBorders>
            <w:shd w:val="clear" w:color="auto" w:fill="auto"/>
            <w:vAlign w:val="center"/>
          </w:tcPr>
          <w:p w14:paraId="387F59E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4</w:t>
            </w:r>
          </w:p>
        </w:tc>
        <w:tc>
          <w:tcPr>
            <w:tcW w:w="859" w:type="pct"/>
            <w:tcBorders>
              <w:tl2br w:val="nil"/>
              <w:tr2bl w:val="nil"/>
            </w:tcBorders>
            <w:shd w:val="clear" w:color="auto" w:fill="auto"/>
            <w:vAlign w:val="center"/>
          </w:tcPr>
          <w:p w14:paraId="13214FA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HW10多氯（溴）联苯类废物</w:t>
            </w:r>
          </w:p>
        </w:tc>
        <w:tc>
          <w:tcPr>
            <w:tcW w:w="737" w:type="pct"/>
            <w:tcBorders>
              <w:tl2br w:val="nil"/>
              <w:tr2bl w:val="nil"/>
            </w:tcBorders>
            <w:shd w:val="clear" w:color="auto" w:fill="auto"/>
            <w:vAlign w:val="center"/>
          </w:tcPr>
          <w:p w14:paraId="43156CD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900-008-10</w:t>
            </w:r>
          </w:p>
        </w:tc>
        <w:tc>
          <w:tcPr>
            <w:tcW w:w="624" w:type="pct"/>
            <w:tcBorders>
              <w:tl2br w:val="nil"/>
              <w:tr2bl w:val="nil"/>
            </w:tcBorders>
            <w:shd w:val="clear" w:color="auto" w:fill="auto"/>
            <w:vAlign w:val="center"/>
          </w:tcPr>
          <w:p w14:paraId="398006F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14#</w:t>
            </w:r>
          </w:p>
        </w:tc>
        <w:tc>
          <w:tcPr>
            <w:tcW w:w="774" w:type="pct"/>
            <w:tcBorders>
              <w:tl2br w:val="nil"/>
              <w:tr2bl w:val="nil"/>
            </w:tcBorders>
            <w:shd w:val="clear" w:color="auto" w:fill="auto"/>
            <w:vAlign w:val="center"/>
          </w:tcPr>
          <w:p w14:paraId="54DA96B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6E77A09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贵州中佳环保有限公司</w:t>
            </w:r>
          </w:p>
        </w:tc>
      </w:tr>
      <w:tr w14:paraId="47D6AE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tcBorders>
              <w:tl2br w:val="nil"/>
              <w:tr2bl w:val="nil"/>
            </w:tcBorders>
            <w:shd w:val="clear" w:color="auto" w:fill="auto"/>
            <w:vAlign w:val="center"/>
          </w:tcPr>
          <w:p w14:paraId="781E02D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5</w:t>
            </w:r>
          </w:p>
        </w:tc>
        <w:tc>
          <w:tcPr>
            <w:tcW w:w="859" w:type="pct"/>
            <w:tcBorders>
              <w:tl2br w:val="nil"/>
              <w:tr2bl w:val="nil"/>
            </w:tcBorders>
            <w:shd w:val="clear" w:color="auto" w:fill="auto"/>
            <w:vAlign w:val="center"/>
          </w:tcPr>
          <w:p w14:paraId="3439138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HW29含汞废物</w:t>
            </w:r>
          </w:p>
        </w:tc>
        <w:tc>
          <w:tcPr>
            <w:tcW w:w="737" w:type="pct"/>
            <w:tcBorders>
              <w:tl2br w:val="nil"/>
              <w:tr2bl w:val="nil"/>
            </w:tcBorders>
            <w:shd w:val="clear" w:color="auto" w:fill="auto"/>
            <w:vAlign w:val="center"/>
          </w:tcPr>
          <w:p w14:paraId="14FD8AC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900-023-29</w:t>
            </w:r>
          </w:p>
        </w:tc>
        <w:tc>
          <w:tcPr>
            <w:tcW w:w="624" w:type="pct"/>
            <w:tcBorders>
              <w:tl2br w:val="nil"/>
              <w:tr2bl w:val="nil"/>
            </w:tcBorders>
            <w:shd w:val="clear" w:color="auto" w:fill="auto"/>
            <w:vAlign w:val="center"/>
          </w:tcPr>
          <w:p w14:paraId="59F4345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7#</w:t>
            </w:r>
          </w:p>
        </w:tc>
        <w:tc>
          <w:tcPr>
            <w:tcW w:w="774" w:type="pct"/>
            <w:tcBorders>
              <w:tl2br w:val="nil"/>
              <w:tr2bl w:val="nil"/>
            </w:tcBorders>
            <w:shd w:val="clear" w:color="auto" w:fill="auto"/>
            <w:vAlign w:val="center"/>
          </w:tcPr>
          <w:p w14:paraId="2923BD5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2168B3A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贵州中佳环保有限公司</w:t>
            </w:r>
          </w:p>
        </w:tc>
      </w:tr>
      <w:tr w14:paraId="1992D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90" w:hRule="atLeast"/>
          <w:jc w:val="center"/>
        </w:trPr>
        <w:tc>
          <w:tcPr>
            <w:tcW w:w="274" w:type="pct"/>
            <w:tcBorders>
              <w:tl2br w:val="nil"/>
              <w:tr2bl w:val="nil"/>
            </w:tcBorders>
            <w:shd w:val="clear" w:color="auto" w:fill="auto"/>
            <w:vAlign w:val="center"/>
          </w:tcPr>
          <w:p w14:paraId="3B60334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6</w:t>
            </w:r>
          </w:p>
        </w:tc>
        <w:tc>
          <w:tcPr>
            <w:tcW w:w="859" w:type="pct"/>
            <w:tcBorders>
              <w:tl2br w:val="nil"/>
              <w:tr2bl w:val="nil"/>
            </w:tcBorders>
            <w:shd w:val="clear" w:color="auto" w:fill="auto"/>
            <w:vAlign w:val="center"/>
          </w:tcPr>
          <w:p w14:paraId="7E202DD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HW36石棉废物</w:t>
            </w:r>
          </w:p>
        </w:tc>
        <w:tc>
          <w:tcPr>
            <w:tcW w:w="737" w:type="pct"/>
            <w:tcBorders>
              <w:tl2br w:val="nil"/>
              <w:tr2bl w:val="nil"/>
            </w:tcBorders>
            <w:shd w:val="clear" w:color="auto" w:fill="auto"/>
            <w:vAlign w:val="center"/>
          </w:tcPr>
          <w:p w14:paraId="323D05D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900-032-36</w:t>
            </w:r>
          </w:p>
        </w:tc>
        <w:tc>
          <w:tcPr>
            <w:tcW w:w="624" w:type="pct"/>
            <w:tcBorders>
              <w:tl2br w:val="nil"/>
              <w:tr2bl w:val="nil"/>
            </w:tcBorders>
            <w:shd w:val="clear" w:color="auto" w:fill="auto"/>
            <w:vAlign w:val="center"/>
          </w:tcPr>
          <w:p w14:paraId="47475C2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8#</w:t>
            </w:r>
          </w:p>
        </w:tc>
        <w:tc>
          <w:tcPr>
            <w:tcW w:w="774" w:type="pct"/>
            <w:tcBorders>
              <w:tl2br w:val="nil"/>
              <w:tr2bl w:val="nil"/>
            </w:tcBorders>
            <w:shd w:val="clear" w:color="auto" w:fill="auto"/>
            <w:vAlign w:val="center"/>
          </w:tcPr>
          <w:p w14:paraId="1CC471F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6317889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贵州中佳环保有限公司</w:t>
            </w:r>
          </w:p>
        </w:tc>
      </w:tr>
      <w:tr w14:paraId="5F93D2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restart"/>
            <w:tcBorders>
              <w:tl2br w:val="nil"/>
              <w:tr2bl w:val="nil"/>
            </w:tcBorders>
            <w:shd w:val="clear" w:color="auto" w:fill="auto"/>
            <w:vAlign w:val="center"/>
          </w:tcPr>
          <w:p w14:paraId="31C988B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7</w:t>
            </w:r>
          </w:p>
        </w:tc>
        <w:tc>
          <w:tcPr>
            <w:tcW w:w="859" w:type="pct"/>
            <w:vMerge w:val="restart"/>
            <w:tcBorders>
              <w:tl2br w:val="nil"/>
              <w:tr2bl w:val="nil"/>
            </w:tcBorders>
            <w:shd w:val="clear" w:color="auto" w:fill="auto"/>
            <w:vAlign w:val="center"/>
          </w:tcPr>
          <w:p w14:paraId="063123E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HW49其他废物</w:t>
            </w:r>
          </w:p>
        </w:tc>
        <w:tc>
          <w:tcPr>
            <w:tcW w:w="737" w:type="pct"/>
            <w:tcBorders>
              <w:tl2br w:val="nil"/>
              <w:tr2bl w:val="nil"/>
            </w:tcBorders>
            <w:shd w:val="clear" w:color="auto" w:fill="auto"/>
            <w:vAlign w:val="center"/>
          </w:tcPr>
          <w:p w14:paraId="6C621E4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900-039-49</w:t>
            </w:r>
          </w:p>
        </w:tc>
        <w:tc>
          <w:tcPr>
            <w:tcW w:w="624" w:type="pct"/>
            <w:tcBorders>
              <w:tl2br w:val="nil"/>
              <w:tr2bl w:val="nil"/>
            </w:tcBorders>
            <w:shd w:val="clear" w:color="auto" w:fill="auto"/>
            <w:vAlign w:val="center"/>
          </w:tcPr>
          <w:p w14:paraId="7086D90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10#</w:t>
            </w:r>
          </w:p>
        </w:tc>
        <w:tc>
          <w:tcPr>
            <w:tcW w:w="774" w:type="pct"/>
            <w:tcBorders>
              <w:tl2br w:val="nil"/>
              <w:tr2bl w:val="nil"/>
            </w:tcBorders>
            <w:shd w:val="clear" w:color="auto" w:fill="auto"/>
            <w:vAlign w:val="center"/>
          </w:tcPr>
          <w:p w14:paraId="2E336FA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0.2184t</w:t>
            </w:r>
          </w:p>
        </w:tc>
        <w:tc>
          <w:tcPr>
            <w:tcW w:w="1730" w:type="pct"/>
            <w:tcBorders>
              <w:tl2br w:val="nil"/>
              <w:tr2bl w:val="nil"/>
            </w:tcBorders>
            <w:shd w:val="clear" w:color="auto" w:fill="auto"/>
            <w:vAlign w:val="center"/>
          </w:tcPr>
          <w:p w14:paraId="0C49372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湖南瀚洋环保科技有限公司</w:t>
            </w:r>
          </w:p>
        </w:tc>
      </w:tr>
      <w:tr w14:paraId="11901F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3E89C49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3C115C6C">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37" w:type="pct"/>
            <w:tcBorders>
              <w:tl2br w:val="nil"/>
              <w:tr2bl w:val="nil"/>
            </w:tcBorders>
            <w:shd w:val="clear" w:color="auto" w:fill="auto"/>
            <w:vAlign w:val="center"/>
          </w:tcPr>
          <w:p w14:paraId="5A65FC5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900-041-49</w:t>
            </w:r>
          </w:p>
        </w:tc>
        <w:tc>
          <w:tcPr>
            <w:tcW w:w="624" w:type="pct"/>
            <w:tcBorders>
              <w:tl2br w:val="nil"/>
              <w:tr2bl w:val="nil"/>
            </w:tcBorders>
            <w:shd w:val="clear" w:color="auto" w:fill="auto"/>
            <w:vAlign w:val="center"/>
          </w:tcPr>
          <w:p w14:paraId="494FE42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13#</w:t>
            </w:r>
          </w:p>
        </w:tc>
        <w:tc>
          <w:tcPr>
            <w:tcW w:w="774" w:type="pct"/>
            <w:tcBorders>
              <w:tl2br w:val="nil"/>
              <w:tr2bl w:val="nil"/>
            </w:tcBorders>
            <w:shd w:val="clear" w:color="auto" w:fill="auto"/>
            <w:vAlign w:val="center"/>
          </w:tcPr>
          <w:p w14:paraId="2F716A7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1.53t</w:t>
            </w:r>
          </w:p>
        </w:tc>
        <w:tc>
          <w:tcPr>
            <w:tcW w:w="1730" w:type="pct"/>
            <w:tcBorders>
              <w:tl2br w:val="nil"/>
              <w:tr2bl w:val="nil"/>
            </w:tcBorders>
            <w:shd w:val="clear" w:color="auto" w:fill="auto"/>
            <w:vAlign w:val="center"/>
          </w:tcPr>
          <w:p w14:paraId="446921D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湖南瀚洋环保科技有限公司或湖南久和环保科技有限公司</w:t>
            </w:r>
          </w:p>
        </w:tc>
      </w:tr>
      <w:tr w14:paraId="7607AF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6CC7055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319F9C2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37" w:type="pct"/>
            <w:tcBorders>
              <w:tl2br w:val="nil"/>
              <w:tr2bl w:val="nil"/>
            </w:tcBorders>
            <w:shd w:val="clear" w:color="auto" w:fill="auto"/>
            <w:vAlign w:val="center"/>
          </w:tcPr>
          <w:p w14:paraId="7AFB779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900-044-49</w:t>
            </w:r>
          </w:p>
        </w:tc>
        <w:tc>
          <w:tcPr>
            <w:tcW w:w="624" w:type="pct"/>
            <w:tcBorders>
              <w:tl2br w:val="nil"/>
              <w:tr2bl w:val="nil"/>
            </w:tcBorders>
            <w:shd w:val="clear" w:color="auto" w:fill="auto"/>
            <w:vAlign w:val="center"/>
          </w:tcPr>
          <w:p w14:paraId="0E369E6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20#</w:t>
            </w:r>
          </w:p>
        </w:tc>
        <w:tc>
          <w:tcPr>
            <w:tcW w:w="774" w:type="pct"/>
            <w:tcBorders>
              <w:tl2br w:val="nil"/>
              <w:tr2bl w:val="nil"/>
            </w:tcBorders>
            <w:shd w:val="clear" w:color="auto" w:fill="auto"/>
            <w:vAlign w:val="center"/>
          </w:tcPr>
          <w:p w14:paraId="5F2BD84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47A15B1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贵州中佳环保有限公司</w:t>
            </w:r>
          </w:p>
        </w:tc>
      </w:tr>
      <w:tr w14:paraId="005D37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169AE79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1CEEB6B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37" w:type="pct"/>
            <w:tcBorders>
              <w:tl2br w:val="nil"/>
              <w:tr2bl w:val="nil"/>
            </w:tcBorders>
            <w:shd w:val="clear" w:color="auto" w:fill="auto"/>
            <w:vAlign w:val="center"/>
          </w:tcPr>
          <w:p w14:paraId="0462E34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900-045-49</w:t>
            </w:r>
          </w:p>
        </w:tc>
        <w:tc>
          <w:tcPr>
            <w:tcW w:w="624" w:type="pct"/>
            <w:tcBorders>
              <w:tl2br w:val="nil"/>
              <w:tr2bl w:val="nil"/>
            </w:tcBorders>
            <w:shd w:val="clear" w:color="auto" w:fill="auto"/>
            <w:vAlign w:val="center"/>
          </w:tcPr>
          <w:p w14:paraId="2EFEB3C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12#</w:t>
            </w:r>
          </w:p>
        </w:tc>
        <w:tc>
          <w:tcPr>
            <w:tcW w:w="774" w:type="pct"/>
            <w:tcBorders>
              <w:tl2br w:val="nil"/>
              <w:tr2bl w:val="nil"/>
            </w:tcBorders>
            <w:shd w:val="clear" w:color="auto" w:fill="auto"/>
            <w:vAlign w:val="center"/>
          </w:tcPr>
          <w:p w14:paraId="53562F1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06FB2379">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贵州中佳环保有限公司</w:t>
            </w:r>
          </w:p>
        </w:tc>
      </w:tr>
      <w:tr w14:paraId="15EC3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2BE3846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56E0AAE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37" w:type="pct"/>
            <w:tcBorders>
              <w:tl2br w:val="nil"/>
              <w:tr2bl w:val="nil"/>
            </w:tcBorders>
            <w:shd w:val="clear" w:color="auto" w:fill="auto"/>
            <w:vAlign w:val="center"/>
          </w:tcPr>
          <w:p w14:paraId="28F022D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900-047-49</w:t>
            </w:r>
          </w:p>
        </w:tc>
        <w:tc>
          <w:tcPr>
            <w:tcW w:w="624" w:type="pct"/>
            <w:tcBorders>
              <w:tl2br w:val="nil"/>
              <w:tr2bl w:val="nil"/>
            </w:tcBorders>
            <w:shd w:val="clear" w:color="auto" w:fill="auto"/>
            <w:vAlign w:val="center"/>
          </w:tcPr>
          <w:p w14:paraId="3E764DF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w:t>
            </w:r>
          </w:p>
        </w:tc>
        <w:tc>
          <w:tcPr>
            <w:tcW w:w="774" w:type="pct"/>
            <w:tcBorders>
              <w:tl2br w:val="nil"/>
              <w:tr2bl w:val="nil"/>
            </w:tcBorders>
            <w:shd w:val="clear" w:color="auto" w:fill="auto"/>
            <w:vAlign w:val="center"/>
          </w:tcPr>
          <w:p w14:paraId="0D4490F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1F46844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湖南瀚洋环保科技有限公司</w:t>
            </w:r>
          </w:p>
        </w:tc>
      </w:tr>
      <w:tr w14:paraId="09218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restart"/>
            <w:tcBorders>
              <w:tl2br w:val="nil"/>
              <w:tr2bl w:val="nil"/>
            </w:tcBorders>
            <w:shd w:val="clear" w:color="auto" w:fill="auto"/>
            <w:vAlign w:val="center"/>
          </w:tcPr>
          <w:p w14:paraId="3C76792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8</w:t>
            </w:r>
          </w:p>
        </w:tc>
        <w:tc>
          <w:tcPr>
            <w:tcW w:w="859" w:type="pct"/>
            <w:vMerge w:val="restart"/>
            <w:tcBorders>
              <w:tl2br w:val="nil"/>
              <w:tr2bl w:val="nil"/>
            </w:tcBorders>
            <w:shd w:val="clear" w:color="auto" w:fill="auto"/>
            <w:vAlign w:val="center"/>
          </w:tcPr>
          <w:p w14:paraId="4EC47D1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HW50废催化剂</w:t>
            </w:r>
          </w:p>
        </w:tc>
        <w:tc>
          <w:tcPr>
            <w:tcW w:w="737" w:type="pct"/>
            <w:tcBorders>
              <w:tl2br w:val="nil"/>
              <w:tr2bl w:val="nil"/>
            </w:tcBorders>
            <w:shd w:val="clear" w:color="auto" w:fill="auto"/>
            <w:vAlign w:val="center"/>
          </w:tcPr>
          <w:p w14:paraId="3838D6D7">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261-151-50</w:t>
            </w:r>
          </w:p>
        </w:tc>
        <w:tc>
          <w:tcPr>
            <w:tcW w:w="624" w:type="pct"/>
            <w:tcBorders>
              <w:tl2br w:val="nil"/>
              <w:tr2bl w:val="nil"/>
            </w:tcBorders>
            <w:shd w:val="clear" w:color="auto" w:fill="auto"/>
            <w:vAlign w:val="center"/>
          </w:tcPr>
          <w:p w14:paraId="7ABBBF5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18#</w:t>
            </w:r>
          </w:p>
        </w:tc>
        <w:tc>
          <w:tcPr>
            <w:tcW w:w="774" w:type="pct"/>
            <w:tcBorders>
              <w:tl2br w:val="nil"/>
              <w:tr2bl w:val="nil"/>
            </w:tcBorders>
            <w:shd w:val="clear" w:color="auto" w:fill="auto"/>
            <w:vAlign w:val="center"/>
          </w:tcPr>
          <w:p w14:paraId="1186E32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3DC298C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贵州中佳环保有限公司</w:t>
            </w:r>
          </w:p>
        </w:tc>
      </w:tr>
      <w:tr w14:paraId="0D962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1A71F1B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634C725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37" w:type="pct"/>
            <w:tcBorders>
              <w:tl2br w:val="nil"/>
              <w:tr2bl w:val="nil"/>
            </w:tcBorders>
            <w:shd w:val="clear" w:color="auto" w:fill="auto"/>
            <w:vAlign w:val="center"/>
          </w:tcPr>
          <w:p w14:paraId="218A05A3">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900-048-50</w:t>
            </w:r>
          </w:p>
        </w:tc>
        <w:tc>
          <w:tcPr>
            <w:tcW w:w="624" w:type="pct"/>
            <w:tcBorders>
              <w:tl2br w:val="nil"/>
              <w:tr2bl w:val="nil"/>
            </w:tcBorders>
            <w:shd w:val="clear" w:color="auto" w:fill="auto"/>
            <w:vAlign w:val="center"/>
          </w:tcPr>
          <w:p w14:paraId="7E1D144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19#</w:t>
            </w:r>
          </w:p>
        </w:tc>
        <w:tc>
          <w:tcPr>
            <w:tcW w:w="774" w:type="pct"/>
            <w:tcBorders>
              <w:tl2br w:val="nil"/>
              <w:tr2bl w:val="nil"/>
            </w:tcBorders>
            <w:shd w:val="clear" w:color="auto" w:fill="auto"/>
            <w:vAlign w:val="center"/>
          </w:tcPr>
          <w:p w14:paraId="36298C6D">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0D771FBC">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贵州中佳环保有限公司</w:t>
            </w:r>
          </w:p>
        </w:tc>
      </w:tr>
      <w:tr w14:paraId="12B85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088B4BF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67CC198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737" w:type="pct"/>
            <w:tcBorders>
              <w:tl2br w:val="nil"/>
              <w:tr2bl w:val="nil"/>
            </w:tcBorders>
            <w:shd w:val="clear" w:color="auto" w:fill="auto"/>
            <w:vAlign w:val="center"/>
          </w:tcPr>
          <w:p w14:paraId="7A76698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900-049-50</w:t>
            </w:r>
          </w:p>
        </w:tc>
        <w:tc>
          <w:tcPr>
            <w:tcW w:w="624" w:type="pct"/>
            <w:tcBorders>
              <w:tl2br w:val="nil"/>
              <w:tr2bl w:val="nil"/>
            </w:tcBorders>
            <w:shd w:val="clear" w:color="auto" w:fill="auto"/>
            <w:vAlign w:val="center"/>
          </w:tcPr>
          <w:p w14:paraId="1E57C1A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17#</w:t>
            </w:r>
          </w:p>
        </w:tc>
        <w:tc>
          <w:tcPr>
            <w:tcW w:w="774" w:type="pct"/>
            <w:tcBorders>
              <w:tl2br w:val="nil"/>
              <w:tr2bl w:val="nil"/>
            </w:tcBorders>
            <w:shd w:val="clear" w:color="auto" w:fill="auto"/>
            <w:vAlign w:val="center"/>
          </w:tcPr>
          <w:p w14:paraId="20C4E03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暂未贮存</w:t>
            </w:r>
          </w:p>
        </w:tc>
        <w:tc>
          <w:tcPr>
            <w:tcW w:w="1730" w:type="pct"/>
            <w:tcBorders>
              <w:tl2br w:val="nil"/>
              <w:tr2bl w:val="nil"/>
            </w:tcBorders>
            <w:shd w:val="clear" w:color="auto" w:fill="auto"/>
            <w:vAlign w:val="center"/>
          </w:tcPr>
          <w:p w14:paraId="54DCE4F0">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贵州中佳环保有限公司</w:t>
            </w:r>
          </w:p>
        </w:tc>
      </w:tr>
      <w:tr w14:paraId="734450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restart"/>
            <w:tcBorders>
              <w:tl2br w:val="nil"/>
              <w:tr2bl w:val="nil"/>
            </w:tcBorders>
            <w:shd w:val="clear" w:color="auto" w:fill="auto"/>
            <w:vAlign w:val="center"/>
          </w:tcPr>
          <w:p w14:paraId="5143237A">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w:t>
            </w:r>
          </w:p>
        </w:tc>
        <w:tc>
          <w:tcPr>
            <w:tcW w:w="859" w:type="pct"/>
            <w:vMerge w:val="restart"/>
            <w:tcBorders>
              <w:tl2br w:val="nil"/>
              <w:tr2bl w:val="nil"/>
            </w:tcBorders>
            <w:shd w:val="clear" w:color="auto" w:fill="auto"/>
            <w:vAlign w:val="center"/>
          </w:tcPr>
          <w:p w14:paraId="2E6C9D7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HW08废矿物油与含废矿物油废物</w:t>
            </w:r>
          </w:p>
        </w:tc>
        <w:tc>
          <w:tcPr>
            <w:tcW w:w="1361" w:type="pct"/>
            <w:gridSpan w:val="2"/>
            <w:tcBorders>
              <w:tl2br w:val="nil"/>
              <w:tr2bl w:val="nil"/>
            </w:tcBorders>
            <w:shd w:val="clear" w:color="auto" w:fill="auto"/>
            <w:vAlign w:val="center"/>
          </w:tcPr>
          <w:p w14:paraId="27A14506">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900-214-08</w:t>
            </w:r>
          </w:p>
        </w:tc>
        <w:tc>
          <w:tcPr>
            <w:tcW w:w="774" w:type="pct"/>
            <w:vMerge w:val="restart"/>
            <w:tcBorders>
              <w:tl2br w:val="nil"/>
              <w:tr2bl w:val="nil"/>
            </w:tcBorders>
            <w:shd w:val="clear" w:color="auto" w:fill="auto"/>
            <w:vAlign w:val="center"/>
          </w:tcPr>
          <w:p w14:paraId="431FBA4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11月17日最大贮存量43.8t；</w:t>
            </w:r>
          </w:p>
          <w:p w14:paraId="58F9B1EF">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18日出库30.95t，入库3.82t，最终贮存量16.86t</w:t>
            </w:r>
          </w:p>
        </w:tc>
        <w:tc>
          <w:tcPr>
            <w:tcW w:w="1730" w:type="pct"/>
            <w:vMerge w:val="restart"/>
            <w:tcBorders>
              <w:tl2br w:val="nil"/>
              <w:tr2bl w:val="nil"/>
            </w:tcBorders>
            <w:shd w:val="clear" w:color="auto" w:fill="auto"/>
            <w:vAlign w:val="center"/>
          </w:tcPr>
          <w:p w14:paraId="4E2091F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远大（湖南）再生燃油股份有限公司</w:t>
            </w:r>
          </w:p>
        </w:tc>
      </w:tr>
      <w:tr w14:paraId="034EFC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774CA812">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004C97A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361" w:type="pct"/>
            <w:gridSpan w:val="2"/>
            <w:tcBorders>
              <w:tl2br w:val="nil"/>
              <w:tr2bl w:val="nil"/>
            </w:tcBorders>
            <w:shd w:val="clear" w:color="auto" w:fill="auto"/>
            <w:vAlign w:val="center"/>
          </w:tcPr>
          <w:p w14:paraId="7809ADC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900-215-08</w:t>
            </w:r>
          </w:p>
        </w:tc>
        <w:tc>
          <w:tcPr>
            <w:tcW w:w="774" w:type="pct"/>
            <w:vMerge w:val="continue"/>
            <w:tcBorders>
              <w:tl2br w:val="nil"/>
              <w:tr2bl w:val="nil"/>
            </w:tcBorders>
            <w:shd w:val="clear" w:color="auto" w:fill="auto"/>
            <w:vAlign w:val="center"/>
          </w:tcPr>
          <w:p w14:paraId="4FB7D34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vMerge w:val="continue"/>
            <w:tcBorders>
              <w:tl2br w:val="nil"/>
              <w:tr2bl w:val="nil"/>
            </w:tcBorders>
            <w:shd w:val="clear" w:color="auto" w:fill="auto"/>
            <w:vAlign w:val="center"/>
          </w:tcPr>
          <w:p w14:paraId="6EFEB26B">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r>
      <w:tr w14:paraId="20021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07CAD17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04931E8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361" w:type="pct"/>
            <w:gridSpan w:val="2"/>
            <w:tcBorders>
              <w:tl2br w:val="nil"/>
              <w:tr2bl w:val="nil"/>
            </w:tcBorders>
            <w:shd w:val="clear" w:color="auto" w:fill="auto"/>
            <w:vAlign w:val="center"/>
          </w:tcPr>
          <w:p w14:paraId="783CCD3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900-216-08</w:t>
            </w:r>
          </w:p>
        </w:tc>
        <w:tc>
          <w:tcPr>
            <w:tcW w:w="774" w:type="pct"/>
            <w:vMerge w:val="continue"/>
            <w:tcBorders>
              <w:tl2br w:val="nil"/>
              <w:tr2bl w:val="nil"/>
            </w:tcBorders>
            <w:shd w:val="clear" w:color="auto" w:fill="auto"/>
            <w:vAlign w:val="center"/>
          </w:tcPr>
          <w:p w14:paraId="75A0F96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vMerge w:val="continue"/>
            <w:tcBorders>
              <w:tl2br w:val="nil"/>
              <w:tr2bl w:val="nil"/>
            </w:tcBorders>
            <w:shd w:val="clear" w:color="auto" w:fill="auto"/>
            <w:vAlign w:val="center"/>
          </w:tcPr>
          <w:p w14:paraId="67E7D69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r>
      <w:tr w14:paraId="0E0F75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1E2DE6B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32320E8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361" w:type="pct"/>
            <w:gridSpan w:val="2"/>
            <w:tcBorders>
              <w:tl2br w:val="nil"/>
              <w:tr2bl w:val="nil"/>
            </w:tcBorders>
            <w:shd w:val="clear" w:color="auto" w:fill="auto"/>
            <w:vAlign w:val="center"/>
          </w:tcPr>
          <w:p w14:paraId="021062C4">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900-217-08</w:t>
            </w:r>
          </w:p>
        </w:tc>
        <w:tc>
          <w:tcPr>
            <w:tcW w:w="774" w:type="pct"/>
            <w:vMerge w:val="continue"/>
            <w:tcBorders>
              <w:tl2br w:val="nil"/>
              <w:tr2bl w:val="nil"/>
            </w:tcBorders>
            <w:shd w:val="clear" w:color="auto" w:fill="auto"/>
            <w:vAlign w:val="center"/>
          </w:tcPr>
          <w:p w14:paraId="3B9FC5C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vMerge w:val="continue"/>
            <w:tcBorders>
              <w:tl2br w:val="nil"/>
              <w:tr2bl w:val="nil"/>
            </w:tcBorders>
            <w:shd w:val="clear" w:color="auto" w:fill="auto"/>
            <w:vAlign w:val="center"/>
          </w:tcPr>
          <w:p w14:paraId="7B23BC6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r>
      <w:tr w14:paraId="0B464B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31D0E235">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433B17CD">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361" w:type="pct"/>
            <w:gridSpan w:val="2"/>
            <w:tcBorders>
              <w:tl2br w:val="nil"/>
              <w:tr2bl w:val="nil"/>
            </w:tcBorders>
            <w:shd w:val="clear" w:color="auto" w:fill="auto"/>
            <w:vAlign w:val="center"/>
          </w:tcPr>
          <w:p w14:paraId="563196DE">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900-218-08</w:t>
            </w:r>
          </w:p>
        </w:tc>
        <w:tc>
          <w:tcPr>
            <w:tcW w:w="774" w:type="pct"/>
            <w:vMerge w:val="continue"/>
            <w:tcBorders>
              <w:tl2br w:val="nil"/>
              <w:tr2bl w:val="nil"/>
            </w:tcBorders>
            <w:shd w:val="clear" w:color="auto" w:fill="auto"/>
            <w:vAlign w:val="center"/>
          </w:tcPr>
          <w:p w14:paraId="0528431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vMerge w:val="continue"/>
            <w:tcBorders>
              <w:tl2br w:val="nil"/>
              <w:tr2bl w:val="nil"/>
            </w:tcBorders>
            <w:shd w:val="clear" w:color="auto" w:fill="auto"/>
            <w:vAlign w:val="center"/>
          </w:tcPr>
          <w:p w14:paraId="4B2A12DF">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r>
      <w:tr w14:paraId="14A56A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09A82D8A">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57267521">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361" w:type="pct"/>
            <w:gridSpan w:val="2"/>
            <w:tcBorders>
              <w:tl2br w:val="nil"/>
              <w:tr2bl w:val="nil"/>
            </w:tcBorders>
            <w:shd w:val="clear" w:color="auto" w:fill="auto"/>
            <w:vAlign w:val="center"/>
          </w:tcPr>
          <w:p w14:paraId="26837FC1">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900-219-08</w:t>
            </w:r>
          </w:p>
        </w:tc>
        <w:tc>
          <w:tcPr>
            <w:tcW w:w="774" w:type="pct"/>
            <w:vMerge w:val="continue"/>
            <w:tcBorders>
              <w:tl2br w:val="nil"/>
              <w:tr2bl w:val="nil"/>
            </w:tcBorders>
            <w:shd w:val="clear" w:color="auto" w:fill="auto"/>
            <w:vAlign w:val="center"/>
          </w:tcPr>
          <w:p w14:paraId="55AD0D6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vMerge w:val="continue"/>
            <w:tcBorders>
              <w:tl2br w:val="nil"/>
              <w:tr2bl w:val="nil"/>
            </w:tcBorders>
            <w:shd w:val="clear" w:color="auto" w:fill="auto"/>
            <w:vAlign w:val="center"/>
          </w:tcPr>
          <w:p w14:paraId="201DA9A8">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r>
      <w:tr w14:paraId="20319C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660FA2F3">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27E43E6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361" w:type="pct"/>
            <w:gridSpan w:val="2"/>
            <w:tcBorders>
              <w:tl2br w:val="nil"/>
              <w:tr2bl w:val="nil"/>
            </w:tcBorders>
            <w:shd w:val="clear" w:color="auto" w:fill="auto"/>
            <w:vAlign w:val="center"/>
          </w:tcPr>
          <w:p w14:paraId="12BFE07B">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900-220-08</w:t>
            </w:r>
          </w:p>
        </w:tc>
        <w:tc>
          <w:tcPr>
            <w:tcW w:w="774" w:type="pct"/>
            <w:vMerge w:val="continue"/>
            <w:tcBorders>
              <w:tl2br w:val="nil"/>
              <w:tr2bl w:val="nil"/>
            </w:tcBorders>
            <w:shd w:val="clear" w:color="auto" w:fill="auto"/>
            <w:vAlign w:val="center"/>
          </w:tcPr>
          <w:p w14:paraId="1B47608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vMerge w:val="continue"/>
            <w:tcBorders>
              <w:tl2br w:val="nil"/>
              <w:tr2bl w:val="nil"/>
            </w:tcBorders>
            <w:shd w:val="clear" w:color="auto" w:fill="auto"/>
            <w:vAlign w:val="center"/>
          </w:tcPr>
          <w:p w14:paraId="4FB513A9">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r>
      <w:tr w14:paraId="2F6154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5E48FD7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29227F5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361" w:type="pct"/>
            <w:gridSpan w:val="2"/>
            <w:tcBorders>
              <w:tl2br w:val="nil"/>
              <w:tr2bl w:val="nil"/>
            </w:tcBorders>
            <w:shd w:val="clear" w:color="auto" w:fill="auto"/>
            <w:vAlign w:val="center"/>
          </w:tcPr>
          <w:p w14:paraId="12E25335">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900-221-08</w:t>
            </w:r>
          </w:p>
        </w:tc>
        <w:tc>
          <w:tcPr>
            <w:tcW w:w="774" w:type="pct"/>
            <w:vMerge w:val="continue"/>
            <w:tcBorders>
              <w:tl2br w:val="nil"/>
              <w:tr2bl w:val="nil"/>
            </w:tcBorders>
            <w:shd w:val="clear" w:color="auto" w:fill="auto"/>
            <w:vAlign w:val="center"/>
          </w:tcPr>
          <w:p w14:paraId="41A0D464">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vMerge w:val="continue"/>
            <w:tcBorders>
              <w:tl2br w:val="nil"/>
              <w:tr2bl w:val="nil"/>
            </w:tcBorders>
            <w:shd w:val="clear" w:color="auto" w:fill="auto"/>
            <w:vAlign w:val="center"/>
          </w:tcPr>
          <w:p w14:paraId="5B41FE77">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r>
      <w:tr w14:paraId="1AAD7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90" w:hRule="atLeast"/>
          <w:jc w:val="center"/>
        </w:trPr>
        <w:tc>
          <w:tcPr>
            <w:tcW w:w="274" w:type="pct"/>
            <w:vMerge w:val="continue"/>
            <w:tcBorders>
              <w:tl2br w:val="nil"/>
              <w:tr2bl w:val="nil"/>
            </w:tcBorders>
            <w:shd w:val="clear" w:color="auto" w:fill="auto"/>
            <w:vAlign w:val="center"/>
          </w:tcPr>
          <w:p w14:paraId="118F6900">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859" w:type="pct"/>
            <w:vMerge w:val="continue"/>
            <w:tcBorders>
              <w:tl2br w:val="nil"/>
              <w:tr2bl w:val="nil"/>
            </w:tcBorders>
            <w:shd w:val="clear" w:color="auto" w:fill="auto"/>
            <w:vAlign w:val="center"/>
          </w:tcPr>
          <w:p w14:paraId="1FD8B5BE">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361" w:type="pct"/>
            <w:gridSpan w:val="2"/>
            <w:tcBorders>
              <w:tl2br w:val="nil"/>
              <w:tr2bl w:val="nil"/>
            </w:tcBorders>
            <w:shd w:val="clear" w:color="auto" w:fill="auto"/>
            <w:vAlign w:val="center"/>
          </w:tcPr>
          <w:p w14:paraId="7A9A2E42">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900-249-08</w:t>
            </w:r>
          </w:p>
        </w:tc>
        <w:tc>
          <w:tcPr>
            <w:tcW w:w="774" w:type="pct"/>
            <w:vMerge w:val="continue"/>
            <w:tcBorders>
              <w:tl2br w:val="nil"/>
              <w:tr2bl w:val="nil"/>
            </w:tcBorders>
            <w:shd w:val="clear" w:color="auto" w:fill="auto"/>
            <w:vAlign w:val="center"/>
          </w:tcPr>
          <w:p w14:paraId="28C89D26">
            <w:pPr>
              <w:keepNext w:val="0"/>
              <w:keepLines w:val="0"/>
              <w:pageBreakBefore w:val="0"/>
              <w:suppressLineNumbers w:val="0"/>
              <w:kinsoku/>
              <w:wordWrap/>
              <w:overflowPunct/>
              <w:topLinePunct w:val="0"/>
              <w:autoSpaceDE/>
              <w:autoSpaceDN/>
              <w:bidi w:val="0"/>
              <w:adjustRightInd/>
              <w:snapToGrid/>
              <w:spacing w:before="0" w:beforeAutospacing="0" w:after="0" w:afterAutospacing="0"/>
              <w:ind w:left="0" w:right="0" w:firstLine="0"/>
              <w:jc w:val="center"/>
              <w:textAlignment w:val="auto"/>
              <w:rPr>
                <w:rFonts w:hint="default" w:ascii="Times New Roman" w:hAnsi="Times New Roman" w:eastAsia="宋体" w:cs="Times New Roman"/>
                <w:sz w:val="20"/>
                <w:szCs w:val="20"/>
              </w:rPr>
            </w:pPr>
          </w:p>
        </w:tc>
        <w:tc>
          <w:tcPr>
            <w:tcW w:w="1730" w:type="pct"/>
            <w:tcBorders>
              <w:tl2br w:val="nil"/>
              <w:tr2bl w:val="nil"/>
            </w:tcBorders>
            <w:shd w:val="clear" w:color="auto" w:fill="auto"/>
            <w:vAlign w:val="center"/>
          </w:tcPr>
          <w:p w14:paraId="14F02208">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szCs w:val="21"/>
                <w:lang w:val="en-US"/>
              </w:rPr>
            </w:pPr>
            <w:r>
              <w:rPr>
                <w:rFonts w:hint="default" w:ascii="Times New Roman" w:hAnsi="Times New Roman" w:eastAsia="宋体" w:cs="Times New Roman"/>
                <w:b w:val="0"/>
                <w:bCs/>
                <w:kern w:val="0"/>
                <w:sz w:val="21"/>
                <w:szCs w:val="21"/>
                <w:lang w:val="en-US" w:eastAsia="zh-CN" w:bidi="ar"/>
              </w:rPr>
              <w:t>远大（湖南）再生燃油股份有限公司或湖南久和环保科技有限公司</w:t>
            </w:r>
          </w:p>
        </w:tc>
      </w:tr>
    </w:tbl>
    <w:p w14:paraId="20A10C0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val="0"/>
          <w:bCs w:val="0"/>
          <w:sz w:val="21"/>
          <w:szCs w:val="21"/>
          <w:u w:val="none"/>
          <w:lang w:val="en-US" w:eastAsia="zh-CN"/>
        </w:rPr>
      </w:pPr>
      <w:r>
        <w:rPr>
          <w:rFonts w:hint="default" w:ascii="Times New Roman" w:hAnsi="Times New Roman" w:eastAsia="宋体" w:cs="Times New Roman"/>
          <w:b w:val="0"/>
          <w:bCs w:val="0"/>
          <w:sz w:val="21"/>
          <w:szCs w:val="21"/>
          <w:u w:val="none"/>
          <w:lang w:val="en-US" w:eastAsia="zh-CN"/>
        </w:rPr>
        <w:t>注：上表贮存量为验收监测期间2022年11月17日~18日仓库内收集贮存危废情况。</w:t>
      </w:r>
    </w:p>
    <w:p w14:paraId="7976612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b w:val="0"/>
          <w:bCs w:val="0"/>
          <w:sz w:val="24"/>
          <w:szCs w:val="24"/>
          <w:u w:val="none"/>
          <w:lang w:val="en-US" w:eastAsia="zh-CN"/>
        </w:rPr>
        <w:t>根据现有项目的竣工环境保护验收报告，</w:t>
      </w:r>
      <w:r>
        <w:rPr>
          <w:rFonts w:hint="default" w:ascii="Times New Roman" w:hAnsi="Times New Roman" w:eastAsia="宋体" w:cs="Times New Roman"/>
          <w:sz w:val="24"/>
          <w:szCs w:val="28"/>
          <w:lang w:val="en-US" w:eastAsia="zh-CN"/>
        </w:rPr>
        <w:t>现有项目</w:t>
      </w:r>
      <w:r>
        <w:rPr>
          <w:rFonts w:hint="default" w:ascii="Times New Roman" w:hAnsi="Times New Roman" w:eastAsia="宋体" w:cs="Times New Roman"/>
          <w:sz w:val="24"/>
          <w:szCs w:val="28"/>
        </w:rPr>
        <w:t>收集贮存的各类危废已分区、分类贮存在相应代码的仓库内，并按照规范要求设立相关台账，按转移联单制度转移相关危废，已分别对各类危废委托相应类别资质单位回收处置</w:t>
      </w:r>
      <w:r>
        <w:rPr>
          <w:rFonts w:hint="default" w:ascii="Times New Roman" w:hAnsi="Times New Roman" w:eastAsia="宋体" w:cs="Times New Roman"/>
          <w:sz w:val="24"/>
          <w:szCs w:val="28"/>
          <w:lang w:eastAsia="zh-CN"/>
        </w:rPr>
        <w:t>，</w:t>
      </w:r>
      <w:r>
        <w:rPr>
          <w:rFonts w:hint="default" w:ascii="Times New Roman" w:hAnsi="Times New Roman" w:eastAsia="宋体" w:cs="Times New Roman"/>
          <w:sz w:val="24"/>
          <w:szCs w:val="28"/>
          <w:lang w:val="en-US" w:eastAsia="zh-CN"/>
        </w:rPr>
        <w:t>各类固废处置妥当。</w:t>
      </w:r>
    </w:p>
    <w:p w14:paraId="7F2517EA">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3.4.</w:t>
      </w:r>
      <w:r>
        <w:rPr>
          <w:rFonts w:hint="default" w:ascii="Times New Roman" w:hAnsi="Times New Roman" w:eastAsia="宋体" w:cs="Times New Roman"/>
          <w:sz w:val="24"/>
          <w:lang w:val="en-US" w:eastAsia="zh-CN"/>
        </w:rPr>
        <w:t>5环境风险防范设施</w:t>
      </w:r>
    </w:p>
    <w:p w14:paraId="36FA09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lang w:val="en-US"/>
        </w:rPr>
      </w:pPr>
      <w:r>
        <w:rPr>
          <w:rFonts w:hint="default" w:ascii="Times New Roman" w:hAnsi="Times New Roman" w:eastAsia="宋体" w:cs="Times New Roman"/>
          <w:kern w:val="2"/>
          <w:sz w:val="24"/>
          <w:szCs w:val="20"/>
          <w:lang w:val="en-US" w:eastAsia="zh-CN" w:bidi="ar"/>
        </w:rPr>
        <w:t>现有项目主要风险源为贮存的各类危废、火灾或爆炸事故消防废水外排，已于2022年7月编制了突发环境事件风险应急预案，并在衡阳市生态环境局备案，并严格按照预案要求执行。</w:t>
      </w:r>
    </w:p>
    <w:p w14:paraId="06FBC57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0"/>
          <w:u w:val="none"/>
          <w:lang w:val="en-US" w:eastAsia="zh-CN" w:bidi="ar"/>
        </w:rPr>
      </w:pPr>
      <w:r>
        <w:rPr>
          <w:rFonts w:hint="default" w:ascii="Times New Roman" w:hAnsi="Times New Roman" w:eastAsia="宋体" w:cs="Times New Roman"/>
          <w:kern w:val="2"/>
          <w:sz w:val="24"/>
          <w:szCs w:val="20"/>
          <w:lang w:val="en-US" w:eastAsia="zh-CN" w:bidi="ar"/>
        </w:rPr>
        <w:t>现</w:t>
      </w:r>
      <w:r>
        <w:rPr>
          <w:rFonts w:hint="default" w:ascii="Times New Roman" w:hAnsi="Times New Roman" w:eastAsia="宋体" w:cs="Times New Roman"/>
          <w:kern w:val="2"/>
          <w:sz w:val="24"/>
          <w:szCs w:val="20"/>
          <w:u w:val="none"/>
          <w:lang w:val="en-US" w:eastAsia="zh-CN" w:bidi="ar"/>
        </w:rPr>
        <w:t>有项目厂房内其它危废贮存区内南侧和北侧偏中部各设置1条东西走向的导流沟及东侧设置1条南北走向的导流沟，并在各贮存仓库内设导流沟槽，连通厂房内东南侧的1个应急事故池（规格为7.9m×8.5m×1.5m，容积100.73m3）；厂房内各个危废仓库内均设有0.2~0.5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应急收集槽（采取活动式阻隔物及沙包堵截措施）；可确保各暂存仓库内发生泄漏液体全部导流沟槽闭环收集至厂房内东南角100.73m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应急池。</w:t>
      </w:r>
    </w:p>
    <w:p w14:paraId="4F15812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0"/>
          <w:u w:val="none"/>
          <w:lang w:val="en-US" w:eastAsia="zh-CN" w:bidi="ar"/>
        </w:rPr>
      </w:pPr>
      <w:r>
        <w:rPr>
          <w:rFonts w:hint="default" w:ascii="Times New Roman" w:hAnsi="Times New Roman" w:eastAsia="宋体" w:cs="Times New Roman"/>
          <w:kern w:val="2"/>
          <w:sz w:val="24"/>
          <w:szCs w:val="20"/>
          <w:u w:val="none"/>
          <w:lang w:val="en-US" w:eastAsia="zh-CN" w:bidi="ar"/>
        </w:rPr>
        <w:t>厂房内废矿物油贮存区内南侧靠外墙体设置导流沟，连通厂房内西侧的1个应急事故池（规格为6m×7m×1.5m，容积63m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），位于厂区西侧的储油罐区内设2个50t的碳钢卧式储油罐，储油罐区四周设一个规格为11m×9.0m×1.2m（容积118.8m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）的围堰，围堰顶部连通导流沟流入罐区西侧63m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应急事故池。同时围堰内油罐一用一备（备用罐容积50m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），之间有管道泵阀连通供应急转移油品。</w:t>
      </w:r>
    </w:p>
    <w:p w14:paraId="628CAE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0"/>
          <w:u w:val="none"/>
          <w:lang w:val="en-US" w:eastAsia="zh-CN" w:bidi="ar"/>
        </w:rPr>
      </w:pPr>
      <w:r>
        <w:rPr>
          <w:rFonts w:hint="default" w:ascii="Times New Roman" w:hAnsi="Times New Roman" w:eastAsia="宋体" w:cs="Times New Roman"/>
          <w:kern w:val="2"/>
          <w:sz w:val="24"/>
          <w:szCs w:val="20"/>
          <w:u w:val="none"/>
          <w:lang w:val="en-US" w:eastAsia="zh-CN" w:bidi="ar"/>
        </w:rPr>
        <w:t>厂房外废矿物油贮存区装卸区门口呈北高南低，东西侧均建设围挡，可确保装卸油品万一发生跑冒滴漏均能收集在装卸区南侧门口处，并通过应急切换挡板进入门口外东侧设10m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废水应急池；同时进水口设有雨污水应急切换挡板，可避免卸油区雨水进入应急池。</w:t>
      </w:r>
    </w:p>
    <w:p w14:paraId="38F3067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0"/>
          <w:u w:val="none"/>
          <w:lang w:val="en-US" w:eastAsia="zh-CN" w:bidi="ar"/>
        </w:rPr>
      </w:pPr>
      <w:r>
        <w:rPr>
          <w:rFonts w:hint="default" w:ascii="Times New Roman" w:hAnsi="Times New Roman" w:eastAsia="宋体" w:cs="Times New Roman"/>
          <w:kern w:val="2"/>
          <w:sz w:val="24"/>
          <w:szCs w:val="20"/>
          <w:u w:val="none"/>
          <w:lang w:val="en-US" w:eastAsia="zh-CN" w:bidi="ar"/>
        </w:rPr>
        <w:t>厂房外东北侧地势较低处设50m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池体，将该池体一分为二，池体前端25m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为初期雨水池，池体后端25m</w:t>
      </w:r>
      <w:r>
        <w:rPr>
          <w:rFonts w:hint="default" w:ascii="Times New Roman" w:hAnsi="Times New Roman" w:eastAsia="宋体" w:cs="Times New Roman"/>
          <w:kern w:val="2"/>
          <w:sz w:val="24"/>
          <w:szCs w:val="20"/>
          <w:u w:val="none"/>
          <w:vertAlign w:val="superscript"/>
          <w:lang w:val="en-US" w:eastAsia="zh-CN" w:bidi="ar"/>
        </w:rPr>
        <w:t>3</w:t>
      </w:r>
      <w:r>
        <w:rPr>
          <w:rFonts w:hint="default" w:ascii="Times New Roman" w:hAnsi="Times New Roman" w:eastAsia="宋体" w:cs="Times New Roman"/>
          <w:kern w:val="2"/>
          <w:sz w:val="24"/>
          <w:szCs w:val="20"/>
          <w:u w:val="none"/>
          <w:lang w:val="en-US" w:eastAsia="zh-CN" w:bidi="ar"/>
        </w:rPr>
        <w:t>为消防事故应急池，进水口、出水口设手摇式隔断闸阀，正常情况关闭雨水池与应急池之间的闸阀，雨水进入初期雨水池处理后经雨水口排入市政雨水管网；事故情况下关闭雨水排口闸阀，打开雨水池与应急池之间的闸阀，事故废水全部通过雨水沟自流收集至雨水池然后在进入应急池（应急情况下初期雨水池兼事故应急池），池体不加盖上方设防坠网，池体四周采取围栏并设安全防护标牌。厂房内外的雨污水收集沟均可自流进入相应池体。</w:t>
      </w:r>
    </w:p>
    <w:p w14:paraId="1A71891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kern w:val="2"/>
          <w:sz w:val="24"/>
          <w:szCs w:val="24"/>
          <w:u w:val="none"/>
          <w:lang w:val="en-US" w:eastAsia="zh-CN" w:bidi="ar"/>
        </w:rPr>
      </w:pPr>
      <w:r>
        <w:rPr>
          <w:rFonts w:hint="default" w:ascii="Times New Roman" w:hAnsi="Times New Roman" w:eastAsia="宋体" w:cs="Times New Roman"/>
          <w:kern w:val="2"/>
          <w:sz w:val="24"/>
          <w:szCs w:val="20"/>
          <w:u w:val="none"/>
          <w:lang w:val="en-US" w:eastAsia="zh-CN" w:bidi="ar"/>
        </w:rPr>
        <w:t>可确保正常情况下雨污水不进入应急池，保持应急池处于常空状态</w:t>
      </w:r>
      <w:r>
        <w:rPr>
          <w:rFonts w:hint="default" w:ascii="Times New Roman" w:hAnsi="Times New Roman" w:eastAsia="宋体" w:cs="Times New Roman"/>
          <w:kern w:val="2"/>
          <w:sz w:val="24"/>
          <w:szCs w:val="24"/>
          <w:u w:val="none"/>
          <w:lang w:val="en-US" w:eastAsia="zh-CN" w:bidi="ar"/>
        </w:rPr>
        <w:t>。</w:t>
      </w:r>
    </w:p>
    <w:p w14:paraId="43AADE09">
      <w:pPr>
        <w:pStyle w:val="4"/>
        <w:spacing w:before="0" w:after="0" w:line="360" w:lineRule="auto"/>
        <w:jc w:val="left"/>
        <w:rPr>
          <w:rFonts w:hint="default" w:ascii="Times New Roman" w:hAnsi="Times New Roman" w:eastAsia="宋体" w:cs="Times New Roman"/>
          <w:sz w:val="24"/>
          <w:u w:val="single" w:color="auto"/>
          <w:lang w:val="en-US" w:eastAsia="zh-CN"/>
        </w:rPr>
      </w:pPr>
      <w:r>
        <w:rPr>
          <w:rFonts w:hint="default" w:ascii="Times New Roman" w:hAnsi="Times New Roman" w:eastAsia="宋体" w:cs="Times New Roman"/>
          <w:sz w:val="24"/>
          <w:u w:val="single" w:color="auto"/>
        </w:rPr>
        <w:t>3.4.</w:t>
      </w:r>
      <w:r>
        <w:rPr>
          <w:rFonts w:hint="default" w:ascii="Times New Roman" w:hAnsi="Times New Roman" w:eastAsia="宋体" w:cs="Times New Roman"/>
          <w:sz w:val="24"/>
          <w:u w:val="single" w:color="auto"/>
          <w:lang w:val="en-US" w:eastAsia="zh-CN"/>
        </w:rPr>
        <w:t>6排污许可执行情况</w:t>
      </w:r>
    </w:p>
    <w:p w14:paraId="6EF40CB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color="auto"/>
          <w:lang w:val="en-US"/>
        </w:rPr>
      </w:pPr>
      <w:r>
        <w:rPr>
          <w:rFonts w:hint="default" w:ascii="Times New Roman" w:hAnsi="Times New Roman" w:eastAsia="宋体" w:cs="Times New Roman"/>
          <w:sz w:val="24"/>
          <w:szCs w:val="28"/>
          <w:u w:val="single" w:color="auto"/>
          <w:lang w:val="en-US"/>
        </w:rPr>
        <w:t>根据《固定污染源排污许可分类管理名录（2019年版）》，本项目属于排污许可重点管理类。已于2022年8月办理排污许可证（正本详见附件），</w:t>
      </w:r>
      <w:r>
        <w:rPr>
          <w:rFonts w:hint="default" w:ascii="Times New Roman" w:hAnsi="Times New Roman" w:eastAsia="宋体" w:cs="Times New Roman"/>
          <w:sz w:val="24"/>
          <w:szCs w:val="28"/>
          <w:u w:val="single" w:color="auto"/>
          <w:lang w:val="en-US" w:eastAsia="zh-CN"/>
        </w:rPr>
        <w:t>并</w:t>
      </w:r>
      <w:r>
        <w:rPr>
          <w:rFonts w:hint="default" w:ascii="Times New Roman" w:hAnsi="Times New Roman" w:eastAsia="宋体" w:cs="Times New Roman"/>
          <w:sz w:val="24"/>
          <w:szCs w:val="28"/>
          <w:u w:val="single" w:color="auto"/>
          <w:lang w:val="en-US"/>
        </w:rPr>
        <w:t>严格按照《排污许可证申请与核发技术规范 工业固体废物和危险废物治理》（HJ 1033-2019）定期填报</w:t>
      </w:r>
      <w:r>
        <w:rPr>
          <w:rFonts w:hint="default" w:ascii="Times New Roman" w:hAnsi="Times New Roman" w:eastAsia="宋体" w:cs="Times New Roman"/>
          <w:sz w:val="24"/>
          <w:szCs w:val="28"/>
          <w:u w:val="single" w:color="auto"/>
          <w:lang w:val="en-US" w:eastAsia="zh-CN"/>
        </w:rPr>
        <w:t>了</w:t>
      </w:r>
      <w:r>
        <w:rPr>
          <w:rFonts w:hint="default" w:ascii="Times New Roman" w:hAnsi="Times New Roman" w:eastAsia="宋体" w:cs="Times New Roman"/>
          <w:sz w:val="24"/>
          <w:szCs w:val="28"/>
          <w:u w:val="single" w:color="auto"/>
          <w:lang w:val="en-US"/>
        </w:rPr>
        <w:t>排污许可执行报告</w:t>
      </w:r>
      <w:r>
        <w:rPr>
          <w:rFonts w:hint="default" w:ascii="Times New Roman" w:hAnsi="Times New Roman" w:eastAsia="宋体" w:cs="Times New Roman"/>
          <w:sz w:val="24"/>
          <w:szCs w:val="28"/>
          <w:u w:val="single" w:color="auto"/>
          <w:lang w:val="en-US" w:eastAsia="zh-CN"/>
        </w:rPr>
        <w:t>，填报情况如下图（摘取自全国排污许可证管理信息平台）</w:t>
      </w:r>
      <w:r>
        <w:rPr>
          <w:rFonts w:hint="default" w:ascii="Times New Roman" w:hAnsi="Times New Roman" w:eastAsia="宋体" w:cs="Times New Roman"/>
          <w:sz w:val="24"/>
          <w:szCs w:val="28"/>
          <w:u w:val="single" w:color="auto"/>
          <w:lang w:val="en-US"/>
        </w:rPr>
        <w:t>。</w:t>
      </w:r>
    </w:p>
    <w:p w14:paraId="1528D5E7">
      <w:pPr>
        <w:pStyle w:val="72"/>
        <w:jc w:val="center"/>
        <w:rPr>
          <w:rFonts w:hint="default" w:ascii="Times New Roman" w:hAnsi="Times New Roman" w:eastAsia="宋体" w:cs="Times New Roman"/>
          <w:u w:val="single" w:color="auto"/>
          <w:lang w:val="en-US"/>
        </w:rPr>
      </w:pPr>
      <w:r>
        <w:rPr>
          <w:rFonts w:hint="default" w:ascii="Times New Roman" w:hAnsi="Times New Roman" w:eastAsia="宋体" w:cs="Times New Roman"/>
          <w:u w:val="single" w:color="auto"/>
        </w:rPr>
        <w:drawing>
          <wp:inline distT="0" distB="0" distL="114300" distR="114300">
            <wp:extent cx="4031615" cy="2458720"/>
            <wp:effectExtent l="0" t="0" r="6985" b="10160"/>
            <wp:docPr id="5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5"/>
                    <pic:cNvPicPr>
                      <a:picLocks noChangeAspect="1"/>
                    </pic:cNvPicPr>
                  </pic:nvPicPr>
                  <pic:blipFill>
                    <a:blip r:embed="rId16"/>
                    <a:stretch>
                      <a:fillRect/>
                    </a:stretch>
                  </pic:blipFill>
                  <pic:spPr>
                    <a:xfrm>
                      <a:off x="0" y="0"/>
                      <a:ext cx="4031615" cy="2458720"/>
                    </a:xfrm>
                    <a:prstGeom prst="rect">
                      <a:avLst/>
                    </a:prstGeom>
                    <a:noFill/>
                    <a:ln>
                      <a:noFill/>
                    </a:ln>
                  </pic:spPr>
                </pic:pic>
              </a:graphicData>
            </a:graphic>
          </wp:inline>
        </w:drawing>
      </w:r>
    </w:p>
    <w:p w14:paraId="204E658B">
      <w:pPr>
        <w:pStyle w:val="4"/>
        <w:spacing w:before="0" w:after="0" w:line="360" w:lineRule="auto"/>
        <w:jc w:val="left"/>
        <w:rPr>
          <w:rFonts w:hint="default" w:ascii="Times New Roman" w:hAnsi="Times New Roman" w:eastAsia="宋体" w:cs="Times New Roman"/>
          <w:sz w:val="24"/>
          <w:u w:val="single" w:color="auto"/>
          <w:lang w:val="en-US" w:eastAsia="zh-CN"/>
        </w:rPr>
      </w:pPr>
      <w:r>
        <w:rPr>
          <w:rFonts w:hint="default" w:ascii="Times New Roman" w:hAnsi="Times New Roman" w:eastAsia="宋体" w:cs="Times New Roman"/>
          <w:sz w:val="24"/>
          <w:u w:val="single" w:color="auto"/>
        </w:rPr>
        <w:t>3.4.</w:t>
      </w:r>
      <w:r>
        <w:rPr>
          <w:rFonts w:hint="default" w:ascii="Times New Roman" w:hAnsi="Times New Roman" w:eastAsia="宋体" w:cs="Times New Roman"/>
          <w:sz w:val="24"/>
          <w:u w:val="single" w:color="auto"/>
          <w:lang w:val="en-US" w:eastAsia="zh-CN"/>
        </w:rPr>
        <w:t>7排污口设置情况</w:t>
      </w:r>
    </w:p>
    <w:p w14:paraId="5DE2A79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8"/>
          <w:u w:val="single" w:color="auto"/>
          <w:lang w:val="en-US" w:eastAsia="zh-CN"/>
        </w:rPr>
      </w:pPr>
      <w:r>
        <w:rPr>
          <w:rFonts w:hint="default" w:ascii="Times New Roman" w:hAnsi="Times New Roman" w:eastAsia="宋体" w:cs="Times New Roman"/>
          <w:color w:val="auto"/>
          <w:sz w:val="24"/>
          <w:szCs w:val="28"/>
          <w:u w:val="single" w:color="auto"/>
          <w:lang w:val="en-US" w:eastAsia="zh-CN"/>
        </w:rPr>
        <w:t>厂区初期雨水池旁已设立后期清净雨水排放口标牌。有组织废气进气口、排放口均设废气监测采样口，并粘贴标识标牌。</w:t>
      </w:r>
    </w:p>
    <w:p w14:paraId="3139BA76">
      <w:pPr>
        <w:pStyle w:val="4"/>
        <w:spacing w:before="0" w:after="0" w:line="360" w:lineRule="auto"/>
        <w:jc w:val="left"/>
        <w:rPr>
          <w:rFonts w:hint="default" w:ascii="Times New Roman" w:hAnsi="Times New Roman" w:eastAsia="宋体" w:cs="Times New Roman"/>
          <w:sz w:val="24"/>
          <w:u w:val="single" w:color="auto"/>
          <w:lang w:val="en-US" w:eastAsia="zh-CN"/>
        </w:rPr>
      </w:pPr>
      <w:r>
        <w:rPr>
          <w:rFonts w:hint="default" w:ascii="Times New Roman" w:hAnsi="Times New Roman" w:eastAsia="宋体" w:cs="Times New Roman"/>
          <w:sz w:val="24"/>
          <w:u w:val="single" w:color="auto"/>
        </w:rPr>
        <w:t>3.4.</w:t>
      </w:r>
      <w:r>
        <w:rPr>
          <w:rFonts w:hint="default" w:ascii="Times New Roman" w:hAnsi="Times New Roman" w:eastAsia="宋体" w:cs="Times New Roman"/>
          <w:sz w:val="24"/>
          <w:u w:val="single" w:color="auto"/>
          <w:lang w:val="en-US" w:eastAsia="zh-CN"/>
        </w:rPr>
        <w:t>8厂区地面防渗情况</w:t>
      </w:r>
    </w:p>
    <w:p w14:paraId="20C6710B">
      <w:pPr>
        <w:pStyle w:val="72"/>
        <w:keepNext w:val="0"/>
        <w:keepLines w:val="0"/>
        <w:pageBreakBefore w:val="0"/>
        <w:widowControl w:val="0"/>
        <w:kinsoku/>
        <w:wordWrap/>
        <w:overflowPunct/>
        <w:topLinePunct w:val="0"/>
        <w:autoSpaceDE w:val="0"/>
        <w:autoSpaceDN w:val="0"/>
        <w:bidi w:val="0"/>
        <w:adjustRightInd/>
        <w:snapToGrid/>
        <w:spacing w:line="360" w:lineRule="auto"/>
        <w:ind w:left="0" w:firstLine="480" w:firstLineChars="200"/>
        <w:textAlignment w:val="auto"/>
        <w:rPr>
          <w:rFonts w:hint="default" w:ascii="Times New Roman" w:hAnsi="Times New Roman" w:eastAsia="宋体" w:cs="Times New Roman"/>
          <w:color w:val="auto"/>
          <w:u w:val="single" w:color="auto"/>
          <w:lang w:val="en-US" w:eastAsia="zh-CN"/>
        </w:rPr>
      </w:pPr>
      <w:r>
        <w:rPr>
          <w:rFonts w:hint="default" w:ascii="Times New Roman" w:hAnsi="Times New Roman" w:eastAsia="宋体" w:cs="Times New Roman"/>
          <w:color w:val="auto"/>
          <w:u w:val="single" w:color="auto"/>
          <w:lang w:val="en-US" w:eastAsia="zh-CN"/>
        </w:rPr>
        <w:t>现有项目厂房内各危废暂存设施工程等均委托专业单位进行设计，施工期厂房内地坪已委托专业公司进行施工，并严格按照相关规范采取防腐、防渗、防流失、防风、防雨等措施，具体地坪二布四油施工剖面图详见下图。施工期已购买玻璃纤维布、树脂油、防腐树脂漆等相关物资，已严格按照设计的二布四油结构层进行施工，具体使用物资及施工过程照片详见下图：</w:t>
      </w:r>
    </w:p>
    <w:tbl>
      <w:tblPr>
        <w:tblStyle w:val="33"/>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73"/>
        <w:gridCol w:w="4249"/>
      </w:tblGrid>
      <w:tr w14:paraId="2C15F2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2" w:type="pct"/>
            <w:tcBorders>
              <w:tl2br w:val="nil"/>
              <w:tr2bl w:val="nil"/>
            </w:tcBorders>
            <w:noWrap w:val="0"/>
            <w:vAlign w:val="center"/>
          </w:tcPr>
          <w:p w14:paraId="784C9DCA">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vertAlign w:val="baseline"/>
                <w:lang w:val="en-US" w:eastAsia="zh-CN"/>
              </w:rPr>
            </w:pPr>
            <w:r>
              <w:rPr>
                <w:rFonts w:hint="default" w:ascii="Times New Roman" w:hAnsi="Times New Roman" w:eastAsia="宋体" w:cs="Times New Roman"/>
                <w:sz w:val="21"/>
                <w:szCs w:val="21"/>
                <w:u w:val="single" w:color="auto"/>
                <w:vertAlign w:val="baseline"/>
                <w:lang w:eastAsia="zh-CN"/>
              </w:rPr>
              <w:drawing>
                <wp:inline distT="0" distB="0" distL="114300" distR="114300">
                  <wp:extent cx="2590165" cy="3455035"/>
                  <wp:effectExtent l="0" t="0" r="635" b="4445"/>
                  <wp:docPr id="39" name="图片 19" descr="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90"/>
                          <pic:cNvPicPr>
                            <a:picLocks noChangeAspect="1"/>
                          </pic:cNvPicPr>
                        </pic:nvPicPr>
                        <pic:blipFill>
                          <a:blip r:embed="rId17"/>
                          <a:stretch>
                            <a:fillRect/>
                          </a:stretch>
                        </pic:blipFill>
                        <pic:spPr>
                          <a:xfrm>
                            <a:off x="0" y="0"/>
                            <a:ext cx="2590165" cy="3455035"/>
                          </a:xfrm>
                          <a:prstGeom prst="rect">
                            <a:avLst/>
                          </a:prstGeom>
                          <a:noFill/>
                          <a:ln>
                            <a:noFill/>
                          </a:ln>
                        </pic:spPr>
                      </pic:pic>
                    </a:graphicData>
                  </a:graphic>
                </wp:inline>
              </w:drawing>
            </w:r>
          </w:p>
        </w:tc>
        <w:tc>
          <w:tcPr>
            <w:tcW w:w="2497" w:type="pct"/>
            <w:tcBorders>
              <w:tl2br w:val="nil"/>
              <w:tr2bl w:val="nil"/>
            </w:tcBorders>
            <w:noWrap w:val="0"/>
            <w:vAlign w:val="center"/>
          </w:tcPr>
          <w:p w14:paraId="232D015B">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vertAlign w:val="baseline"/>
                <w:lang w:val="en-US" w:eastAsia="zh-CN"/>
              </w:rPr>
            </w:pPr>
            <w:r>
              <w:rPr>
                <w:rFonts w:hint="default" w:ascii="Times New Roman" w:hAnsi="Times New Roman" w:eastAsia="宋体" w:cs="Times New Roman"/>
                <w:sz w:val="21"/>
                <w:szCs w:val="21"/>
                <w:u w:val="single" w:color="auto"/>
                <w:vertAlign w:val="baseline"/>
                <w:lang w:val="en-US" w:eastAsia="zh-CN"/>
              </w:rPr>
              <w:drawing>
                <wp:inline distT="0" distB="0" distL="114300" distR="114300">
                  <wp:extent cx="2571115" cy="3429000"/>
                  <wp:effectExtent l="0" t="0" r="4445" b="0"/>
                  <wp:docPr id="38" name="图片 20" descr="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0" descr="96"/>
                          <pic:cNvPicPr>
                            <a:picLocks noChangeAspect="1"/>
                          </pic:cNvPicPr>
                        </pic:nvPicPr>
                        <pic:blipFill>
                          <a:blip r:embed="rId18"/>
                          <a:stretch>
                            <a:fillRect/>
                          </a:stretch>
                        </pic:blipFill>
                        <pic:spPr>
                          <a:xfrm>
                            <a:off x="0" y="0"/>
                            <a:ext cx="2571115" cy="3429000"/>
                          </a:xfrm>
                          <a:prstGeom prst="rect">
                            <a:avLst/>
                          </a:prstGeom>
                          <a:noFill/>
                          <a:ln>
                            <a:noFill/>
                          </a:ln>
                        </pic:spPr>
                      </pic:pic>
                    </a:graphicData>
                  </a:graphic>
                </wp:inline>
              </w:drawing>
            </w:r>
          </w:p>
        </w:tc>
      </w:tr>
      <w:tr w14:paraId="7F82D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2" w:type="pct"/>
            <w:tcBorders>
              <w:tl2br w:val="nil"/>
              <w:tr2bl w:val="nil"/>
            </w:tcBorders>
            <w:noWrap w:val="0"/>
            <w:vAlign w:val="center"/>
          </w:tcPr>
          <w:p w14:paraId="2F53AF8A">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vertAlign w:val="baseline"/>
                <w:lang w:val="en-US" w:eastAsia="zh-CN"/>
              </w:rPr>
            </w:pPr>
            <w:r>
              <w:rPr>
                <w:rFonts w:hint="default" w:ascii="Times New Roman" w:hAnsi="Times New Roman" w:eastAsia="宋体" w:cs="Times New Roman"/>
                <w:sz w:val="21"/>
                <w:szCs w:val="21"/>
                <w:u w:val="single" w:color="auto"/>
                <w:vertAlign w:val="baseline"/>
                <w:lang w:val="en-US" w:eastAsia="zh-CN"/>
              </w:rPr>
              <w:t>地坪面涂层施工</w:t>
            </w:r>
          </w:p>
        </w:tc>
        <w:tc>
          <w:tcPr>
            <w:tcW w:w="2497" w:type="pct"/>
            <w:tcBorders>
              <w:tl2br w:val="nil"/>
              <w:tr2bl w:val="nil"/>
            </w:tcBorders>
            <w:noWrap w:val="0"/>
            <w:vAlign w:val="center"/>
          </w:tcPr>
          <w:p w14:paraId="66316A6B">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vertAlign w:val="baseline"/>
                <w:lang w:val="en-US" w:eastAsia="zh-CN"/>
              </w:rPr>
            </w:pPr>
            <w:r>
              <w:rPr>
                <w:rFonts w:hint="default" w:ascii="Times New Roman" w:hAnsi="Times New Roman" w:eastAsia="宋体" w:cs="Times New Roman"/>
                <w:sz w:val="21"/>
                <w:szCs w:val="21"/>
                <w:u w:val="single" w:color="auto"/>
                <w:lang w:val="en-US" w:eastAsia="zh-CN"/>
              </w:rPr>
              <w:t>施工完成后效果</w:t>
            </w:r>
          </w:p>
        </w:tc>
      </w:tr>
      <w:tr w14:paraId="0F79E3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2" w:type="pct"/>
            <w:tcBorders>
              <w:tl2br w:val="nil"/>
              <w:tr2bl w:val="nil"/>
            </w:tcBorders>
            <w:noWrap w:val="0"/>
            <w:vAlign w:val="center"/>
          </w:tcPr>
          <w:p w14:paraId="340AFA35">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lang w:val="en-US" w:eastAsia="zh-CN"/>
              </w:rPr>
              <w:drawing>
                <wp:inline distT="0" distB="0" distL="114300" distR="114300">
                  <wp:extent cx="2476500" cy="3302000"/>
                  <wp:effectExtent l="0" t="0" r="7620" b="5080"/>
                  <wp:docPr id="43" name="图片 21"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1" descr="77"/>
                          <pic:cNvPicPr>
                            <a:picLocks noChangeAspect="1"/>
                          </pic:cNvPicPr>
                        </pic:nvPicPr>
                        <pic:blipFill>
                          <a:blip r:embed="rId19"/>
                          <a:stretch>
                            <a:fillRect/>
                          </a:stretch>
                        </pic:blipFill>
                        <pic:spPr>
                          <a:xfrm>
                            <a:off x="0" y="0"/>
                            <a:ext cx="2476500" cy="3302000"/>
                          </a:xfrm>
                          <a:prstGeom prst="rect">
                            <a:avLst/>
                          </a:prstGeom>
                          <a:noFill/>
                          <a:ln>
                            <a:noFill/>
                          </a:ln>
                        </pic:spPr>
                      </pic:pic>
                    </a:graphicData>
                  </a:graphic>
                </wp:inline>
              </w:drawing>
            </w:r>
          </w:p>
        </w:tc>
        <w:tc>
          <w:tcPr>
            <w:tcW w:w="2497" w:type="pct"/>
            <w:tcBorders>
              <w:tl2br w:val="nil"/>
              <w:tr2bl w:val="nil"/>
            </w:tcBorders>
            <w:noWrap w:val="0"/>
            <w:vAlign w:val="center"/>
          </w:tcPr>
          <w:p w14:paraId="3582AFA7">
            <w:pPr>
              <w:keepNext w:val="0"/>
              <w:keepLines w:val="0"/>
              <w:suppressLineNumbers w:val="0"/>
              <w:bidi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rPr>
            </w:pPr>
            <w:r>
              <w:rPr>
                <w:rFonts w:hint="default" w:ascii="Times New Roman" w:hAnsi="Times New Roman" w:eastAsia="宋体" w:cs="Times New Roman"/>
                <w:sz w:val="21"/>
                <w:szCs w:val="21"/>
                <w:u w:val="single" w:color="auto"/>
                <w:vertAlign w:val="baseline"/>
                <w:lang w:eastAsia="zh-CN"/>
              </w:rPr>
              <w:drawing>
                <wp:inline distT="0" distB="0" distL="114300" distR="114300">
                  <wp:extent cx="2421890" cy="3229610"/>
                  <wp:effectExtent l="0" t="0" r="1270" b="1270"/>
                  <wp:docPr id="37" name="图片 22"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2" descr="89"/>
                          <pic:cNvPicPr>
                            <a:picLocks noChangeAspect="1"/>
                          </pic:cNvPicPr>
                        </pic:nvPicPr>
                        <pic:blipFill>
                          <a:blip r:embed="rId20"/>
                          <a:stretch>
                            <a:fillRect/>
                          </a:stretch>
                        </pic:blipFill>
                        <pic:spPr>
                          <a:xfrm>
                            <a:off x="0" y="0"/>
                            <a:ext cx="2421890" cy="3229610"/>
                          </a:xfrm>
                          <a:prstGeom prst="rect">
                            <a:avLst/>
                          </a:prstGeom>
                          <a:noFill/>
                          <a:ln>
                            <a:noFill/>
                          </a:ln>
                        </pic:spPr>
                      </pic:pic>
                    </a:graphicData>
                  </a:graphic>
                </wp:inline>
              </w:drawing>
            </w:r>
          </w:p>
        </w:tc>
      </w:tr>
    </w:tbl>
    <w:p w14:paraId="3D01A183">
      <w:pPr>
        <w:pStyle w:val="116"/>
        <w:jc w:val="center"/>
        <w:rPr>
          <w:rFonts w:hint="default" w:ascii="Times New Roman" w:hAnsi="Times New Roman" w:eastAsia="宋体" w:cs="Times New Roman"/>
          <w:b w:val="0"/>
          <w:bCs w:val="0"/>
          <w:color w:val="auto"/>
          <w:sz w:val="21"/>
          <w:szCs w:val="21"/>
          <w:u w:val="single" w:color="auto"/>
          <w:lang w:val="en-US" w:eastAsia="zh-CN"/>
        </w:rPr>
      </w:pPr>
      <w:r>
        <w:rPr>
          <w:rFonts w:hint="default" w:ascii="Times New Roman" w:hAnsi="Times New Roman" w:eastAsia="宋体" w:cs="Times New Roman"/>
          <w:b w:val="0"/>
          <w:bCs w:val="0"/>
          <w:color w:val="auto"/>
          <w:sz w:val="21"/>
          <w:szCs w:val="21"/>
          <w:u w:val="single" w:color="auto"/>
          <w:lang w:val="en-US" w:eastAsia="zh-CN"/>
        </w:rPr>
        <w:t>施工期使用的玻璃纤维布、树脂油、防腐树脂漆等物资</w:t>
      </w:r>
    </w:p>
    <w:p w14:paraId="293C2119">
      <w:pPr>
        <w:rPr>
          <w:rFonts w:hint="default" w:ascii="Times New Roman" w:hAnsi="Times New Roman" w:eastAsia="宋体" w:cs="Times New Roman"/>
          <w:u w:val="single" w:color="auto"/>
          <w:lang w:val="en-US" w:eastAsia="zh-CN"/>
        </w:rPr>
      </w:pPr>
    </w:p>
    <w:p w14:paraId="693E0F58">
      <w:pPr>
        <w:jc w:val="center"/>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drawing>
          <wp:inline distT="0" distB="0" distL="114300" distR="114300">
            <wp:extent cx="4686300" cy="3905250"/>
            <wp:effectExtent l="0" t="0" r="7620" b="11430"/>
            <wp:docPr id="3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8"/>
                    <pic:cNvPicPr>
                      <a:picLocks noChangeAspect="1"/>
                    </pic:cNvPicPr>
                  </pic:nvPicPr>
                  <pic:blipFill>
                    <a:blip r:embed="rId21"/>
                    <a:srcRect b="2148"/>
                    <a:stretch>
                      <a:fillRect/>
                    </a:stretch>
                  </pic:blipFill>
                  <pic:spPr>
                    <a:xfrm>
                      <a:off x="0" y="0"/>
                      <a:ext cx="4686300" cy="3905250"/>
                    </a:xfrm>
                    <a:prstGeom prst="rect">
                      <a:avLst/>
                    </a:prstGeom>
                    <a:noFill/>
                    <a:ln>
                      <a:noFill/>
                    </a:ln>
                  </pic:spPr>
                </pic:pic>
              </a:graphicData>
            </a:graphic>
          </wp:inline>
        </w:drawing>
      </w:r>
    </w:p>
    <w:p w14:paraId="5775F020">
      <w:pPr>
        <w:pStyle w:val="4"/>
        <w:pageBreakBefore w:val="0"/>
        <w:widowControl w:val="0"/>
        <w:kinsoku/>
        <w:wordWrap/>
        <w:overflowPunct/>
        <w:topLinePunct w:val="0"/>
        <w:bidi w:val="0"/>
        <w:adjustRightInd/>
        <w:snapToGrid/>
        <w:spacing w:before="0" w:after="0" w:line="360" w:lineRule="auto"/>
        <w:jc w:val="left"/>
        <w:textAlignment w:val="auto"/>
        <w:rPr>
          <w:rFonts w:hint="default" w:ascii="Times New Roman" w:hAnsi="Times New Roman" w:eastAsia="宋体" w:cs="Times New Roman"/>
          <w:sz w:val="24"/>
          <w:u w:val="single" w:color="auto"/>
          <w:lang w:val="en-US" w:eastAsia="zh-CN"/>
        </w:rPr>
      </w:pPr>
      <w:r>
        <w:rPr>
          <w:rFonts w:hint="default" w:ascii="Times New Roman" w:hAnsi="Times New Roman" w:eastAsia="宋体" w:cs="Times New Roman"/>
          <w:sz w:val="24"/>
          <w:u w:val="single" w:color="auto"/>
        </w:rPr>
        <w:t>3.4.</w:t>
      </w:r>
      <w:r>
        <w:rPr>
          <w:rFonts w:hint="default" w:ascii="Times New Roman" w:hAnsi="Times New Roman" w:eastAsia="宋体" w:cs="Times New Roman"/>
          <w:sz w:val="24"/>
          <w:u w:val="single" w:color="auto"/>
          <w:lang w:val="en-US" w:eastAsia="zh-CN"/>
        </w:rPr>
        <w:t>9危废收集、贮存、转运情况</w:t>
      </w:r>
    </w:p>
    <w:p w14:paraId="5E15908D">
      <w:pPr>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sz w:val="24"/>
          <w:szCs w:val="24"/>
          <w:u w:val="single" w:color="auto"/>
          <w:lang w:val="en-US" w:eastAsia="zh-CN"/>
        </w:rPr>
      </w:pPr>
      <w:r>
        <w:rPr>
          <w:rFonts w:hint="default" w:ascii="Times New Roman" w:hAnsi="Times New Roman" w:eastAsia="宋体" w:cs="Times New Roman"/>
          <w:color w:val="000000"/>
          <w:kern w:val="0"/>
          <w:sz w:val="24"/>
          <w:szCs w:val="24"/>
          <w:u w:val="single" w:color="auto"/>
          <w:lang w:val="en-US" w:eastAsia="zh-CN" w:bidi="ar"/>
        </w:rPr>
        <w:t>现有项目目前实际仅收集贮存衡阳湘环环保科技有限公司危废经营许可证上的各类危险废物，不包括厂外运输、转移及处理处置，结合《危险废物收集贮存运输技术规范》（HJ 2025-2012）中装卸转运和贮存相关内容，现有项目的执行具体如下：</w:t>
      </w:r>
    </w:p>
    <w:p w14:paraId="6D394D3C">
      <w:pPr>
        <w:pStyle w:val="72"/>
        <w:pageBreakBefore w:val="0"/>
        <w:widowControl w:val="0"/>
        <w:kinsoku/>
        <w:wordWrap/>
        <w:overflowPunct/>
        <w:topLinePunct w:val="0"/>
        <w:bidi w:val="0"/>
        <w:adjustRightInd/>
        <w:snapToGrid/>
        <w:spacing w:line="360" w:lineRule="auto"/>
        <w:ind w:left="0" w:leftChars="0" w:firstLine="0" w:firstLineChars="0"/>
        <w:jc w:val="center"/>
        <w:textAlignment w:val="auto"/>
        <w:rPr>
          <w:rFonts w:hint="default" w:ascii="Times New Roman" w:hAnsi="Times New Roman" w:eastAsia="宋体" w:cs="Times New Roman"/>
          <w:b/>
          <w:bCs/>
          <w:sz w:val="21"/>
          <w:szCs w:val="20"/>
          <w:u w:val="single" w:color="auto"/>
          <w:lang w:val="en-US" w:eastAsia="zh-CN"/>
        </w:rPr>
      </w:pPr>
      <w:r>
        <w:rPr>
          <w:rFonts w:hint="default" w:ascii="Times New Roman" w:hAnsi="Times New Roman" w:eastAsia="宋体" w:cs="Times New Roman"/>
          <w:b/>
          <w:bCs/>
          <w:sz w:val="21"/>
          <w:szCs w:val="20"/>
          <w:u w:val="single" w:color="auto"/>
          <w:lang w:val="zh-CN" w:eastAsia="zh-CN"/>
        </w:rPr>
        <w:t>表</w:t>
      </w:r>
      <w:r>
        <w:rPr>
          <w:rFonts w:hint="default" w:ascii="Times New Roman" w:hAnsi="Times New Roman" w:eastAsia="宋体" w:cs="Times New Roman"/>
          <w:b/>
          <w:bCs/>
          <w:sz w:val="21"/>
          <w:szCs w:val="20"/>
          <w:u w:val="single" w:color="auto"/>
          <w:lang w:val="en-US" w:eastAsia="zh-CN"/>
        </w:rPr>
        <w:t>3.4-1  与《危险废物收集贮存运输技术规范》要求内容</w:t>
      </w:r>
    </w:p>
    <w:tbl>
      <w:tblPr>
        <w:tblStyle w:val="33"/>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8"/>
        <w:gridCol w:w="3571"/>
        <w:gridCol w:w="3225"/>
        <w:gridCol w:w="985"/>
      </w:tblGrid>
      <w:tr w14:paraId="64B0F2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14:paraId="7DDE067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bCs/>
                <w:color w:val="auto"/>
                <w:sz w:val="24"/>
                <w:szCs w:val="24"/>
                <w:u w:val="single" w:color="auto"/>
                <w:lang w:val="en-US" w:eastAsia="zh-CN"/>
              </w:rPr>
            </w:pPr>
            <w:r>
              <w:rPr>
                <w:rFonts w:hint="default" w:ascii="Times New Roman" w:hAnsi="Times New Roman" w:eastAsia="宋体" w:cs="Times New Roman"/>
                <w:b/>
                <w:bCs/>
                <w:color w:val="auto"/>
                <w:sz w:val="24"/>
                <w:szCs w:val="24"/>
                <w:u w:val="single" w:color="auto"/>
                <w:lang w:val="en-US" w:eastAsia="zh-CN"/>
              </w:rPr>
              <w:t>项目</w:t>
            </w:r>
          </w:p>
        </w:tc>
        <w:tc>
          <w:tcPr>
            <w:tcW w:w="2095" w:type="pct"/>
            <w:tcBorders>
              <w:tl2br w:val="nil"/>
              <w:tr2bl w:val="nil"/>
            </w:tcBorders>
            <w:noWrap w:val="0"/>
            <w:vAlign w:val="center"/>
          </w:tcPr>
          <w:p w14:paraId="741FC338">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bCs/>
                <w:color w:val="auto"/>
                <w:sz w:val="24"/>
                <w:szCs w:val="24"/>
                <w:u w:val="single" w:color="auto"/>
                <w:lang w:val="en-US" w:eastAsia="zh-CN"/>
              </w:rPr>
            </w:pPr>
            <w:r>
              <w:rPr>
                <w:rFonts w:hint="default" w:ascii="Times New Roman" w:hAnsi="Times New Roman" w:eastAsia="宋体" w:cs="Times New Roman"/>
                <w:b/>
                <w:bCs/>
                <w:color w:val="auto"/>
                <w:sz w:val="24"/>
                <w:szCs w:val="24"/>
                <w:u w:val="single" w:color="auto"/>
                <w:lang w:val="en-US" w:eastAsia="zh-CN"/>
              </w:rPr>
              <w:t>规范要求</w:t>
            </w:r>
          </w:p>
        </w:tc>
        <w:tc>
          <w:tcPr>
            <w:tcW w:w="1892" w:type="pct"/>
            <w:tcBorders>
              <w:tl2br w:val="nil"/>
              <w:tr2bl w:val="nil"/>
            </w:tcBorders>
            <w:noWrap w:val="0"/>
            <w:vAlign w:val="center"/>
          </w:tcPr>
          <w:p w14:paraId="3779B333">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bCs/>
                <w:color w:val="auto"/>
                <w:sz w:val="24"/>
                <w:szCs w:val="24"/>
                <w:u w:val="single" w:color="auto"/>
                <w:lang w:val="en-US" w:eastAsia="zh-CN"/>
              </w:rPr>
            </w:pPr>
            <w:r>
              <w:rPr>
                <w:rFonts w:hint="default" w:ascii="Times New Roman" w:hAnsi="Times New Roman" w:eastAsia="宋体" w:cs="Times New Roman"/>
                <w:b/>
                <w:bCs/>
                <w:color w:val="auto"/>
                <w:sz w:val="24"/>
                <w:szCs w:val="24"/>
                <w:u w:val="single" w:color="auto"/>
                <w:lang w:val="en-US" w:eastAsia="zh-CN"/>
              </w:rPr>
              <w:t>现有项目情况</w:t>
            </w:r>
          </w:p>
        </w:tc>
        <w:tc>
          <w:tcPr>
            <w:tcW w:w="578" w:type="pct"/>
            <w:tcBorders>
              <w:tl2br w:val="nil"/>
              <w:tr2bl w:val="nil"/>
            </w:tcBorders>
            <w:noWrap w:val="0"/>
            <w:vAlign w:val="center"/>
          </w:tcPr>
          <w:p w14:paraId="19632857">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b/>
                <w:bCs/>
                <w:color w:val="auto"/>
                <w:sz w:val="24"/>
                <w:szCs w:val="24"/>
                <w:u w:val="single" w:color="auto"/>
                <w:lang w:val="en-US" w:eastAsia="zh-CN"/>
              </w:rPr>
            </w:pPr>
            <w:r>
              <w:rPr>
                <w:rFonts w:hint="default" w:ascii="Times New Roman" w:hAnsi="Times New Roman" w:eastAsia="宋体" w:cs="Times New Roman"/>
                <w:b/>
                <w:bCs/>
                <w:color w:val="auto"/>
                <w:sz w:val="24"/>
                <w:szCs w:val="24"/>
                <w:u w:val="single" w:color="auto"/>
                <w:lang w:val="en-US" w:eastAsia="zh-CN"/>
              </w:rPr>
              <w:t>符合性</w:t>
            </w:r>
          </w:p>
        </w:tc>
      </w:tr>
      <w:tr w14:paraId="30B50F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restart"/>
            <w:tcBorders>
              <w:tl2br w:val="nil"/>
              <w:tr2bl w:val="nil"/>
            </w:tcBorders>
            <w:noWrap w:val="0"/>
            <w:vAlign w:val="center"/>
          </w:tcPr>
          <w:p w14:paraId="6310AB12">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危险废物的收集</w:t>
            </w:r>
          </w:p>
        </w:tc>
        <w:tc>
          <w:tcPr>
            <w:tcW w:w="2095" w:type="pct"/>
            <w:tcBorders>
              <w:tl2br w:val="nil"/>
              <w:tr2bl w:val="nil"/>
            </w:tcBorders>
            <w:noWrap w:val="0"/>
            <w:vAlign w:val="center"/>
          </w:tcPr>
          <w:p w14:paraId="5581C09F">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5.3 危险废物的收集应制定详细的操作规程，内容至少应包括适用范围、操作程序和方法、专用设备和工具、转移和交接、安全保障和应急防护等。</w:t>
            </w:r>
          </w:p>
        </w:tc>
        <w:tc>
          <w:tcPr>
            <w:tcW w:w="1892" w:type="pct"/>
            <w:tcBorders>
              <w:tl2br w:val="nil"/>
              <w:tr2bl w:val="nil"/>
            </w:tcBorders>
            <w:noWrap w:val="0"/>
            <w:vAlign w:val="center"/>
          </w:tcPr>
          <w:p w14:paraId="5B229747">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项目危险废物在收集时已制定详细的操作规程，内容包括适用范围、操作程序和方法、专用设备和工具、转移和交接、安全保障和应急防护等。</w:t>
            </w:r>
          </w:p>
        </w:tc>
        <w:tc>
          <w:tcPr>
            <w:tcW w:w="578" w:type="pct"/>
            <w:tcBorders>
              <w:tl2br w:val="nil"/>
              <w:tr2bl w:val="nil"/>
            </w:tcBorders>
            <w:noWrap w:val="0"/>
            <w:vAlign w:val="center"/>
          </w:tcPr>
          <w:p w14:paraId="53BAC705">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13F4B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1C5BDCE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726C7532">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5.4 危险废物收集和转运作业人员应根据工作需要配备必要的个人防护装备，如手套、防护镜、防护服、防毒面具或口罩等。</w:t>
            </w:r>
          </w:p>
        </w:tc>
        <w:tc>
          <w:tcPr>
            <w:tcW w:w="1892" w:type="pct"/>
            <w:tcBorders>
              <w:tl2br w:val="nil"/>
              <w:tr2bl w:val="nil"/>
            </w:tcBorders>
            <w:noWrap w:val="0"/>
            <w:vAlign w:val="center"/>
          </w:tcPr>
          <w:p w14:paraId="30804BA6">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项目危险废物收集和转运作业人员已配备手套、防护镜、防护服、防毒面具或口罩等必要的个人防护装备。</w:t>
            </w:r>
          </w:p>
        </w:tc>
        <w:tc>
          <w:tcPr>
            <w:tcW w:w="578" w:type="pct"/>
            <w:tcBorders>
              <w:tl2br w:val="nil"/>
              <w:tr2bl w:val="nil"/>
            </w:tcBorders>
            <w:noWrap w:val="0"/>
            <w:vAlign w:val="center"/>
          </w:tcPr>
          <w:p w14:paraId="21E9EEF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1E6F5A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17E634DB">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07CFD773">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5.5 在危险废物的收集和转运过程中，应采取相应的安全防护和污染防治措施，包括防爆、防火、防中毒、防感染、防泄漏、防飞扬、防雨或其它防止污染环境的措施。</w:t>
            </w:r>
          </w:p>
        </w:tc>
        <w:tc>
          <w:tcPr>
            <w:tcW w:w="1892" w:type="pct"/>
            <w:tcBorders>
              <w:tl2br w:val="nil"/>
              <w:tr2bl w:val="nil"/>
            </w:tcBorders>
            <w:noWrap w:val="0"/>
            <w:vAlign w:val="center"/>
          </w:tcPr>
          <w:p w14:paraId="75CFFD55">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在危险废物的收集和转运过程中已采取防火、防中毒、防感染、防泄漏、防飞扬、防雨等防止污染环境的措施和安全防护措施。</w:t>
            </w:r>
          </w:p>
        </w:tc>
        <w:tc>
          <w:tcPr>
            <w:tcW w:w="578" w:type="pct"/>
            <w:tcBorders>
              <w:tl2br w:val="nil"/>
              <w:tr2bl w:val="nil"/>
            </w:tcBorders>
            <w:noWrap w:val="0"/>
            <w:vAlign w:val="center"/>
          </w:tcPr>
          <w:p w14:paraId="219FE1E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77947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50B24C98">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1CA0841C">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5.6 危险废物收集时应根据危险废物的种类、数量、危险特性、物理形态、运输要求等因素确定包装形式，具体包装应符合如下要求：（1）包装材质要与危险废物相容，可根据废物特性选择钢、铝、塑料等材质。（2）性质类似的废物可收集到同一容器中，性质不相容的危险废物不应混合包装。（3）危险废物包装应能有效隔断危险废物迁移扩散途径，并达到防渗防漏要求。（4）包装好的危险废物应设置相应的标签，标签信息应填写完整翔实。（5）盛装过危险废物的包装袋或包装容器破损后应按危险废物进行管理和处置。（6）危险废物还应根据GB12463的有关要求进行运输包装</w:t>
            </w:r>
          </w:p>
        </w:tc>
        <w:tc>
          <w:tcPr>
            <w:tcW w:w="1892" w:type="pct"/>
            <w:tcBorders>
              <w:tl2br w:val="nil"/>
              <w:tr2bl w:val="nil"/>
            </w:tcBorders>
            <w:noWrap w:val="0"/>
            <w:vAlign w:val="center"/>
          </w:tcPr>
          <w:p w14:paraId="1E770CF7">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危险废物收集时已根据危险废物的种类、数量、危险特性、物理形态、运输要求等因素确定包装形式包装材质与危险废物相容；性质不相容的危险废物不混合包装；包装可达到防渗防漏要求；包装容器外设置相应完整的标签信息；破损的包装桶按危险废物进行管理和处置；危险废物运输包装根据GB12463的有关要求进行。</w:t>
            </w:r>
          </w:p>
        </w:tc>
        <w:tc>
          <w:tcPr>
            <w:tcW w:w="578" w:type="pct"/>
            <w:tcBorders>
              <w:tl2br w:val="nil"/>
              <w:tr2bl w:val="nil"/>
            </w:tcBorders>
            <w:noWrap w:val="0"/>
            <w:vAlign w:val="center"/>
          </w:tcPr>
          <w:p w14:paraId="4B3E6E83">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6CD0C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625FA8AC">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10FD3A56">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5.7 危险废物的收集作业应满足如下要求：（1）应根据收集设备、转运车辆以及现场人员等实际情况确定相应作业区域，同时要设置作业界限标志和警示牌。（2）作业区域内应设置危险废物收集专用通道和人员避险通道。（3）收集时应配备必要的收集工具和包装物，以及必要的应急监测设备及应急装备。（4）危险废物收集应参照本标准附录A填写记录表，并将记录表作为危险废物管理的重要档案妥善保存。（5）收集结束后应清理和恢复收集作业区域，确保作业区域环境整洁安全。（6）收集过危险废物的容器、设备、设施、场所及其它物品转作它用时，应消除污染，确保其使用安全。</w:t>
            </w:r>
          </w:p>
        </w:tc>
        <w:tc>
          <w:tcPr>
            <w:tcW w:w="1892" w:type="pct"/>
            <w:tcBorders>
              <w:tl2br w:val="nil"/>
              <w:tr2bl w:val="nil"/>
            </w:tcBorders>
            <w:noWrap w:val="0"/>
            <w:vAlign w:val="center"/>
          </w:tcPr>
          <w:p w14:paraId="0C72EF5F">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危险废物的收集作业时已根据收集设备、转运车辆以及现场人员等实际情况确定相应作业区域，同时设置作业界限标志和警示牌；作业区域内应设置危险废物收集专用通道和人员避险通道；收集时已配备必要的收集工具和包装物，以及必要的应急监测设备及应急装备；危险废物收集已填写记录表并存档；收集结束后都清理和恢复收集作业区域，作业区域保持环境整洁安全；收集过危险废物的容器、设备、设施、场所及其它物品转作它用时，将消除污染，确保其使用安全。</w:t>
            </w:r>
          </w:p>
        </w:tc>
        <w:tc>
          <w:tcPr>
            <w:tcW w:w="578" w:type="pct"/>
            <w:tcBorders>
              <w:tl2br w:val="nil"/>
              <w:tr2bl w:val="nil"/>
            </w:tcBorders>
            <w:noWrap w:val="0"/>
            <w:vAlign w:val="center"/>
          </w:tcPr>
          <w:p w14:paraId="229D3A88">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10666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433" w:type="pct"/>
            <w:vMerge w:val="restart"/>
            <w:tcBorders>
              <w:tl2br w:val="nil"/>
              <w:tr2bl w:val="nil"/>
            </w:tcBorders>
            <w:noWrap w:val="0"/>
            <w:vAlign w:val="center"/>
          </w:tcPr>
          <w:p w14:paraId="6C19622B">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危险废物的贮存</w:t>
            </w:r>
          </w:p>
        </w:tc>
        <w:tc>
          <w:tcPr>
            <w:tcW w:w="2095" w:type="pct"/>
            <w:tcBorders>
              <w:tl2br w:val="nil"/>
              <w:tr2bl w:val="nil"/>
            </w:tcBorders>
            <w:noWrap w:val="0"/>
            <w:vAlign w:val="center"/>
          </w:tcPr>
          <w:p w14:paraId="02E3B5E5">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6.2 危险废物贮存设施的选址、设计、建设、运行管理应满足GB18597、GBZ1和GBZ2的有关要求。</w:t>
            </w:r>
          </w:p>
        </w:tc>
        <w:tc>
          <w:tcPr>
            <w:tcW w:w="1892" w:type="pct"/>
            <w:tcBorders>
              <w:tl2br w:val="nil"/>
              <w:tr2bl w:val="nil"/>
            </w:tcBorders>
            <w:noWrap w:val="0"/>
            <w:vAlign w:val="center"/>
          </w:tcPr>
          <w:p w14:paraId="11A7FC9A">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项目危险废物贮存设施的选址、设计、建设均按照相关规范要求完成，后期运行管理将严格按照有关要求规范操作执行。</w:t>
            </w:r>
          </w:p>
        </w:tc>
        <w:tc>
          <w:tcPr>
            <w:tcW w:w="578" w:type="pct"/>
            <w:tcBorders>
              <w:tl2br w:val="nil"/>
              <w:tr2bl w:val="nil"/>
            </w:tcBorders>
            <w:noWrap w:val="0"/>
            <w:vAlign w:val="center"/>
          </w:tcPr>
          <w:p w14:paraId="1177083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2BEA47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1611B094">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58B99305">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6.3 危险废物贮存设施应配备通讯设备、照明设施和消防设施。</w:t>
            </w:r>
          </w:p>
        </w:tc>
        <w:tc>
          <w:tcPr>
            <w:tcW w:w="1892" w:type="pct"/>
            <w:tcBorders>
              <w:tl2br w:val="nil"/>
              <w:tr2bl w:val="nil"/>
            </w:tcBorders>
            <w:noWrap w:val="0"/>
            <w:vAlign w:val="center"/>
          </w:tcPr>
          <w:p w14:paraId="19EC002A">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项目贮存设施已配备有通讯设备、照明设施和消防设施等。</w:t>
            </w:r>
          </w:p>
        </w:tc>
        <w:tc>
          <w:tcPr>
            <w:tcW w:w="578" w:type="pct"/>
            <w:tcBorders>
              <w:tl2br w:val="nil"/>
              <w:tr2bl w:val="nil"/>
            </w:tcBorders>
            <w:noWrap w:val="0"/>
            <w:vAlign w:val="center"/>
          </w:tcPr>
          <w:p w14:paraId="2AF6D53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0A89F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0C2658B7">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47340E6C">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6.4 贮存危险废物时应按危险废物的种类和特性进行分区贮存，每个贮存区域之间宜设置挡墙间隔，并应设置防雨、防火、防雷、防扬尘装置。</w:t>
            </w:r>
          </w:p>
        </w:tc>
        <w:tc>
          <w:tcPr>
            <w:tcW w:w="1892" w:type="pct"/>
            <w:tcBorders>
              <w:tl2br w:val="nil"/>
              <w:tr2bl w:val="nil"/>
            </w:tcBorders>
            <w:noWrap w:val="0"/>
            <w:vAlign w:val="center"/>
          </w:tcPr>
          <w:p w14:paraId="264AF3C3">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项目设有废矿物油贮存区和其它危废贮存区，库房内根据危险废物的种类和特性设置挡墙间隔分区，并设置有防雨、防火、防雷、防扬尘装置。</w:t>
            </w:r>
          </w:p>
        </w:tc>
        <w:tc>
          <w:tcPr>
            <w:tcW w:w="578" w:type="pct"/>
            <w:tcBorders>
              <w:tl2br w:val="nil"/>
              <w:tr2bl w:val="nil"/>
            </w:tcBorders>
            <w:noWrap w:val="0"/>
            <w:vAlign w:val="center"/>
          </w:tcPr>
          <w:p w14:paraId="685DDBB8">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6BE46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63036A83">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239364F1">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6.5 贮存易燃易爆危险废物应配置有机气体报警、火灾报警装置和导出静电的接地装置。</w:t>
            </w:r>
          </w:p>
        </w:tc>
        <w:tc>
          <w:tcPr>
            <w:tcW w:w="1892" w:type="pct"/>
            <w:tcBorders>
              <w:tl2br w:val="nil"/>
              <w:tr2bl w:val="nil"/>
            </w:tcBorders>
            <w:noWrap w:val="0"/>
            <w:vAlign w:val="center"/>
          </w:tcPr>
          <w:p w14:paraId="04AA13D2">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项目贮存的有机液体废物采用密闭桶盛装，挥发量很少，贮存物质可能具有易燃性，贮存库配置有火灾报警装置。</w:t>
            </w:r>
          </w:p>
        </w:tc>
        <w:tc>
          <w:tcPr>
            <w:tcW w:w="578" w:type="pct"/>
            <w:tcBorders>
              <w:tl2br w:val="nil"/>
              <w:tr2bl w:val="nil"/>
            </w:tcBorders>
            <w:noWrap w:val="0"/>
            <w:vAlign w:val="center"/>
          </w:tcPr>
          <w:p w14:paraId="19B9C6AF">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69D7CC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01655043">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1C7BF96B">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6.6 废弃危险化学品贮存应满足GB15603、《危险化学品安全管理条例》、《废弃危险化学品污染环境防治办法》的要求。</w:t>
            </w:r>
          </w:p>
        </w:tc>
        <w:tc>
          <w:tcPr>
            <w:tcW w:w="1892" w:type="pct"/>
            <w:tcBorders>
              <w:tl2br w:val="nil"/>
              <w:tr2bl w:val="nil"/>
            </w:tcBorders>
            <w:noWrap w:val="0"/>
            <w:vAlign w:val="center"/>
          </w:tcPr>
          <w:p w14:paraId="4A001F4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项目涉及的废弃危险化学品贮存满足GB 15603、《危险化学品安全管理条例》、《废弃危险化学品污染环境防治办法》的要求。</w:t>
            </w:r>
          </w:p>
        </w:tc>
        <w:tc>
          <w:tcPr>
            <w:tcW w:w="578" w:type="pct"/>
            <w:tcBorders>
              <w:tl2br w:val="nil"/>
              <w:tr2bl w:val="nil"/>
            </w:tcBorders>
            <w:noWrap w:val="0"/>
            <w:vAlign w:val="center"/>
          </w:tcPr>
          <w:p w14:paraId="6D6585B8">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29E6E3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14421225">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18D11EAE">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6.7 危险废物贮存期限应符合《中华人民共和国固体废物污染环境防治法》的有关规定。</w:t>
            </w:r>
          </w:p>
        </w:tc>
        <w:tc>
          <w:tcPr>
            <w:tcW w:w="1892" w:type="pct"/>
            <w:tcBorders>
              <w:tl2br w:val="nil"/>
              <w:tr2bl w:val="nil"/>
            </w:tcBorders>
            <w:noWrap w:val="0"/>
            <w:vAlign w:val="center"/>
          </w:tcPr>
          <w:p w14:paraId="606B30A6">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本项目危险废物贮存最长期限小于1年，符合《中华人民共和国固体废物污染环境防治法》中贮存危险废物一般不得超过一年的规定。</w:t>
            </w:r>
          </w:p>
        </w:tc>
        <w:tc>
          <w:tcPr>
            <w:tcW w:w="578" w:type="pct"/>
            <w:tcBorders>
              <w:tl2br w:val="nil"/>
              <w:tr2bl w:val="nil"/>
            </w:tcBorders>
            <w:noWrap w:val="0"/>
            <w:vAlign w:val="center"/>
          </w:tcPr>
          <w:p w14:paraId="6E3F7E30">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62AF75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5B91490A">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5BE12ECE">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6.8 危险废物贮存单位应建立危险废物贮存的</w:t>
            </w:r>
            <w:r>
              <w:rPr>
                <w:rFonts w:hint="eastAsia" w:ascii="Times New Roman" w:hAnsi="Times New Roman" w:cs="Times New Roman"/>
                <w:color w:val="auto"/>
                <w:sz w:val="24"/>
                <w:szCs w:val="24"/>
                <w:u w:val="single" w:color="auto"/>
                <w:lang w:val="en-US" w:eastAsia="zh-CN"/>
              </w:rPr>
              <w:t>台账</w:t>
            </w:r>
            <w:r>
              <w:rPr>
                <w:rFonts w:hint="default" w:ascii="Times New Roman" w:hAnsi="Times New Roman" w:eastAsia="宋体" w:cs="Times New Roman"/>
                <w:color w:val="auto"/>
                <w:sz w:val="24"/>
                <w:szCs w:val="24"/>
                <w:u w:val="single" w:color="auto"/>
                <w:lang w:val="en-US" w:eastAsia="zh-CN"/>
              </w:rPr>
              <w:t>，危险废物出入库交接记录内容应参照本标准附录C执行。</w:t>
            </w:r>
          </w:p>
        </w:tc>
        <w:tc>
          <w:tcPr>
            <w:tcW w:w="1892" w:type="pct"/>
            <w:tcBorders>
              <w:tl2br w:val="nil"/>
              <w:tr2bl w:val="nil"/>
            </w:tcBorders>
            <w:noWrap w:val="0"/>
            <w:vAlign w:val="center"/>
          </w:tcPr>
          <w:p w14:paraId="12E8F531">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项目设有危险废物贮存的</w:t>
            </w:r>
            <w:r>
              <w:rPr>
                <w:rFonts w:hint="eastAsia" w:ascii="Times New Roman" w:hAnsi="Times New Roman" w:cs="Times New Roman"/>
                <w:color w:val="auto"/>
                <w:sz w:val="24"/>
                <w:szCs w:val="24"/>
                <w:u w:val="single" w:color="auto"/>
                <w:lang w:val="en-US" w:eastAsia="zh-CN"/>
              </w:rPr>
              <w:t>台账</w:t>
            </w:r>
            <w:r>
              <w:rPr>
                <w:rFonts w:hint="default" w:ascii="Times New Roman" w:hAnsi="Times New Roman" w:eastAsia="宋体" w:cs="Times New Roman"/>
                <w:color w:val="auto"/>
                <w:sz w:val="24"/>
                <w:szCs w:val="24"/>
                <w:u w:val="single" w:color="auto"/>
                <w:lang w:val="en-US" w:eastAsia="zh-CN"/>
              </w:rPr>
              <w:t>，危废出入库交接记录内容已参照HJ2025附录C执行。</w:t>
            </w:r>
          </w:p>
        </w:tc>
        <w:tc>
          <w:tcPr>
            <w:tcW w:w="578" w:type="pct"/>
            <w:tcBorders>
              <w:tl2br w:val="nil"/>
              <w:tr2bl w:val="nil"/>
            </w:tcBorders>
            <w:noWrap w:val="0"/>
            <w:vAlign w:val="center"/>
          </w:tcPr>
          <w:p w14:paraId="6F429B1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6DCF06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vMerge w:val="continue"/>
            <w:tcBorders>
              <w:tl2br w:val="nil"/>
              <w:tr2bl w:val="nil"/>
            </w:tcBorders>
            <w:noWrap w:val="0"/>
            <w:vAlign w:val="center"/>
          </w:tcPr>
          <w:p w14:paraId="09F4EF86">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p>
        </w:tc>
        <w:tc>
          <w:tcPr>
            <w:tcW w:w="2095" w:type="pct"/>
            <w:tcBorders>
              <w:tl2br w:val="nil"/>
              <w:tr2bl w:val="nil"/>
            </w:tcBorders>
            <w:noWrap w:val="0"/>
            <w:vAlign w:val="center"/>
          </w:tcPr>
          <w:p w14:paraId="467F1BD1">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6.9 危险废物贮存设施应根据贮存的废物种类和特性按照 GB18597 附录A设置标志。</w:t>
            </w:r>
          </w:p>
        </w:tc>
        <w:tc>
          <w:tcPr>
            <w:tcW w:w="1892" w:type="pct"/>
            <w:tcBorders>
              <w:tl2br w:val="nil"/>
              <w:tr2bl w:val="nil"/>
            </w:tcBorders>
            <w:noWrap w:val="0"/>
            <w:vAlign w:val="center"/>
          </w:tcPr>
          <w:p w14:paraId="2042D607">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项目危险废物贮存设施已按贮存的废物种类和特性按照GB18597附录A设置标志。</w:t>
            </w:r>
          </w:p>
        </w:tc>
        <w:tc>
          <w:tcPr>
            <w:tcW w:w="578" w:type="pct"/>
            <w:tcBorders>
              <w:tl2br w:val="nil"/>
              <w:tr2bl w:val="nil"/>
            </w:tcBorders>
            <w:noWrap w:val="0"/>
            <w:vAlign w:val="center"/>
          </w:tcPr>
          <w:p w14:paraId="3EA9E80C">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r w14:paraId="12AC3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33" w:type="pct"/>
            <w:tcBorders>
              <w:tl2br w:val="nil"/>
              <w:tr2bl w:val="nil"/>
            </w:tcBorders>
            <w:noWrap w:val="0"/>
            <w:vAlign w:val="center"/>
          </w:tcPr>
          <w:p w14:paraId="296C546B">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危险废物的运输</w:t>
            </w:r>
          </w:p>
        </w:tc>
        <w:tc>
          <w:tcPr>
            <w:tcW w:w="2095" w:type="pct"/>
            <w:tcBorders>
              <w:tl2br w:val="nil"/>
              <w:tr2bl w:val="nil"/>
            </w:tcBorders>
            <w:noWrap w:val="0"/>
            <w:vAlign w:val="center"/>
          </w:tcPr>
          <w:p w14:paraId="3ABF6D0F">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7.6 危险废物运输时的中转、装卸过程应遵守如下技术要求：（l）卸载区的工作人员应熟悉废物的危险特性，并配备适当的个人防护装备，装卸剧毒废物应配备特殊的防护装备。（2）卸载区应配备必要的消防设备和设施，并设置明显的指示标志。（3）危险废物装卸区应设置隔离设施，液态废物卸载区应设置收集槽和缓冲罐。</w:t>
            </w:r>
          </w:p>
        </w:tc>
        <w:tc>
          <w:tcPr>
            <w:tcW w:w="1892" w:type="pct"/>
            <w:tcBorders>
              <w:tl2br w:val="nil"/>
              <w:tr2bl w:val="nil"/>
            </w:tcBorders>
            <w:noWrap w:val="0"/>
            <w:vAlign w:val="center"/>
          </w:tcPr>
          <w:p w14:paraId="4B262B4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项目危险废物厂内装卸过程，卸载区的工作人员熟悉废物的危险特性，并配备有适当的个人防护装备，涉及剧毒废物应配备特殊的防护装备；卸载区配备有必要的消防设备和设施，并设置有明显的指示标志；危险废物装卸区设置有隔离设施，液态废物卸载区设置有收集槽和缓冲桶。</w:t>
            </w:r>
          </w:p>
        </w:tc>
        <w:tc>
          <w:tcPr>
            <w:tcW w:w="578" w:type="pct"/>
            <w:tcBorders>
              <w:tl2br w:val="nil"/>
              <w:tr2bl w:val="nil"/>
            </w:tcBorders>
            <w:noWrap w:val="0"/>
            <w:vAlign w:val="center"/>
          </w:tcPr>
          <w:p w14:paraId="4C0E3C8D">
            <w:pPr>
              <w:keepNext w:val="0"/>
              <w:keepLines w:val="0"/>
              <w:suppressLineNumbers w:val="0"/>
              <w:spacing w:before="0" w:beforeAutospacing="0" w:after="0" w:afterAutospacing="0" w:line="260" w:lineRule="exact"/>
              <w:ind w:left="0" w:right="0" w:firstLine="0" w:firstLineChars="0"/>
              <w:jc w:val="center"/>
              <w:rPr>
                <w:rFonts w:hint="default" w:ascii="Times New Roman" w:hAnsi="Times New Roman" w:eastAsia="宋体" w:cs="Times New Roman"/>
                <w:color w:val="auto"/>
                <w:sz w:val="24"/>
                <w:szCs w:val="24"/>
                <w:u w:val="single" w:color="auto"/>
                <w:lang w:val="en-US" w:eastAsia="zh-CN"/>
              </w:rPr>
            </w:pPr>
            <w:r>
              <w:rPr>
                <w:rFonts w:hint="default" w:ascii="Times New Roman" w:hAnsi="Times New Roman" w:eastAsia="宋体" w:cs="Times New Roman"/>
                <w:color w:val="auto"/>
                <w:sz w:val="24"/>
                <w:szCs w:val="24"/>
                <w:u w:val="single" w:color="auto"/>
                <w:lang w:val="en-US" w:eastAsia="zh-CN"/>
              </w:rPr>
              <w:t>符合</w:t>
            </w:r>
          </w:p>
        </w:tc>
      </w:tr>
    </w:tbl>
    <w:p w14:paraId="580989B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000000"/>
          <w:kern w:val="0"/>
          <w:sz w:val="24"/>
          <w:szCs w:val="24"/>
          <w:u w:val="single" w:color="auto"/>
          <w:lang w:val="en-US" w:eastAsia="zh-CN" w:bidi="ar"/>
        </w:rPr>
      </w:pPr>
      <w:r>
        <w:rPr>
          <w:rFonts w:hint="default" w:ascii="Times New Roman" w:hAnsi="Times New Roman" w:eastAsia="宋体" w:cs="Times New Roman"/>
          <w:color w:val="000000"/>
          <w:kern w:val="0"/>
          <w:sz w:val="24"/>
          <w:szCs w:val="24"/>
          <w:u w:val="single" w:color="auto"/>
          <w:lang w:val="en-US" w:eastAsia="zh-CN" w:bidi="ar"/>
        </w:rPr>
        <w:t>由上表分析可知，本次调查期间，现有项目危废收集、贮存现场情况均符合《危险废物收集贮存运输技术规范》（HJ 2025-2012）相关要求。</w:t>
      </w:r>
    </w:p>
    <w:p w14:paraId="19DF92B3">
      <w:pPr>
        <w:pStyle w:val="4"/>
        <w:pageBreakBefore w:val="0"/>
        <w:widowControl w:val="0"/>
        <w:kinsoku/>
        <w:wordWrap/>
        <w:overflowPunct/>
        <w:topLinePunct w:val="0"/>
        <w:bidi w:val="0"/>
        <w:adjustRightInd/>
        <w:snapToGrid/>
        <w:spacing w:before="0" w:after="0" w:line="360" w:lineRule="auto"/>
        <w:jc w:val="left"/>
        <w:textAlignment w:val="auto"/>
        <w:rPr>
          <w:rFonts w:hint="default" w:ascii="Times New Roman" w:hAnsi="Times New Roman" w:eastAsia="宋体" w:cs="Times New Roman"/>
          <w:sz w:val="24"/>
          <w:u w:val="single" w:color="auto"/>
          <w:lang w:val="en-US" w:eastAsia="zh-CN"/>
        </w:rPr>
      </w:pPr>
      <w:r>
        <w:rPr>
          <w:rFonts w:hint="default" w:ascii="Times New Roman" w:hAnsi="Times New Roman" w:eastAsia="宋体" w:cs="Times New Roman"/>
          <w:sz w:val="24"/>
          <w:u w:val="single" w:color="auto"/>
        </w:rPr>
        <w:t>3.4.</w:t>
      </w:r>
      <w:r>
        <w:rPr>
          <w:rFonts w:hint="default" w:ascii="Times New Roman" w:hAnsi="Times New Roman" w:eastAsia="宋体" w:cs="Times New Roman"/>
          <w:sz w:val="24"/>
          <w:u w:val="single" w:color="auto"/>
          <w:lang w:val="en-US" w:eastAsia="zh-CN"/>
        </w:rPr>
        <w:t>10环境管理情况</w:t>
      </w:r>
    </w:p>
    <w:p w14:paraId="401F1CB7">
      <w:pPr>
        <w:pStyle w:val="72"/>
        <w:keepNext w:val="0"/>
        <w:keepLines w:val="0"/>
        <w:pageBreakBefore w:val="0"/>
        <w:widowControl w:val="0"/>
        <w:kinsoku/>
        <w:wordWrap/>
        <w:overflowPunct/>
        <w:topLinePunct w:val="0"/>
        <w:autoSpaceDE w:val="0"/>
        <w:autoSpaceDN w:val="0"/>
        <w:bidi w:val="0"/>
        <w:adjustRightInd/>
        <w:snapToGrid/>
        <w:spacing w:line="360" w:lineRule="auto"/>
        <w:ind w:left="119"/>
        <w:textAlignment w:val="auto"/>
        <w:rPr>
          <w:rFonts w:hint="default" w:ascii="Times New Roman" w:hAnsi="Times New Roman" w:eastAsia="宋体" w:cs="Times New Roman"/>
          <w:b/>
          <w:bCs/>
          <w:u w:val="single" w:color="auto"/>
          <w:lang w:val="en-US" w:eastAsia="zh-CN"/>
        </w:rPr>
      </w:pPr>
      <w:r>
        <w:rPr>
          <w:rFonts w:hint="default" w:ascii="Times New Roman" w:hAnsi="Times New Roman" w:eastAsia="宋体" w:cs="Times New Roman"/>
          <w:b/>
          <w:bCs/>
          <w:u w:val="single" w:color="auto"/>
          <w:lang w:eastAsia="zh-CN"/>
        </w:rPr>
        <w:t>（</w:t>
      </w:r>
      <w:r>
        <w:rPr>
          <w:rFonts w:hint="default" w:ascii="Times New Roman" w:hAnsi="Times New Roman" w:eastAsia="宋体" w:cs="Times New Roman"/>
          <w:b/>
          <w:bCs/>
          <w:u w:val="single" w:color="auto"/>
          <w:lang w:val="en-US" w:eastAsia="zh-CN"/>
        </w:rPr>
        <w:t>1</w:t>
      </w:r>
      <w:r>
        <w:rPr>
          <w:rFonts w:hint="default" w:ascii="Times New Roman" w:hAnsi="Times New Roman" w:eastAsia="宋体" w:cs="Times New Roman"/>
          <w:b/>
          <w:bCs/>
          <w:u w:val="single" w:color="auto"/>
          <w:lang w:eastAsia="zh-CN"/>
        </w:rPr>
        <w:t>）</w:t>
      </w:r>
      <w:r>
        <w:rPr>
          <w:rFonts w:hint="default" w:ascii="Times New Roman" w:hAnsi="Times New Roman" w:eastAsia="宋体" w:cs="Times New Roman"/>
          <w:b/>
          <w:bCs/>
          <w:u w:val="single" w:color="auto"/>
          <w:lang w:val="en-US" w:eastAsia="zh-CN"/>
        </w:rPr>
        <w:t>厂区环保机构</w:t>
      </w:r>
    </w:p>
    <w:p w14:paraId="6D2726A7">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全厂区日常环境管理工作由安全</w:t>
      </w:r>
      <w:r>
        <w:rPr>
          <w:rFonts w:hint="eastAsia" w:ascii="Times New Roman" w:hAnsi="Times New Roman" w:eastAsia="宋体" w:cs="Times New Roman"/>
          <w:u w:val="single" w:color="auto"/>
          <w:lang w:eastAsia="zh-CN"/>
        </w:rPr>
        <w:t>生态环境部</w:t>
      </w:r>
      <w:r>
        <w:rPr>
          <w:rFonts w:hint="default" w:ascii="Times New Roman" w:hAnsi="Times New Roman" w:eastAsia="宋体" w:cs="Times New Roman"/>
          <w:u w:val="single" w:color="auto"/>
        </w:rPr>
        <w:t>负责，并负责环保设施的日常维护和管理，编制了环保设施维护的相关规定。已制定责任到人管理岗位：</w:t>
      </w:r>
    </w:p>
    <w:p w14:paraId="63B6B262">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环保设备维护：谢清辉</w:t>
      </w:r>
    </w:p>
    <w:p w14:paraId="5CC25C84">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危废现场：谢清辉</w:t>
      </w:r>
    </w:p>
    <w:p w14:paraId="220431FA">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危废台账资料：胡淼</w:t>
      </w:r>
    </w:p>
    <w:p w14:paraId="09EC620A">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危废转移联单：黄付强</w:t>
      </w:r>
    </w:p>
    <w:p w14:paraId="33E2D3D7">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建设单位已设立以董事长为首、各部门领导组成的危险废物污染防治工作领导小组，对公司的各项环境工作进行决策、监督和协调。</w:t>
      </w:r>
    </w:p>
    <w:p w14:paraId="544DE5B1">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t>组  长：陈君斌</w:t>
      </w:r>
    </w:p>
    <w:p w14:paraId="37D057E8">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sz w:val="24"/>
          <w:szCs w:val="24"/>
          <w:u w:val="single" w:color="auto"/>
        </w:rPr>
      </w:pPr>
      <w:r>
        <w:rPr>
          <w:rFonts w:hint="default" w:ascii="Times New Roman" w:hAnsi="Times New Roman" w:eastAsia="宋体" w:cs="Times New Roman"/>
          <w:sz w:val="24"/>
          <w:szCs w:val="24"/>
          <w:u w:val="single" w:color="auto"/>
        </w:rPr>
        <w:t>副组长：黄付强</w:t>
      </w:r>
    </w:p>
    <w:p w14:paraId="392EA8B3">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sz w:val="24"/>
          <w:szCs w:val="24"/>
          <w:u w:val="single" w:color="auto"/>
        </w:rPr>
      </w:pPr>
      <w:r>
        <w:rPr>
          <w:rFonts w:hint="default" w:ascii="Times New Roman" w:hAnsi="Times New Roman" w:eastAsia="宋体" w:cs="Times New Roman"/>
          <w:sz w:val="24"/>
          <w:szCs w:val="24"/>
          <w:u w:val="single" w:color="auto"/>
        </w:rPr>
        <w:t>成  员：谢清辉、胡淼、蒋素、邓立志等。</w:t>
      </w:r>
    </w:p>
    <w:p w14:paraId="68D2CB50">
      <w:pPr>
        <w:pStyle w:val="72"/>
        <w:keepNext w:val="0"/>
        <w:keepLines w:val="0"/>
        <w:pageBreakBefore w:val="0"/>
        <w:widowControl w:val="0"/>
        <w:kinsoku/>
        <w:wordWrap/>
        <w:overflowPunct/>
        <w:topLinePunct w:val="0"/>
        <w:autoSpaceDE w:val="0"/>
        <w:autoSpaceDN w:val="0"/>
        <w:bidi w:val="0"/>
        <w:adjustRightInd/>
        <w:snapToGrid/>
        <w:spacing w:line="360" w:lineRule="auto"/>
        <w:ind w:left="119"/>
        <w:textAlignment w:val="auto"/>
        <w:rPr>
          <w:rFonts w:hint="default" w:ascii="Times New Roman" w:hAnsi="Times New Roman" w:eastAsia="宋体" w:cs="Times New Roman"/>
          <w:b/>
          <w:bCs/>
          <w:sz w:val="24"/>
          <w:szCs w:val="24"/>
          <w:u w:val="single" w:color="auto"/>
          <w:lang w:val="en-US" w:eastAsia="zh-CN"/>
        </w:rPr>
      </w:pPr>
      <w:r>
        <w:rPr>
          <w:rFonts w:hint="default" w:ascii="Times New Roman" w:hAnsi="Times New Roman" w:eastAsia="宋体" w:cs="Times New Roman"/>
          <w:b/>
          <w:bCs/>
          <w:sz w:val="24"/>
          <w:szCs w:val="24"/>
          <w:u w:val="single" w:color="auto"/>
          <w:lang w:eastAsia="zh-CN"/>
        </w:rPr>
        <w:t>（</w:t>
      </w:r>
      <w:r>
        <w:rPr>
          <w:rFonts w:hint="default" w:ascii="Times New Roman" w:hAnsi="Times New Roman" w:eastAsia="宋体" w:cs="Times New Roman"/>
          <w:b/>
          <w:bCs/>
          <w:sz w:val="24"/>
          <w:szCs w:val="24"/>
          <w:u w:val="single" w:color="auto"/>
          <w:lang w:val="en-US" w:eastAsia="zh-CN"/>
        </w:rPr>
        <w:t>2</w:t>
      </w:r>
      <w:r>
        <w:rPr>
          <w:rFonts w:hint="default" w:ascii="Times New Roman" w:hAnsi="Times New Roman" w:eastAsia="宋体" w:cs="Times New Roman"/>
          <w:b/>
          <w:bCs/>
          <w:sz w:val="24"/>
          <w:szCs w:val="24"/>
          <w:u w:val="single" w:color="auto"/>
          <w:lang w:eastAsia="zh-CN"/>
        </w:rPr>
        <w:t>）环境管理规章制度</w:t>
      </w:r>
    </w:p>
    <w:p w14:paraId="33813F6C">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u w:val="single" w:color="auto"/>
          <w:shd w:val="clear" w:color="auto" w:fill="auto"/>
          <w:lang w:val="en-US" w:eastAsia="zh-CN"/>
        </w:rPr>
      </w:pPr>
      <w:r>
        <w:rPr>
          <w:rFonts w:hint="default" w:ascii="Times New Roman" w:hAnsi="Times New Roman" w:eastAsia="宋体" w:cs="Times New Roman"/>
          <w:color w:val="auto"/>
          <w:sz w:val="24"/>
          <w:szCs w:val="24"/>
          <w:u w:val="single" w:color="auto"/>
          <w:shd w:val="clear" w:color="auto" w:fill="auto"/>
          <w:lang w:val="en-US" w:eastAsia="zh-CN"/>
        </w:rPr>
        <w:t>建设单位已制定《</w:t>
      </w:r>
      <w:r>
        <w:rPr>
          <w:rFonts w:hint="default" w:ascii="Times New Roman" w:hAnsi="Times New Roman" w:eastAsia="宋体" w:cs="Times New Roman"/>
          <w:color w:val="auto"/>
          <w:kern w:val="0"/>
          <w:sz w:val="24"/>
          <w:szCs w:val="24"/>
          <w:u w:val="single" w:color="auto"/>
          <w:lang w:eastAsia="zh-CN"/>
        </w:rPr>
        <w:t>衡阳湘环环保科技有限公司</w:t>
      </w:r>
      <w:r>
        <w:rPr>
          <w:rFonts w:hint="default" w:ascii="Times New Roman" w:hAnsi="Times New Roman" w:eastAsia="宋体" w:cs="Times New Roman"/>
          <w:color w:val="auto"/>
          <w:sz w:val="24"/>
          <w:szCs w:val="24"/>
          <w:u w:val="single" w:color="auto"/>
          <w:shd w:val="clear" w:color="auto" w:fill="auto"/>
        </w:rPr>
        <w:t>环保管理制度</w:t>
      </w:r>
      <w:r>
        <w:rPr>
          <w:rFonts w:hint="default" w:ascii="Times New Roman" w:hAnsi="Times New Roman" w:eastAsia="宋体" w:cs="Times New Roman"/>
          <w:color w:val="auto"/>
          <w:sz w:val="24"/>
          <w:szCs w:val="24"/>
          <w:u w:val="single" w:color="auto"/>
          <w:shd w:val="clear" w:color="auto" w:fill="auto"/>
          <w:lang w:val="en-US" w:eastAsia="zh-CN"/>
        </w:rPr>
        <w:t>》、《</w:t>
      </w:r>
      <w:r>
        <w:rPr>
          <w:rFonts w:hint="default" w:ascii="Times New Roman" w:hAnsi="Times New Roman" w:eastAsia="宋体" w:cs="Times New Roman"/>
          <w:color w:val="auto"/>
          <w:kern w:val="0"/>
          <w:sz w:val="24"/>
          <w:szCs w:val="24"/>
          <w:u w:val="single" w:color="auto"/>
          <w:lang w:eastAsia="zh-CN"/>
        </w:rPr>
        <w:t>衡阳湘环环保科技有限公司</w:t>
      </w:r>
      <w:r>
        <w:rPr>
          <w:rFonts w:hint="default" w:ascii="Times New Roman" w:hAnsi="Times New Roman" w:eastAsia="宋体" w:cs="Times New Roman"/>
          <w:color w:val="auto"/>
          <w:sz w:val="24"/>
          <w:szCs w:val="24"/>
          <w:u w:val="single" w:color="auto"/>
          <w:shd w:val="clear" w:color="auto" w:fill="auto"/>
          <w:lang w:val="en-US" w:eastAsia="zh-CN"/>
        </w:rPr>
        <w:t>环保岗位制度》、《</w:t>
      </w:r>
      <w:r>
        <w:rPr>
          <w:rFonts w:hint="default" w:ascii="Times New Roman" w:hAnsi="Times New Roman" w:eastAsia="宋体" w:cs="Times New Roman"/>
          <w:color w:val="auto"/>
          <w:kern w:val="0"/>
          <w:sz w:val="24"/>
          <w:szCs w:val="24"/>
          <w:u w:val="single" w:color="auto"/>
          <w:lang w:eastAsia="zh-CN"/>
        </w:rPr>
        <w:t>衡阳湘环环保科技有限公司</w:t>
      </w:r>
      <w:r>
        <w:rPr>
          <w:rFonts w:hint="default" w:ascii="Times New Roman" w:hAnsi="Times New Roman" w:eastAsia="宋体" w:cs="Times New Roman"/>
          <w:color w:val="auto"/>
          <w:sz w:val="24"/>
          <w:szCs w:val="24"/>
          <w:u w:val="single" w:color="auto"/>
          <w:shd w:val="clear" w:color="auto" w:fill="auto"/>
          <w:lang w:val="en-US" w:eastAsia="zh-CN"/>
        </w:rPr>
        <w:t>危险废物管理制度》、《</w:t>
      </w:r>
      <w:r>
        <w:rPr>
          <w:rFonts w:hint="default" w:ascii="Times New Roman" w:hAnsi="Times New Roman" w:eastAsia="宋体" w:cs="Times New Roman"/>
          <w:color w:val="auto"/>
          <w:kern w:val="0"/>
          <w:sz w:val="24"/>
          <w:szCs w:val="24"/>
          <w:u w:val="single" w:color="auto"/>
          <w:lang w:eastAsia="zh-CN"/>
        </w:rPr>
        <w:t>衡阳湘环环保科技有限公司</w:t>
      </w:r>
      <w:r>
        <w:rPr>
          <w:rFonts w:hint="default" w:ascii="Times New Roman" w:hAnsi="Times New Roman" w:eastAsia="宋体" w:cs="Times New Roman"/>
          <w:color w:val="auto"/>
          <w:sz w:val="24"/>
          <w:szCs w:val="24"/>
          <w:u w:val="single" w:color="auto"/>
          <w:shd w:val="clear" w:color="auto" w:fill="auto"/>
          <w:lang w:val="en-US" w:eastAsia="zh-CN"/>
        </w:rPr>
        <w:t>危险废物环境污染防治责任制度》等。</w:t>
      </w:r>
    </w:p>
    <w:tbl>
      <w:tblPr>
        <w:tblStyle w:val="33"/>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0BA0C5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noWrap w:val="0"/>
            <w:vAlign w:val="center"/>
          </w:tcPr>
          <w:p w14:paraId="3E99415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vertAlign w:val="baseline"/>
                <w:lang w:eastAsia="zh-CN"/>
              </w:rPr>
            </w:pPr>
            <w:r>
              <w:rPr>
                <w:rFonts w:hint="default" w:ascii="Times New Roman" w:hAnsi="Times New Roman" w:eastAsia="宋体" w:cs="Times New Roman"/>
                <w:b w:val="0"/>
                <w:bCs w:val="0"/>
                <w:color w:val="auto"/>
                <w:sz w:val="21"/>
                <w:szCs w:val="21"/>
                <w:u w:val="single" w:color="auto"/>
                <w:lang w:val="en-US" w:eastAsia="zh-CN"/>
              </w:rPr>
              <w:drawing>
                <wp:inline distT="0" distB="0" distL="114300" distR="114300">
                  <wp:extent cx="5266690" cy="1950085"/>
                  <wp:effectExtent l="0" t="0" r="6350" b="635"/>
                  <wp:docPr id="53" name="图片 23" descr="9b4c1fa471f272ecbd73afc01d250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3" descr="9b4c1fa471f272ecbd73afc01d250e5"/>
                          <pic:cNvPicPr>
                            <a:picLocks noChangeAspect="1"/>
                          </pic:cNvPicPr>
                        </pic:nvPicPr>
                        <pic:blipFill>
                          <a:blip r:embed="rId22"/>
                          <a:srcRect t="14041" b="3671"/>
                          <a:stretch>
                            <a:fillRect/>
                          </a:stretch>
                        </pic:blipFill>
                        <pic:spPr>
                          <a:xfrm>
                            <a:off x="0" y="0"/>
                            <a:ext cx="5266690" cy="1950085"/>
                          </a:xfrm>
                          <a:prstGeom prst="rect">
                            <a:avLst/>
                          </a:prstGeom>
                          <a:noFill/>
                          <a:ln>
                            <a:noFill/>
                          </a:ln>
                        </pic:spPr>
                      </pic:pic>
                    </a:graphicData>
                  </a:graphic>
                </wp:inline>
              </w:drawing>
            </w:r>
          </w:p>
        </w:tc>
      </w:tr>
      <w:tr w14:paraId="476BD4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noWrap w:val="0"/>
            <w:vAlign w:val="center"/>
          </w:tcPr>
          <w:p w14:paraId="358F6EF6">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4"/>
                <w:szCs w:val="24"/>
                <w:u w:val="single" w:color="auto"/>
                <w:vertAlign w:val="baseline"/>
                <w:lang w:eastAsia="zh-CN"/>
              </w:rPr>
            </w:pPr>
            <w:r>
              <w:rPr>
                <w:rFonts w:hint="default" w:ascii="Times New Roman" w:hAnsi="Times New Roman" w:eastAsia="宋体" w:cs="Times New Roman"/>
                <w:b w:val="0"/>
                <w:bCs w:val="0"/>
                <w:color w:val="auto"/>
                <w:sz w:val="24"/>
                <w:szCs w:val="24"/>
                <w:u w:val="single" w:color="auto"/>
                <w:lang w:val="en-US" w:eastAsia="zh-CN"/>
              </w:rPr>
              <w:t>废矿物油暂存区管理制度</w:t>
            </w:r>
          </w:p>
        </w:tc>
      </w:tr>
      <w:tr w14:paraId="2DAB49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noWrap w:val="0"/>
            <w:vAlign w:val="center"/>
          </w:tcPr>
          <w:p w14:paraId="0B3E872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4"/>
                <w:szCs w:val="24"/>
                <w:u w:val="single" w:color="auto"/>
                <w:vertAlign w:val="baseline"/>
                <w:lang w:eastAsia="zh-CN"/>
              </w:rPr>
            </w:pPr>
            <w:r>
              <w:rPr>
                <w:rFonts w:hint="default" w:ascii="Times New Roman" w:hAnsi="Times New Roman" w:eastAsia="宋体" w:cs="Times New Roman"/>
                <w:sz w:val="24"/>
                <w:szCs w:val="24"/>
                <w:u w:val="single" w:color="auto"/>
                <w:vertAlign w:val="baseline"/>
                <w:lang w:eastAsia="zh-CN"/>
              </w:rPr>
              <w:drawing>
                <wp:inline distT="0" distB="0" distL="114300" distR="114300">
                  <wp:extent cx="5266690" cy="1758315"/>
                  <wp:effectExtent l="0" t="0" r="6350" b="9525"/>
                  <wp:docPr id="54" name="图片 24" descr="a4e3b47efa7277af5ecc0f71015e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4" descr="a4e3b47efa7277af5ecc0f71015e857"/>
                          <pic:cNvPicPr>
                            <a:picLocks noChangeAspect="1"/>
                          </pic:cNvPicPr>
                        </pic:nvPicPr>
                        <pic:blipFill>
                          <a:blip r:embed="rId23"/>
                          <a:srcRect t="6029" b="19775"/>
                          <a:stretch>
                            <a:fillRect/>
                          </a:stretch>
                        </pic:blipFill>
                        <pic:spPr>
                          <a:xfrm>
                            <a:off x="0" y="0"/>
                            <a:ext cx="5266690" cy="1758315"/>
                          </a:xfrm>
                          <a:prstGeom prst="rect">
                            <a:avLst/>
                          </a:prstGeom>
                          <a:noFill/>
                          <a:ln>
                            <a:noFill/>
                          </a:ln>
                        </pic:spPr>
                      </pic:pic>
                    </a:graphicData>
                  </a:graphic>
                </wp:inline>
              </w:drawing>
            </w:r>
          </w:p>
        </w:tc>
      </w:tr>
      <w:tr w14:paraId="1EE87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noWrap w:val="0"/>
            <w:vAlign w:val="center"/>
          </w:tcPr>
          <w:p w14:paraId="502D7DB6">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4"/>
                <w:szCs w:val="24"/>
                <w:u w:val="single" w:color="auto"/>
                <w:vertAlign w:val="baseline"/>
                <w:lang w:val="en-US" w:eastAsia="zh-CN"/>
              </w:rPr>
            </w:pPr>
            <w:r>
              <w:rPr>
                <w:rFonts w:hint="default" w:ascii="Times New Roman" w:hAnsi="Times New Roman" w:eastAsia="宋体" w:cs="Times New Roman"/>
                <w:b w:val="0"/>
                <w:bCs/>
                <w:sz w:val="24"/>
                <w:szCs w:val="24"/>
                <w:u w:val="single" w:color="auto"/>
                <w:lang w:val="en-US" w:eastAsia="zh-CN"/>
              </w:rPr>
              <w:t>其它危废贮存区</w:t>
            </w:r>
            <w:r>
              <w:rPr>
                <w:rFonts w:hint="default" w:ascii="Times New Roman" w:hAnsi="Times New Roman" w:eastAsia="宋体" w:cs="Times New Roman"/>
                <w:b w:val="0"/>
                <w:bCs w:val="0"/>
                <w:color w:val="auto"/>
                <w:sz w:val="24"/>
                <w:szCs w:val="24"/>
                <w:u w:val="single" w:color="auto"/>
                <w:lang w:val="en-US" w:eastAsia="zh-CN"/>
              </w:rPr>
              <w:t>管理制度</w:t>
            </w:r>
          </w:p>
        </w:tc>
      </w:tr>
    </w:tbl>
    <w:p w14:paraId="6749170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8"/>
          <w:u w:val="single" w:color="auto"/>
          <w:lang w:val="en-US" w:eastAsia="zh-CN"/>
        </w:rPr>
      </w:pPr>
      <w:r>
        <w:rPr>
          <w:rFonts w:hint="default" w:ascii="Times New Roman" w:hAnsi="Times New Roman" w:eastAsia="宋体" w:cs="Times New Roman"/>
          <w:b/>
          <w:bCs/>
          <w:sz w:val="24"/>
          <w:szCs w:val="28"/>
          <w:u w:val="single" w:color="auto"/>
          <w:lang w:val="en-US" w:eastAsia="zh-CN"/>
        </w:rPr>
        <w:t>（3）自行监测执行情况</w:t>
      </w:r>
    </w:p>
    <w:p w14:paraId="0C9FD63A">
      <w:pPr>
        <w:pStyle w:val="72"/>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u w:val="single" w:color="auto"/>
          <w:lang w:val="en-US" w:eastAsia="zh-CN"/>
        </w:rPr>
      </w:pPr>
      <w:r>
        <w:rPr>
          <w:rFonts w:hint="default" w:ascii="Times New Roman" w:hAnsi="Times New Roman" w:eastAsia="宋体" w:cs="Times New Roman"/>
          <w:u w:val="single" w:color="auto"/>
          <w:lang w:val="en-US" w:eastAsia="zh-CN"/>
        </w:rPr>
        <w:t>根据原环评报告及批复要求，对现有项目提出了污染源的自行监测要求，未对现有项目环境质量（周边空气、地下水、土壤等）提出自行监测要求。结合</w:t>
      </w:r>
      <w:r>
        <w:rPr>
          <w:rFonts w:hint="default" w:ascii="Times New Roman" w:hAnsi="Times New Roman" w:eastAsia="宋体" w:cs="Times New Roman"/>
          <w:u w:val="single" w:color="auto"/>
        </w:rPr>
        <w:t>全国排污许可证管理信息平台</w:t>
      </w:r>
      <w:r>
        <w:rPr>
          <w:rFonts w:hint="default" w:ascii="Times New Roman" w:hAnsi="Times New Roman" w:eastAsia="宋体" w:cs="Times New Roman"/>
          <w:u w:val="single" w:color="auto"/>
          <w:lang w:val="en-US" w:eastAsia="zh-CN"/>
        </w:rPr>
        <w:t>和建设单位出具的2023年4季度自行监测报告（见附件）</w:t>
      </w:r>
      <w:r>
        <w:rPr>
          <w:rFonts w:hint="default" w:ascii="Times New Roman" w:hAnsi="Times New Roman" w:eastAsia="宋体" w:cs="Times New Roman"/>
          <w:u w:val="single" w:color="auto"/>
          <w:lang w:eastAsia="zh-CN"/>
        </w:rPr>
        <w:t>，</w:t>
      </w:r>
      <w:r>
        <w:rPr>
          <w:rFonts w:hint="default" w:ascii="Times New Roman" w:hAnsi="Times New Roman" w:eastAsia="宋体" w:cs="Times New Roman"/>
          <w:u w:val="single" w:color="auto"/>
          <w:lang w:val="en-US" w:eastAsia="zh-CN"/>
        </w:rPr>
        <w:t>现有项目已经按照要求开展了自行监测，同时自行监测结果均满足相应排放标准要求。</w:t>
      </w:r>
    </w:p>
    <w:p w14:paraId="759ACC9A">
      <w:pPr>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drawing>
          <wp:inline distT="0" distB="0" distL="114300" distR="114300">
            <wp:extent cx="5272405" cy="1260475"/>
            <wp:effectExtent l="0" t="0" r="635" b="4445"/>
            <wp:docPr id="5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6"/>
                    <pic:cNvPicPr>
                      <a:picLocks noChangeAspect="1"/>
                    </pic:cNvPicPr>
                  </pic:nvPicPr>
                  <pic:blipFill>
                    <a:blip r:embed="rId14"/>
                    <a:stretch>
                      <a:fillRect/>
                    </a:stretch>
                  </pic:blipFill>
                  <pic:spPr>
                    <a:xfrm>
                      <a:off x="0" y="0"/>
                      <a:ext cx="5272405" cy="1260475"/>
                    </a:xfrm>
                    <a:prstGeom prst="rect">
                      <a:avLst/>
                    </a:prstGeom>
                    <a:noFill/>
                    <a:ln>
                      <a:noFill/>
                    </a:ln>
                  </pic:spPr>
                </pic:pic>
              </a:graphicData>
            </a:graphic>
          </wp:inline>
        </w:drawing>
      </w:r>
    </w:p>
    <w:p w14:paraId="28AEE3D7">
      <w:pPr>
        <w:pStyle w:val="72"/>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drawing>
          <wp:inline distT="0" distB="0" distL="114300" distR="114300">
            <wp:extent cx="5272405" cy="2885440"/>
            <wp:effectExtent l="0" t="0" r="635" b="10160"/>
            <wp:docPr id="6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
                    <pic:cNvPicPr>
                      <a:picLocks noChangeAspect="1"/>
                    </pic:cNvPicPr>
                  </pic:nvPicPr>
                  <pic:blipFill>
                    <a:blip r:embed="rId15"/>
                    <a:stretch>
                      <a:fillRect/>
                    </a:stretch>
                  </pic:blipFill>
                  <pic:spPr>
                    <a:xfrm>
                      <a:off x="0" y="0"/>
                      <a:ext cx="5272405" cy="2885440"/>
                    </a:xfrm>
                    <a:prstGeom prst="rect">
                      <a:avLst/>
                    </a:prstGeom>
                    <a:noFill/>
                    <a:ln>
                      <a:noFill/>
                    </a:ln>
                  </pic:spPr>
                </pic:pic>
              </a:graphicData>
            </a:graphic>
          </wp:inline>
        </w:drawing>
      </w:r>
    </w:p>
    <w:p w14:paraId="42C01D7D">
      <w:pPr>
        <w:pStyle w:val="72"/>
        <w:rPr>
          <w:rFonts w:hint="default" w:ascii="Times New Roman" w:hAnsi="Times New Roman" w:eastAsia="宋体" w:cs="Times New Roman"/>
          <w:u w:val="single" w:color="auto"/>
        </w:rPr>
      </w:pPr>
      <w:r>
        <w:rPr>
          <w:rFonts w:hint="default" w:ascii="Times New Roman" w:hAnsi="Times New Roman" w:eastAsia="宋体" w:cs="Times New Roman"/>
          <w:u w:val="single" w:color="auto"/>
        </w:rPr>
        <w:drawing>
          <wp:inline distT="0" distB="0" distL="114300" distR="114300">
            <wp:extent cx="5273040" cy="2881630"/>
            <wp:effectExtent l="0" t="0" r="0" b="13970"/>
            <wp:docPr id="6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27"/>
                    <pic:cNvPicPr>
                      <a:picLocks noChangeAspect="1"/>
                    </pic:cNvPicPr>
                  </pic:nvPicPr>
                  <pic:blipFill>
                    <a:blip r:embed="rId24"/>
                    <a:stretch>
                      <a:fillRect/>
                    </a:stretch>
                  </pic:blipFill>
                  <pic:spPr>
                    <a:xfrm>
                      <a:off x="0" y="0"/>
                      <a:ext cx="5273040" cy="2881630"/>
                    </a:xfrm>
                    <a:prstGeom prst="rect">
                      <a:avLst/>
                    </a:prstGeom>
                    <a:noFill/>
                    <a:ln>
                      <a:noFill/>
                    </a:ln>
                  </pic:spPr>
                </pic:pic>
              </a:graphicData>
            </a:graphic>
          </wp:inline>
        </w:drawing>
      </w:r>
    </w:p>
    <w:p w14:paraId="0B166D97">
      <w:pPr>
        <w:jc w:val="center"/>
        <w:rPr>
          <w:rFonts w:hint="default" w:ascii="Times New Roman" w:hAnsi="Times New Roman" w:eastAsia="宋体" w:cs="Times New Roman"/>
          <w:u w:val="single" w:color="auto"/>
        </w:rPr>
      </w:pPr>
      <w:r>
        <w:rPr>
          <w:rFonts w:hint="default" w:ascii="Times New Roman" w:hAnsi="Times New Roman" w:eastAsia="宋体" w:cs="Times New Roman"/>
          <w:b/>
          <w:bCs/>
          <w:szCs w:val="20"/>
          <w:u w:val="single" w:color="auto"/>
          <w:lang w:val="zh-CN"/>
        </w:rPr>
        <w:t>图3.4-1  现有项目自行监测信息截图</w:t>
      </w:r>
    </w:p>
    <w:p w14:paraId="54896140">
      <w:pPr>
        <w:pStyle w:val="3"/>
        <w:pageBreakBefore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eastAsia="宋体" w:cs="Times New Roman"/>
          <w:kern w:val="0"/>
          <w:sz w:val="30"/>
          <w:szCs w:val="28"/>
        </w:rPr>
      </w:pPr>
      <w:bookmarkStart w:id="237" w:name="_Toc31412"/>
      <w:r>
        <w:rPr>
          <w:rFonts w:hint="default" w:ascii="Times New Roman" w:hAnsi="Times New Roman" w:eastAsia="宋体" w:cs="Times New Roman"/>
          <w:kern w:val="0"/>
          <w:sz w:val="30"/>
          <w:szCs w:val="28"/>
        </w:rPr>
        <w:t>3.5现有工程的污染物排放情况</w:t>
      </w:r>
      <w:bookmarkEnd w:id="235"/>
      <w:bookmarkEnd w:id="236"/>
      <w:bookmarkEnd w:id="237"/>
    </w:p>
    <w:p w14:paraId="445B4A77">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kern w:val="0"/>
          <w:sz w:val="24"/>
        </w:rPr>
      </w:pPr>
      <w:r>
        <w:rPr>
          <w:rFonts w:hint="default" w:ascii="Times New Roman" w:hAnsi="Times New Roman" w:eastAsia="宋体" w:cs="Times New Roman"/>
          <w:sz w:val="24"/>
          <w:szCs w:val="24"/>
        </w:rPr>
        <w:t>通过对现有项目试运营状况的调查，项目目前的运营状态尚未达到设计的运营规模</w:t>
      </w:r>
      <w:r>
        <w:rPr>
          <w:rFonts w:hint="default" w:ascii="Times New Roman" w:hAnsi="Times New Roman" w:eastAsia="宋体" w:cs="Times New Roman"/>
          <w:kern w:val="0"/>
          <w:sz w:val="24"/>
        </w:rPr>
        <w:t>，因此现有项目污染物排放情况采用原环境影响报告表中相关数据，具体排放情况见下表：</w:t>
      </w:r>
    </w:p>
    <w:p w14:paraId="7D16A461">
      <w:pPr>
        <w:pStyle w:val="129"/>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表3.5-1  现有工程的污染物排放一览表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40"/>
        <w:gridCol w:w="1865"/>
        <w:gridCol w:w="1607"/>
        <w:gridCol w:w="1312"/>
        <w:gridCol w:w="1461"/>
        <w:gridCol w:w="1237"/>
      </w:tblGrid>
      <w:tr w14:paraId="4A9AAF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Align w:val="center"/>
          </w:tcPr>
          <w:p w14:paraId="1EB80E14">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类别</w:t>
            </w:r>
          </w:p>
        </w:tc>
        <w:tc>
          <w:tcPr>
            <w:tcW w:w="1094" w:type="pct"/>
            <w:vAlign w:val="center"/>
          </w:tcPr>
          <w:p w14:paraId="2ADEFAAE">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排放源</w:t>
            </w:r>
          </w:p>
        </w:tc>
        <w:tc>
          <w:tcPr>
            <w:tcW w:w="943" w:type="pct"/>
            <w:vAlign w:val="center"/>
          </w:tcPr>
          <w:p w14:paraId="362B4E7F">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污染物</w:t>
            </w:r>
          </w:p>
        </w:tc>
        <w:tc>
          <w:tcPr>
            <w:tcW w:w="770" w:type="pct"/>
            <w:vAlign w:val="center"/>
          </w:tcPr>
          <w:p w14:paraId="75B77011">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排放量</w:t>
            </w:r>
          </w:p>
          <w:p w14:paraId="312171BE">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t/a</w:t>
            </w:r>
          </w:p>
        </w:tc>
        <w:tc>
          <w:tcPr>
            <w:tcW w:w="857" w:type="pct"/>
            <w:vAlign w:val="center"/>
          </w:tcPr>
          <w:p w14:paraId="11DFD8B7">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排放速率</w:t>
            </w:r>
          </w:p>
          <w:p w14:paraId="5C44F013">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kg/h</w:t>
            </w:r>
          </w:p>
        </w:tc>
        <w:tc>
          <w:tcPr>
            <w:tcW w:w="726" w:type="pct"/>
            <w:vAlign w:val="center"/>
          </w:tcPr>
          <w:p w14:paraId="593FE2C8">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排放浓度</w:t>
            </w:r>
          </w:p>
          <w:p w14:paraId="0A7649AE">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mg/m</w:t>
            </w:r>
            <w:r>
              <w:rPr>
                <w:rFonts w:hint="default" w:ascii="Times New Roman" w:hAnsi="Times New Roman" w:eastAsia="宋体" w:cs="Times New Roman"/>
                <w:b/>
                <w:kern w:val="0"/>
                <w:szCs w:val="21"/>
                <w:vertAlign w:val="superscript"/>
              </w:rPr>
              <w:t>3</w:t>
            </w:r>
          </w:p>
        </w:tc>
      </w:tr>
      <w:tr w14:paraId="79F28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Align w:val="center"/>
          </w:tcPr>
          <w:p w14:paraId="7F04C72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废气</w:t>
            </w:r>
          </w:p>
          <w:p w14:paraId="28D2377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有组织</w:t>
            </w:r>
          </w:p>
        </w:tc>
        <w:tc>
          <w:tcPr>
            <w:tcW w:w="1094" w:type="pct"/>
            <w:vAlign w:val="center"/>
          </w:tcPr>
          <w:p w14:paraId="2971132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危险废物暂存仓库DA002</w:t>
            </w:r>
          </w:p>
        </w:tc>
        <w:tc>
          <w:tcPr>
            <w:tcW w:w="943" w:type="pct"/>
            <w:vAlign w:val="center"/>
          </w:tcPr>
          <w:p w14:paraId="57DAC5B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c>
          <w:tcPr>
            <w:tcW w:w="770" w:type="pct"/>
            <w:vAlign w:val="center"/>
          </w:tcPr>
          <w:p w14:paraId="31CFD2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0.1314</w:t>
            </w:r>
          </w:p>
        </w:tc>
        <w:tc>
          <w:tcPr>
            <w:tcW w:w="857" w:type="pct"/>
            <w:vAlign w:val="center"/>
          </w:tcPr>
          <w:p w14:paraId="1A2D78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0.017</w:t>
            </w:r>
          </w:p>
        </w:tc>
        <w:tc>
          <w:tcPr>
            <w:tcW w:w="726" w:type="pct"/>
            <w:vAlign w:val="center"/>
          </w:tcPr>
          <w:p w14:paraId="619AE7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w:t>
            </w:r>
          </w:p>
        </w:tc>
      </w:tr>
      <w:tr w14:paraId="27003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restart"/>
            <w:vAlign w:val="center"/>
          </w:tcPr>
          <w:p w14:paraId="7C72FF5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废气</w:t>
            </w:r>
          </w:p>
          <w:p w14:paraId="016B2D1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无组织</w:t>
            </w:r>
          </w:p>
        </w:tc>
        <w:tc>
          <w:tcPr>
            <w:tcW w:w="1094" w:type="pct"/>
            <w:vAlign w:val="center"/>
          </w:tcPr>
          <w:p w14:paraId="667BDA3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废矿物油贮存区</w:t>
            </w:r>
          </w:p>
        </w:tc>
        <w:tc>
          <w:tcPr>
            <w:tcW w:w="943" w:type="pct"/>
            <w:vAlign w:val="center"/>
          </w:tcPr>
          <w:p w14:paraId="1F531AB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c>
          <w:tcPr>
            <w:tcW w:w="770" w:type="pct"/>
            <w:vAlign w:val="center"/>
          </w:tcPr>
          <w:p w14:paraId="2B55D397">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0.0979</w:t>
            </w:r>
          </w:p>
        </w:tc>
        <w:tc>
          <w:tcPr>
            <w:tcW w:w="857" w:type="pct"/>
            <w:vAlign w:val="center"/>
          </w:tcPr>
          <w:p w14:paraId="363E27BB">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kern w:val="0"/>
                <w:szCs w:val="21"/>
              </w:rPr>
              <w:t>/</w:t>
            </w:r>
          </w:p>
        </w:tc>
        <w:tc>
          <w:tcPr>
            <w:tcW w:w="726" w:type="pct"/>
            <w:vAlign w:val="center"/>
          </w:tcPr>
          <w:p w14:paraId="237CEE6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kern w:val="0"/>
                <w:szCs w:val="21"/>
              </w:rPr>
              <w:t>/</w:t>
            </w:r>
          </w:p>
        </w:tc>
      </w:tr>
      <w:tr w14:paraId="7CA7FE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215685F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restart"/>
            <w:vAlign w:val="center"/>
          </w:tcPr>
          <w:p w14:paraId="6EFDF3B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危险废物贮存</w:t>
            </w:r>
          </w:p>
        </w:tc>
        <w:tc>
          <w:tcPr>
            <w:tcW w:w="943" w:type="pct"/>
            <w:vAlign w:val="center"/>
          </w:tcPr>
          <w:p w14:paraId="39BBA9F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c>
          <w:tcPr>
            <w:tcW w:w="770" w:type="pct"/>
            <w:vAlign w:val="center"/>
          </w:tcPr>
          <w:p w14:paraId="1D5B66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rPr>
              <w:t>0.073</w:t>
            </w:r>
          </w:p>
        </w:tc>
        <w:tc>
          <w:tcPr>
            <w:tcW w:w="857" w:type="pct"/>
            <w:vAlign w:val="center"/>
          </w:tcPr>
          <w:p w14:paraId="1EBA93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c>
          <w:tcPr>
            <w:tcW w:w="726" w:type="pct"/>
            <w:vAlign w:val="center"/>
          </w:tcPr>
          <w:p w14:paraId="51AC8A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r>
      <w:tr w14:paraId="5525C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695DFF8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57E66DB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4DFC9F5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rPr>
              <w:t>NH</w:t>
            </w:r>
            <w:r>
              <w:rPr>
                <w:rFonts w:hint="default" w:ascii="Times New Roman" w:hAnsi="Times New Roman" w:eastAsia="宋体" w:cs="Times New Roman"/>
                <w:sz w:val="21"/>
                <w:vertAlign w:val="subscript"/>
              </w:rPr>
              <w:t>3</w:t>
            </w:r>
          </w:p>
        </w:tc>
        <w:tc>
          <w:tcPr>
            <w:tcW w:w="770" w:type="pct"/>
            <w:vAlign w:val="center"/>
          </w:tcPr>
          <w:p w14:paraId="2FEF00D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0.0001</w:t>
            </w:r>
          </w:p>
        </w:tc>
        <w:tc>
          <w:tcPr>
            <w:tcW w:w="857" w:type="pct"/>
            <w:vAlign w:val="center"/>
          </w:tcPr>
          <w:p w14:paraId="25E18D0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c>
          <w:tcPr>
            <w:tcW w:w="726" w:type="pct"/>
            <w:vAlign w:val="center"/>
          </w:tcPr>
          <w:p w14:paraId="23922A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r>
      <w:tr w14:paraId="4A2FA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5F1376E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6BB5545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388A745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rPr>
              <w:t>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S</w:t>
            </w:r>
          </w:p>
        </w:tc>
        <w:tc>
          <w:tcPr>
            <w:tcW w:w="770" w:type="pct"/>
            <w:vAlign w:val="center"/>
          </w:tcPr>
          <w:p w14:paraId="137A61E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0.0003</w:t>
            </w:r>
          </w:p>
        </w:tc>
        <w:tc>
          <w:tcPr>
            <w:tcW w:w="857" w:type="pct"/>
            <w:vAlign w:val="center"/>
          </w:tcPr>
          <w:p w14:paraId="1073C6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c>
          <w:tcPr>
            <w:tcW w:w="726" w:type="pct"/>
            <w:vAlign w:val="center"/>
          </w:tcPr>
          <w:p w14:paraId="66C652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r>
      <w:tr w14:paraId="54345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restart"/>
            <w:vAlign w:val="center"/>
          </w:tcPr>
          <w:p w14:paraId="6AA775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废水</w:t>
            </w:r>
          </w:p>
        </w:tc>
        <w:tc>
          <w:tcPr>
            <w:tcW w:w="1094" w:type="pct"/>
            <w:vMerge w:val="restart"/>
            <w:vAlign w:val="center"/>
          </w:tcPr>
          <w:p w14:paraId="0AB204A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生活污水</w:t>
            </w:r>
          </w:p>
          <w:p w14:paraId="47E9287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132</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943" w:type="pct"/>
            <w:vAlign w:val="center"/>
          </w:tcPr>
          <w:p w14:paraId="3882BDB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pH（无量纲）</w:t>
            </w:r>
          </w:p>
        </w:tc>
        <w:tc>
          <w:tcPr>
            <w:tcW w:w="770" w:type="pct"/>
            <w:vAlign w:val="center"/>
          </w:tcPr>
          <w:p w14:paraId="7E3E048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6~9</w:t>
            </w:r>
          </w:p>
        </w:tc>
        <w:tc>
          <w:tcPr>
            <w:tcW w:w="857" w:type="pct"/>
            <w:vAlign w:val="center"/>
          </w:tcPr>
          <w:p w14:paraId="5A80D36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2767901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6~9</w:t>
            </w:r>
          </w:p>
        </w:tc>
      </w:tr>
      <w:tr w14:paraId="6E6E93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591A040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75FF36B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25E400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COD</w:t>
            </w:r>
            <w:r>
              <w:rPr>
                <w:rFonts w:hint="default" w:ascii="Times New Roman" w:hAnsi="Times New Roman" w:eastAsia="宋体" w:cs="Times New Roman"/>
                <w:color w:val="000000"/>
                <w:kern w:val="0"/>
                <w:szCs w:val="21"/>
                <w:vertAlign w:val="subscript"/>
              </w:rPr>
              <w:t>Cr</w:t>
            </w:r>
          </w:p>
        </w:tc>
        <w:tc>
          <w:tcPr>
            <w:tcW w:w="770" w:type="pct"/>
            <w:vAlign w:val="center"/>
          </w:tcPr>
          <w:p w14:paraId="1E5A783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0.025</w:t>
            </w:r>
          </w:p>
        </w:tc>
        <w:tc>
          <w:tcPr>
            <w:tcW w:w="857" w:type="pct"/>
            <w:vAlign w:val="center"/>
          </w:tcPr>
          <w:p w14:paraId="53750B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507163F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189</w:t>
            </w:r>
          </w:p>
        </w:tc>
      </w:tr>
      <w:tr w14:paraId="33EE19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21D06B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5F9A110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1E6AF7E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BOD</w:t>
            </w:r>
            <w:r>
              <w:rPr>
                <w:rFonts w:hint="default" w:ascii="Times New Roman" w:hAnsi="Times New Roman" w:eastAsia="宋体" w:cs="Times New Roman"/>
                <w:color w:val="000000"/>
                <w:kern w:val="0"/>
                <w:szCs w:val="21"/>
                <w:vertAlign w:val="subscript"/>
              </w:rPr>
              <w:t>5</w:t>
            </w:r>
          </w:p>
        </w:tc>
        <w:tc>
          <w:tcPr>
            <w:tcW w:w="770" w:type="pct"/>
            <w:vAlign w:val="center"/>
          </w:tcPr>
          <w:p w14:paraId="379F175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0.011</w:t>
            </w:r>
          </w:p>
        </w:tc>
        <w:tc>
          <w:tcPr>
            <w:tcW w:w="857" w:type="pct"/>
            <w:vAlign w:val="center"/>
          </w:tcPr>
          <w:p w14:paraId="35A0ED8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1BCF81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84</w:t>
            </w:r>
          </w:p>
        </w:tc>
      </w:tr>
      <w:tr w14:paraId="26DF1E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7D78360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312B6F3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7BE0509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SS</w:t>
            </w:r>
          </w:p>
        </w:tc>
        <w:tc>
          <w:tcPr>
            <w:tcW w:w="770" w:type="pct"/>
            <w:vAlign w:val="center"/>
          </w:tcPr>
          <w:p w14:paraId="2814E38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0.009</w:t>
            </w:r>
          </w:p>
        </w:tc>
        <w:tc>
          <w:tcPr>
            <w:tcW w:w="857" w:type="pct"/>
            <w:vAlign w:val="center"/>
          </w:tcPr>
          <w:p w14:paraId="78A119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7CEB6A4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70</w:t>
            </w:r>
          </w:p>
        </w:tc>
      </w:tr>
      <w:tr w14:paraId="31F506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0661E53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7AED672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7DA6F95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氨氮</w:t>
            </w:r>
          </w:p>
        </w:tc>
        <w:tc>
          <w:tcPr>
            <w:tcW w:w="770" w:type="pct"/>
            <w:vAlign w:val="center"/>
          </w:tcPr>
          <w:p w14:paraId="1259CB2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0.002</w:t>
            </w:r>
          </w:p>
        </w:tc>
        <w:tc>
          <w:tcPr>
            <w:tcW w:w="857" w:type="pct"/>
            <w:vAlign w:val="center"/>
          </w:tcPr>
          <w:p w14:paraId="725C24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3B580B8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14.5</w:t>
            </w:r>
          </w:p>
        </w:tc>
      </w:tr>
      <w:tr w14:paraId="2F265F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7125E47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44E8E9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72B136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动植物油</w:t>
            </w:r>
          </w:p>
        </w:tc>
        <w:tc>
          <w:tcPr>
            <w:tcW w:w="770" w:type="pct"/>
            <w:vAlign w:val="center"/>
          </w:tcPr>
          <w:p w14:paraId="1768995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0.005</w:t>
            </w:r>
          </w:p>
        </w:tc>
        <w:tc>
          <w:tcPr>
            <w:tcW w:w="857" w:type="pct"/>
            <w:vAlign w:val="center"/>
          </w:tcPr>
          <w:p w14:paraId="5556FA0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1451AE3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40</w:t>
            </w:r>
          </w:p>
        </w:tc>
      </w:tr>
      <w:tr w14:paraId="1FD087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Align w:val="center"/>
          </w:tcPr>
          <w:p w14:paraId="156C350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噪声</w:t>
            </w:r>
          </w:p>
        </w:tc>
        <w:tc>
          <w:tcPr>
            <w:tcW w:w="1094" w:type="pct"/>
            <w:vAlign w:val="center"/>
          </w:tcPr>
          <w:p w14:paraId="728E807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打包机、油泵、风机等设备</w:t>
            </w:r>
          </w:p>
        </w:tc>
        <w:tc>
          <w:tcPr>
            <w:tcW w:w="943" w:type="pct"/>
            <w:vAlign w:val="center"/>
          </w:tcPr>
          <w:p w14:paraId="5B58D7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Leq（A）</w:t>
            </w:r>
          </w:p>
        </w:tc>
        <w:tc>
          <w:tcPr>
            <w:tcW w:w="770" w:type="pct"/>
            <w:vAlign w:val="center"/>
          </w:tcPr>
          <w:p w14:paraId="11AFC4A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＜65dB</w:t>
            </w:r>
          </w:p>
        </w:tc>
        <w:tc>
          <w:tcPr>
            <w:tcW w:w="857" w:type="pct"/>
            <w:vAlign w:val="center"/>
          </w:tcPr>
          <w:p w14:paraId="123FEFB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628538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70CFC3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restart"/>
            <w:vAlign w:val="center"/>
          </w:tcPr>
          <w:p w14:paraId="1B59109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固废</w:t>
            </w:r>
          </w:p>
        </w:tc>
        <w:tc>
          <w:tcPr>
            <w:tcW w:w="1094" w:type="pct"/>
            <w:vMerge w:val="restart"/>
            <w:vAlign w:val="center"/>
          </w:tcPr>
          <w:p w14:paraId="4F48EC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危险废物、废矿物油收集、贮存</w:t>
            </w:r>
          </w:p>
        </w:tc>
        <w:tc>
          <w:tcPr>
            <w:tcW w:w="943" w:type="pct"/>
            <w:vAlign w:val="center"/>
          </w:tcPr>
          <w:p w14:paraId="49CD9FD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废含危险废物抹布、手套</w:t>
            </w:r>
          </w:p>
        </w:tc>
        <w:tc>
          <w:tcPr>
            <w:tcW w:w="770" w:type="pct"/>
            <w:vAlign w:val="center"/>
          </w:tcPr>
          <w:p w14:paraId="7C3A02C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0.1</w:t>
            </w:r>
          </w:p>
        </w:tc>
        <w:tc>
          <w:tcPr>
            <w:tcW w:w="857" w:type="pct"/>
            <w:vAlign w:val="center"/>
          </w:tcPr>
          <w:p w14:paraId="0F8507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41F282A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6E1746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60ADFE1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1F3F82E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6162289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废含危险废物劳保用品</w:t>
            </w:r>
          </w:p>
        </w:tc>
        <w:tc>
          <w:tcPr>
            <w:tcW w:w="770" w:type="pct"/>
            <w:vAlign w:val="center"/>
          </w:tcPr>
          <w:p w14:paraId="6EAA15A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0.1</w:t>
            </w:r>
          </w:p>
        </w:tc>
        <w:tc>
          <w:tcPr>
            <w:tcW w:w="857" w:type="pct"/>
            <w:vAlign w:val="center"/>
          </w:tcPr>
          <w:p w14:paraId="778BD4B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3798A04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61106D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4810A16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4FD4ED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6A4A77E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废弃包装物</w:t>
            </w:r>
          </w:p>
        </w:tc>
        <w:tc>
          <w:tcPr>
            <w:tcW w:w="770" w:type="pct"/>
            <w:vAlign w:val="center"/>
          </w:tcPr>
          <w:p w14:paraId="49AAC9F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1.5</w:t>
            </w:r>
          </w:p>
        </w:tc>
        <w:tc>
          <w:tcPr>
            <w:tcW w:w="857" w:type="pct"/>
            <w:vAlign w:val="center"/>
          </w:tcPr>
          <w:p w14:paraId="6D8102B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1E86E3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2732E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1E9A68C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030370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2E074B5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废活性炭</w:t>
            </w:r>
          </w:p>
        </w:tc>
        <w:tc>
          <w:tcPr>
            <w:tcW w:w="770" w:type="pct"/>
            <w:vAlign w:val="center"/>
          </w:tcPr>
          <w:p w14:paraId="72DBCCB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0.404</w:t>
            </w:r>
          </w:p>
        </w:tc>
        <w:tc>
          <w:tcPr>
            <w:tcW w:w="857" w:type="pct"/>
            <w:vAlign w:val="center"/>
          </w:tcPr>
          <w:p w14:paraId="38D4E36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46F3622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0F7CF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3445F4E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06A4135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3" w:type="pct"/>
            <w:vAlign w:val="center"/>
          </w:tcPr>
          <w:p w14:paraId="39AE79B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废油桶</w:t>
            </w:r>
          </w:p>
        </w:tc>
        <w:tc>
          <w:tcPr>
            <w:tcW w:w="770" w:type="pct"/>
            <w:vAlign w:val="center"/>
          </w:tcPr>
          <w:p w14:paraId="77595F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0.2</w:t>
            </w:r>
          </w:p>
        </w:tc>
        <w:tc>
          <w:tcPr>
            <w:tcW w:w="857" w:type="pct"/>
            <w:vAlign w:val="center"/>
          </w:tcPr>
          <w:p w14:paraId="09BEE12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313B489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71A1F9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7AA4B06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Align w:val="center"/>
          </w:tcPr>
          <w:p w14:paraId="3D75473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员工办公</w:t>
            </w:r>
          </w:p>
        </w:tc>
        <w:tc>
          <w:tcPr>
            <w:tcW w:w="943" w:type="pct"/>
            <w:vAlign w:val="center"/>
          </w:tcPr>
          <w:p w14:paraId="2814F79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生活垃圾</w:t>
            </w:r>
          </w:p>
        </w:tc>
        <w:tc>
          <w:tcPr>
            <w:tcW w:w="770" w:type="pct"/>
            <w:vAlign w:val="center"/>
          </w:tcPr>
          <w:p w14:paraId="35B09E0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1.65</w:t>
            </w:r>
          </w:p>
        </w:tc>
        <w:tc>
          <w:tcPr>
            <w:tcW w:w="857" w:type="pct"/>
            <w:vAlign w:val="center"/>
          </w:tcPr>
          <w:p w14:paraId="51E5671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6" w:type="pct"/>
            <w:vAlign w:val="center"/>
          </w:tcPr>
          <w:p w14:paraId="3C43C29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bl>
    <w:p w14:paraId="1D67B602">
      <w:pPr>
        <w:pStyle w:val="3"/>
        <w:spacing w:before="0" w:after="0" w:line="360" w:lineRule="auto"/>
        <w:jc w:val="left"/>
        <w:rPr>
          <w:rFonts w:hint="default" w:ascii="Times New Roman" w:hAnsi="Times New Roman" w:eastAsia="宋体" w:cs="Times New Roman"/>
          <w:kern w:val="0"/>
          <w:sz w:val="30"/>
          <w:szCs w:val="28"/>
        </w:rPr>
      </w:pPr>
      <w:bookmarkStart w:id="238" w:name="_Toc106961878"/>
      <w:bookmarkStart w:id="239" w:name="_Toc123733082"/>
      <w:bookmarkStart w:id="240" w:name="_Toc1087"/>
      <w:r>
        <w:rPr>
          <w:rFonts w:hint="default" w:ascii="Times New Roman" w:hAnsi="Times New Roman" w:eastAsia="宋体" w:cs="Times New Roman"/>
          <w:kern w:val="0"/>
          <w:sz w:val="30"/>
          <w:szCs w:val="28"/>
        </w:rPr>
        <w:t>3.6</w:t>
      </w:r>
      <w:bookmarkEnd w:id="238"/>
      <w:r>
        <w:rPr>
          <w:rFonts w:hint="default" w:ascii="Times New Roman" w:hAnsi="Times New Roman" w:eastAsia="宋体" w:cs="Times New Roman"/>
          <w:kern w:val="0"/>
          <w:sz w:val="30"/>
          <w:szCs w:val="28"/>
        </w:rPr>
        <w:t>现有工程环评批复落实情况及竣工环保验收情况</w:t>
      </w:r>
      <w:bookmarkEnd w:id="239"/>
      <w:bookmarkEnd w:id="240"/>
    </w:p>
    <w:p w14:paraId="10519FA8">
      <w:pPr>
        <w:tabs>
          <w:tab w:val="left" w:pos="1021"/>
        </w:tabs>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有项目于2022年4月12日获得衡阳市生态环境局关于《衡阳湘环环保科技有限公司年收集贮存9800吨危险废物项目环境影响报告表》的批复（衡环松评[2022]5号，详见附件），对照环评批复要求，现有工程环评批复及其落实情况如下：</w:t>
      </w:r>
    </w:p>
    <w:p w14:paraId="1EEBEE05">
      <w:pPr>
        <w:tabs>
          <w:tab w:val="left" w:pos="1021"/>
        </w:tabs>
        <w:spacing w:line="360" w:lineRule="auto"/>
        <w:jc w:val="center"/>
        <w:rPr>
          <w:rFonts w:hint="default" w:ascii="Times New Roman" w:hAnsi="Times New Roman" w:eastAsia="宋体" w:cs="Times New Roman"/>
          <w:b/>
          <w:bCs/>
        </w:rPr>
      </w:pPr>
      <w:r>
        <w:rPr>
          <w:rFonts w:hint="default" w:ascii="Times New Roman" w:hAnsi="Times New Roman" w:eastAsia="宋体" w:cs="Times New Roman"/>
          <w:b/>
          <w:bCs/>
        </w:rPr>
        <w:t>表3.6-1 环评批复及其落实情况</w:t>
      </w:r>
    </w:p>
    <w:tbl>
      <w:tblPr>
        <w:tblStyle w:val="3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37"/>
        <w:gridCol w:w="3671"/>
        <w:gridCol w:w="711"/>
      </w:tblGrid>
      <w:tr w14:paraId="30565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8" w:type="pct"/>
            <w:tcBorders>
              <w:tl2br w:val="nil"/>
              <w:tr2bl w:val="nil"/>
            </w:tcBorders>
            <w:noWrap w:val="0"/>
            <w:vAlign w:val="center"/>
          </w:tcPr>
          <w:p w14:paraId="19F3E1D6">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rPr>
              <w:t>环评批复要求</w:t>
            </w:r>
          </w:p>
        </w:tc>
        <w:tc>
          <w:tcPr>
            <w:tcW w:w="2154" w:type="pct"/>
            <w:tcBorders>
              <w:tl2br w:val="nil"/>
              <w:tr2bl w:val="nil"/>
            </w:tcBorders>
            <w:noWrap w:val="0"/>
            <w:vAlign w:val="center"/>
          </w:tcPr>
          <w:p w14:paraId="20E07D0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u w:val="none" w:color="auto"/>
                <w:lang w:val="en-US" w:eastAsia="zh-CN"/>
              </w:rPr>
            </w:pPr>
            <w:r>
              <w:rPr>
                <w:rFonts w:hint="default" w:ascii="Times New Roman" w:hAnsi="Times New Roman" w:eastAsia="宋体" w:cs="Times New Roman"/>
                <w:b/>
                <w:bCs/>
                <w:color w:val="auto"/>
                <w:u w:val="none" w:color="auto"/>
              </w:rPr>
              <w:t>项目实际建设</w:t>
            </w:r>
            <w:r>
              <w:rPr>
                <w:rFonts w:hint="default" w:ascii="Times New Roman" w:hAnsi="Times New Roman" w:eastAsia="宋体" w:cs="Times New Roman"/>
                <w:b/>
                <w:bCs/>
                <w:color w:val="auto"/>
                <w:u w:val="none" w:color="auto"/>
                <w:lang w:val="en-US" w:eastAsia="zh-CN"/>
              </w:rPr>
              <w:t>情况</w:t>
            </w:r>
          </w:p>
        </w:tc>
        <w:tc>
          <w:tcPr>
            <w:tcW w:w="417" w:type="pct"/>
            <w:tcBorders>
              <w:tl2br w:val="nil"/>
              <w:tr2bl w:val="nil"/>
            </w:tcBorders>
            <w:noWrap w:val="0"/>
            <w:vAlign w:val="center"/>
          </w:tcPr>
          <w:p w14:paraId="5AC4ADB9">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b/>
                <w:bCs/>
                <w:color w:val="auto"/>
                <w:u w:val="none" w:color="auto"/>
              </w:rPr>
            </w:pPr>
            <w:r>
              <w:rPr>
                <w:rFonts w:hint="default" w:ascii="Times New Roman" w:hAnsi="Times New Roman" w:eastAsia="宋体" w:cs="Times New Roman"/>
                <w:b/>
                <w:bCs/>
                <w:color w:val="auto"/>
                <w:u w:val="none" w:color="auto"/>
                <w:lang w:eastAsia="zh-CN"/>
              </w:rPr>
              <w:t>落实</w:t>
            </w:r>
            <w:r>
              <w:rPr>
                <w:rFonts w:hint="default" w:ascii="Times New Roman" w:hAnsi="Times New Roman" w:eastAsia="宋体" w:cs="Times New Roman"/>
                <w:b/>
                <w:bCs/>
                <w:color w:val="auto"/>
                <w:u w:val="none" w:color="auto"/>
                <w:lang w:val="en-US" w:eastAsia="zh-CN"/>
              </w:rPr>
              <w:t>情况</w:t>
            </w:r>
          </w:p>
        </w:tc>
      </w:tr>
      <w:tr w14:paraId="29318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28" w:type="pct"/>
            <w:tcBorders>
              <w:tl2br w:val="nil"/>
              <w:tr2bl w:val="nil"/>
            </w:tcBorders>
            <w:noWrap w:val="0"/>
            <w:vAlign w:val="center"/>
          </w:tcPr>
          <w:p w14:paraId="7F7CEAC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1、加强车间通风。各危险废物分区贮存，除废矿物油以外的危险废物贮存区产生的无组织废气经集气罩收集+二级活性炭吸附处理后通过15米高排气筒达标排放。生活污水经化粪池预处理后排入松木污水处理厂进一步处理。项目雨、污管网未接通前不得投入运营。</w:t>
            </w:r>
          </w:p>
        </w:tc>
        <w:tc>
          <w:tcPr>
            <w:tcW w:w="2154" w:type="pct"/>
            <w:tcBorders>
              <w:tl2br w:val="nil"/>
              <w:tr2bl w:val="nil"/>
            </w:tcBorders>
            <w:noWrap w:val="0"/>
            <w:vAlign w:val="center"/>
          </w:tcPr>
          <w:p w14:paraId="24C056FC">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除废矿物油以外的危险废物贮存区上方均设置负压集气管道，将贮存产生的废气集中收集至UV光解+活性炭箱处理后通过15米高排气筒排放。</w:t>
            </w:r>
          </w:p>
          <w:p w14:paraId="6F68F4B5">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生活污水经化粪池预处理后排入松木污水处理厂进一步处理。厂区内雨、污管网已于金源路市政管网接通。</w:t>
            </w:r>
          </w:p>
        </w:tc>
        <w:tc>
          <w:tcPr>
            <w:tcW w:w="417" w:type="pct"/>
            <w:tcBorders>
              <w:tl2br w:val="nil"/>
              <w:tr2bl w:val="nil"/>
            </w:tcBorders>
            <w:noWrap w:val="0"/>
            <w:vAlign w:val="center"/>
          </w:tcPr>
          <w:p w14:paraId="7AF2721A">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 w:val="24"/>
                <w:szCs w:val="24"/>
                <w:u w:val="none" w:color="auto"/>
                <w:lang w:val="en-US" w:eastAsia="zh-CN"/>
              </w:rPr>
              <w:t>已落实</w:t>
            </w:r>
          </w:p>
        </w:tc>
      </w:tr>
      <w:tr w14:paraId="17A5A3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8" w:type="pct"/>
            <w:tcBorders>
              <w:tl2br w:val="nil"/>
              <w:tr2bl w:val="nil"/>
            </w:tcBorders>
            <w:noWrap w:val="0"/>
            <w:vAlign w:val="center"/>
          </w:tcPr>
          <w:p w14:paraId="2B446F4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2、废弃包装物、废活性炭、废抹布、废劳保用品、废油桶等为危险废物，在厂区暂存后定期送至有资质单位妥善处置。</w:t>
            </w:r>
          </w:p>
        </w:tc>
        <w:tc>
          <w:tcPr>
            <w:tcW w:w="2154" w:type="pct"/>
            <w:tcBorders>
              <w:tl2br w:val="nil"/>
              <w:tr2bl w:val="nil"/>
            </w:tcBorders>
            <w:noWrap w:val="0"/>
            <w:vAlign w:val="center"/>
          </w:tcPr>
          <w:p w14:paraId="4DEB4AC7">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项目自产各类废物已分类收集后暂存在厂房对应危废间，与外购贮存的危废一同委托有相应危废资质单位处置（处置协议见附件）</w:t>
            </w:r>
          </w:p>
        </w:tc>
        <w:tc>
          <w:tcPr>
            <w:tcW w:w="417" w:type="pct"/>
            <w:tcBorders>
              <w:tl2br w:val="nil"/>
              <w:tr2bl w:val="nil"/>
            </w:tcBorders>
            <w:noWrap w:val="0"/>
            <w:vAlign w:val="center"/>
          </w:tcPr>
          <w:p w14:paraId="5A186A9B">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rPr>
            </w:pPr>
            <w:r>
              <w:rPr>
                <w:rFonts w:hint="default" w:ascii="Times New Roman" w:hAnsi="Times New Roman" w:eastAsia="宋体" w:cs="Times New Roman"/>
                <w:color w:val="auto"/>
                <w:sz w:val="24"/>
                <w:szCs w:val="24"/>
                <w:u w:val="none" w:color="auto"/>
                <w:lang w:val="en-US" w:eastAsia="zh-CN"/>
              </w:rPr>
              <w:t>已落实</w:t>
            </w:r>
          </w:p>
        </w:tc>
      </w:tr>
      <w:tr w14:paraId="4C4BE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28" w:type="pct"/>
            <w:tcBorders>
              <w:tl2br w:val="nil"/>
              <w:tr2bl w:val="nil"/>
            </w:tcBorders>
            <w:noWrap w:val="0"/>
            <w:vAlign w:val="center"/>
          </w:tcPr>
          <w:p w14:paraId="782F6996">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3、严格按《废矿物油回收利用污染控制技术规范》(HJ607-2011)、《危险废物收集、贮存、运输技术规范》(HJ2025-2012)、《危险废物贮存污染控制标准》(GB18597-2001)及2013年修改单中相关要求，做好各类危险废物在贮存过程中的安全管理，厂区各分区做好防腐、防渗、防风、防雨、防流失等相应措施。制定环境风险事故应急预案，落实事故应急防范措施；规范设置足够容积的事故应急池，避免事故排放对环境的不利影响。</w:t>
            </w:r>
          </w:p>
        </w:tc>
        <w:tc>
          <w:tcPr>
            <w:tcW w:w="2154" w:type="pct"/>
            <w:tcBorders>
              <w:tl2br w:val="nil"/>
              <w:tr2bl w:val="nil"/>
            </w:tcBorders>
            <w:noWrap w:val="0"/>
            <w:vAlign w:val="center"/>
          </w:tcPr>
          <w:p w14:paraId="1FD6DA2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u w:val="none" w:color="auto"/>
                <w:lang w:val="en-US" w:eastAsia="zh-CN"/>
              </w:rPr>
              <w:t>已按照规范要求各危废间采取防腐、防渗、防风、防雨、防流失等相应措施。并制定相关安全、环保管理制度。厂房内已规范设置应急截流沟和2个满足容积要求的应急池及油罐区围堰，且油罐一用一备。厂房外已建设1个消防事故应急池和1个矿物油装卸区事故应急池（容积满足要求）。已制定突发环境应急预案。</w:t>
            </w:r>
          </w:p>
          <w:p w14:paraId="229357E8">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lang w:val="en-US" w:eastAsia="zh-CN"/>
              </w:rPr>
            </w:pPr>
          </w:p>
        </w:tc>
        <w:tc>
          <w:tcPr>
            <w:tcW w:w="417" w:type="pct"/>
            <w:tcBorders>
              <w:tl2br w:val="nil"/>
              <w:tr2bl w:val="nil"/>
            </w:tcBorders>
            <w:noWrap w:val="0"/>
            <w:vAlign w:val="center"/>
          </w:tcPr>
          <w:p w14:paraId="1070E06B">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color w:val="auto"/>
                <w:u w:val="none" w:color="auto"/>
                <w:lang w:val="en-US" w:eastAsia="zh-CN"/>
              </w:rPr>
            </w:pPr>
            <w:r>
              <w:rPr>
                <w:rFonts w:hint="default" w:ascii="Times New Roman" w:hAnsi="Times New Roman" w:eastAsia="宋体" w:cs="Times New Roman"/>
                <w:color w:val="auto"/>
                <w:sz w:val="24"/>
                <w:szCs w:val="24"/>
                <w:u w:val="none" w:color="auto"/>
                <w:lang w:val="en-US" w:eastAsia="zh-CN"/>
              </w:rPr>
              <w:t>已落实</w:t>
            </w:r>
          </w:p>
        </w:tc>
      </w:tr>
    </w:tbl>
    <w:p w14:paraId="661073A5">
      <w:pPr>
        <w:pStyle w:val="3"/>
        <w:spacing w:before="0" w:after="0" w:line="360" w:lineRule="auto"/>
        <w:jc w:val="left"/>
        <w:rPr>
          <w:rFonts w:hint="default" w:ascii="Times New Roman" w:hAnsi="Times New Roman" w:eastAsia="宋体" w:cs="Times New Roman"/>
          <w:kern w:val="0"/>
          <w:sz w:val="30"/>
          <w:szCs w:val="28"/>
          <w:u w:val="single"/>
        </w:rPr>
      </w:pPr>
      <w:bookmarkStart w:id="241" w:name="_Toc123733083"/>
      <w:bookmarkStart w:id="242" w:name="_Toc31468"/>
      <w:r>
        <w:rPr>
          <w:rFonts w:hint="default" w:ascii="Times New Roman" w:hAnsi="Times New Roman" w:eastAsia="宋体" w:cs="Times New Roman"/>
          <w:kern w:val="0"/>
          <w:sz w:val="30"/>
          <w:szCs w:val="28"/>
          <w:u w:val="single"/>
        </w:rPr>
        <w:t>3.7现有工程环保措施汇总及需要整改的措施</w:t>
      </w:r>
      <w:bookmarkEnd w:id="241"/>
      <w:bookmarkEnd w:id="242"/>
    </w:p>
    <w:p w14:paraId="2CA6A16A">
      <w:pPr>
        <w:spacing w:line="360" w:lineRule="auto"/>
        <w:jc w:val="center"/>
        <w:rPr>
          <w:rFonts w:hint="default" w:ascii="Times New Roman" w:hAnsi="Times New Roman" w:eastAsia="宋体" w:cs="Times New Roman"/>
          <w:b/>
          <w:kern w:val="0"/>
          <w:u w:val="single"/>
        </w:rPr>
      </w:pPr>
    </w:p>
    <w:p w14:paraId="3980C884">
      <w:pPr>
        <w:spacing w:line="360" w:lineRule="auto"/>
        <w:jc w:val="center"/>
        <w:rPr>
          <w:rFonts w:hint="default" w:ascii="Times New Roman" w:hAnsi="Times New Roman" w:eastAsia="宋体" w:cs="Times New Roman"/>
          <w:b/>
          <w:kern w:val="0"/>
          <w:u w:val="single"/>
        </w:rPr>
      </w:pPr>
    </w:p>
    <w:p w14:paraId="2B730784">
      <w:pPr>
        <w:spacing w:line="360" w:lineRule="auto"/>
        <w:jc w:val="center"/>
        <w:rPr>
          <w:rFonts w:hint="default" w:ascii="Times New Roman" w:hAnsi="Times New Roman" w:eastAsia="宋体" w:cs="Times New Roman"/>
          <w:b/>
          <w:kern w:val="0"/>
          <w:u w:val="single"/>
        </w:rPr>
      </w:pPr>
      <w:r>
        <w:rPr>
          <w:rFonts w:hint="default" w:ascii="Times New Roman" w:hAnsi="Times New Roman" w:eastAsia="宋体" w:cs="Times New Roman"/>
          <w:b/>
          <w:kern w:val="0"/>
          <w:u w:val="single"/>
        </w:rPr>
        <w:t>表3.7-1  现有工程环保措施汇总及需整改内容一览表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7"/>
        <w:gridCol w:w="1262"/>
        <w:gridCol w:w="3279"/>
        <w:gridCol w:w="1553"/>
        <w:gridCol w:w="1611"/>
      </w:tblGrid>
      <w:tr w14:paraId="0AF81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9" w:type="pct"/>
            <w:gridSpan w:val="2"/>
            <w:vAlign w:val="center"/>
          </w:tcPr>
          <w:p w14:paraId="4EA77E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000000"/>
                <w:kern w:val="0"/>
                <w:szCs w:val="21"/>
                <w:u w:val="single"/>
              </w:rPr>
            </w:pPr>
            <w:r>
              <w:rPr>
                <w:rFonts w:hint="default" w:ascii="Times New Roman" w:hAnsi="Times New Roman" w:eastAsia="宋体" w:cs="Times New Roman"/>
                <w:b/>
                <w:color w:val="000000"/>
                <w:kern w:val="0"/>
                <w:szCs w:val="21"/>
                <w:u w:val="single"/>
              </w:rPr>
              <w:t>类别</w:t>
            </w:r>
          </w:p>
        </w:tc>
        <w:tc>
          <w:tcPr>
            <w:tcW w:w="1923" w:type="pct"/>
            <w:vAlign w:val="center"/>
          </w:tcPr>
          <w:p w14:paraId="410E11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000000"/>
                <w:kern w:val="0"/>
                <w:szCs w:val="21"/>
                <w:u w:val="single"/>
              </w:rPr>
            </w:pPr>
            <w:r>
              <w:rPr>
                <w:rFonts w:hint="default" w:ascii="Times New Roman" w:hAnsi="Times New Roman" w:eastAsia="宋体" w:cs="Times New Roman"/>
                <w:b/>
                <w:color w:val="000000"/>
                <w:kern w:val="0"/>
                <w:szCs w:val="21"/>
                <w:u w:val="single"/>
              </w:rPr>
              <w:t>已建的环保措施</w:t>
            </w:r>
          </w:p>
        </w:tc>
        <w:tc>
          <w:tcPr>
            <w:tcW w:w="911" w:type="pct"/>
            <w:vAlign w:val="center"/>
          </w:tcPr>
          <w:p w14:paraId="6EED9D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000000"/>
                <w:kern w:val="0"/>
                <w:szCs w:val="21"/>
                <w:u w:val="single"/>
              </w:rPr>
            </w:pPr>
            <w:r>
              <w:rPr>
                <w:rFonts w:hint="default" w:ascii="Times New Roman" w:hAnsi="Times New Roman" w:eastAsia="宋体" w:cs="Times New Roman"/>
                <w:b/>
                <w:color w:val="000000"/>
                <w:kern w:val="0"/>
                <w:szCs w:val="21"/>
                <w:u w:val="single"/>
              </w:rPr>
              <w:t>存在的问题</w:t>
            </w:r>
          </w:p>
        </w:tc>
        <w:tc>
          <w:tcPr>
            <w:tcW w:w="945" w:type="pct"/>
            <w:vAlign w:val="center"/>
          </w:tcPr>
          <w:p w14:paraId="620215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000000"/>
                <w:kern w:val="0"/>
                <w:szCs w:val="21"/>
                <w:u w:val="single"/>
              </w:rPr>
            </w:pPr>
            <w:r>
              <w:rPr>
                <w:rFonts w:hint="default" w:ascii="Times New Roman" w:hAnsi="Times New Roman" w:eastAsia="宋体" w:cs="Times New Roman"/>
                <w:b/>
                <w:color w:val="000000"/>
                <w:kern w:val="0"/>
                <w:szCs w:val="21"/>
                <w:u w:val="single"/>
              </w:rPr>
              <w:t>整改内容</w:t>
            </w:r>
          </w:p>
        </w:tc>
      </w:tr>
      <w:tr w14:paraId="34674C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8" w:hRule="atLeast"/>
        </w:trPr>
        <w:tc>
          <w:tcPr>
            <w:tcW w:w="479" w:type="pct"/>
            <w:vMerge w:val="restart"/>
            <w:vAlign w:val="center"/>
          </w:tcPr>
          <w:p w14:paraId="30F4FCE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FF0000"/>
                <w:kern w:val="0"/>
                <w:szCs w:val="21"/>
                <w:u w:val="single"/>
              </w:rPr>
            </w:pPr>
            <w:r>
              <w:rPr>
                <w:rFonts w:hint="default" w:ascii="Times New Roman" w:hAnsi="Times New Roman" w:eastAsia="宋体" w:cs="Times New Roman"/>
                <w:color w:val="FF0000"/>
                <w:kern w:val="0"/>
                <w:szCs w:val="21"/>
                <w:u w:val="single"/>
              </w:rPr>
              <w:t>废气</w:t>
            </w:r>
          </w:p>
        </w:tc>
        <w:tc>
          <w:tcPr>
            <w:tcW w:w="740" w:type="pct"/>
            <w:vAlign w:val="center"/>
          </w:tcPr>
          <w:p w14:paraId="2176FBE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危废仓库有组织废气VOCs</w:t>
            </w:r>
          </w:p>
        </w:tc>
        <w:tc>
          <w:tcPr>
            <w:tcW w:w="1923" w:type="pct"/>
            <w:vAlign w:val="center"/>
          </w:tcPr>
          <w:p w14:paraId="030D54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除废矿物油以外的危险废物贮存区上方均设置集气管道</w:t>
            </w:r>
            <w:r>
              <w:rPr>
                <w:rFonts w:hint="default" w:ascii="Times New Roman" w:hAnsi="Times New Roman" w:eastAsia="宋体" w:cs="Times New Roman"/>
                <w:szCs w:val="21"/>
                <w:u w:val="single"/>
                <w:lang w:eastAsia="zh-CN"/>
              </w:rPr>
              <w:t>（厂房内1~14#、20#、25#仓库暂存不易挥发废气的固体类危废，通过在各仓库上方设集气罩收集废气；其他15~19#、21~24#各仓库设卷闸门，顶部密闭设负压集气收集管道）</w:t>
            </w:r>
            <w:r>
              <w:rPr>
                <w:rFonts w:hint="default" w:ascii="Times New Roman" w:hAnsi="Times New Roman" w:eastAsia="宋体" w:cs="Times New Roman"/>
                <w:szCs w:val="21"/>
                <w:u w:val="single"/>
              </w:rPr>
              <w:t>，将贮存产生的废气集中收集至UV光解+活性炭箱处理后通过15</w:t>
            </w:r>
            <w:r>
              <w:rPr>
                <w:rFonts w:hint="default" w:ascii="Times New Roman" w:hAnsi="Times New Roman" w:eastAsia="宋体" w:cs="Times New Roman"/>
                <w:szCs w:val="21"/>
                <w:u w:val="single"/>
                <w:lang w:val="en-US" w:eastAsia="zh-CN"/>
              </w:rPr>
              <w:t>m</w:t>
            </w:r>
            <w:r>
              <w:rPr>
                <w:rFonts w:hint="default" w:ascii="Times New Roman" w:hAnsi="Times New Roman" w:eastAsia="宋体" w:cs="Times New Roman"/>
                <w:szCs w:val="21"/>
                <w:u w:val="single"/>
              </w:rPr>
              <w:t>排气筒排放</w:t>
            </w:r>
          </w:p>
        </w:tc>
        <w:tc>
          <w:tcPr>
            <w:tcW w:w="911" w:type="pct"/>
            <w:vAlign w:val="center"/>
          </w:tcPr>
          <w:p w14:paraId="01677D1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FF0000"/>
                <w:kern w:val="0"/>
                <w:szCs w:val="21"/>
                <w:u w:val="single"/>
              </w:rPr>
            </w:pPr>
            <w:r>
              <w:rPr>
                <w:rFonts w:hint="default" w:ascii="Times New Roman" w:hAnsi="Times New Roman" w:eastAsia="宋体" w:cs="Times New Roman"/>
                <w:color w:val="000000"/>
                <w:kern w:val="0"/>
                <w:szCs w:val="21"/>
                <w:u w:val="single"/>
              </w:rPr>
              <w:t>无</w:t>
            </w:r>
          </w:p>
        </w:tc>
        <w:tc>
          <w:tcPr>
            <w:tcW w:w="945" w:type="pct"/>
            <w:vAlign w:val="center"/>
          </w:tcPr>
          <w:p w14:paraId="43E9463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FF0000"/>
                <w:kern w:val="0"/>
                <w:szCs w:val="21"/>
                <w:u w:val="single"/>
              </w:rPr>
            </w:pPr>
            <w:r>
              <w:rPr>
                <w:rFonts w:hint="default" w:ascii="Times New Roman" w:hAnsi="Times New Roman" w:eastAsia="宋体" w:cs="Times New Roman"/>
                <w:color w:val="000000"/>
                <w:kern w:val="0"/>
                <w:szCs w:val="21"/>
                <w:u w:val="single"/>
              </w:rPr>
              <w:t>无</w:t>
            </w:r>
          </w:p>
        </w:tc>
      </w:tr>
      <w:tr w14:paraId="20EBC2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9" w:type="pct"/>
            <w:vMerge w:val="continue"/>
            <w:vAlign w:val="center"/>
          </w:tcPr>
          <w:p w14:paraId="5E2C8B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p>
        </w:tc>
        <w:tc>
          <w:tcPr>
            <w:tcW w:w="740" w:type="pct"/>
            <w:vAlign w:val="center"/>
          </w:tcPr>
          <w:p w14:paraId="658873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无组织废气</w:t>
            </w:r>
          </w:p>
        </w:tc>
        <w:tc>
          <w:tcPr>
            <w:tcW w:w="1923" w:type="pct"/>
            <w:vAlign w:val="center"/>
          </w:tcPr>
          <w:p w14:paraId="7572D1A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贮存容器和危废暂存仓库密闭，加强暂存仓库通风</w:t>
            </w:r>
          </w:p>
        </w:tc>
        <w:tc>
          <w:tcPr>
            <w:tcW w:w="911" w:type="pct"/>
            <w:vAlign w:val="center"/>
          </w:tcPr>
          <w:p w14:paraId="2F9CD42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c>
          <w:tcPr>
            <w:tcW w:w="945" w:type="pct"/>
            <w:vAlign w:val="center"/>
          </w:tcPr>
          <w:p w14:paraId="35B26B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r>
      <w:tr w14:paraId="5E4627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9" w:type="pct"/>
            <w:vAlign w:val="center"/>
          </w:tcPr>
          <w:p w14:paraId="6D8C656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废水</w:t>
            </w:r>
          </w:p>
        </w:tc>
        <w:tc>
          <w:tcPr>
            <w:tcW w:w="740" w:type="pct"/>
            <w:vAlign w:val="center"/>
          </w:tcPr>
          <w:p w14:paraId="2D1ED9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生活废水</w:t>
            </w:r>
          </w:p>
        </w:tc>
        <w:tc>
          <w:tcPr>
            <w:tcW w:w="1923" w:type="pct"/>
            <w:vAlign w:val="center"/>
          </w:tcPr>
          <w:p w14:paraId="18A1BC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雨污分流，化粪池处理后进入园区污管网</w:t>
            </w:r>
          </w:p>
        </w:tc>
        <w:tc>
          <w:tcPr>
            <w:tcW w:w="911" w:type="pct"/>
            <w:vAlign w:val="center"/>
          </w:tcPr>
          <w:p w14:paraId="50B338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c>
          <w:tcPr>
            <w:tcW w:w="945" w:type="pct"/>
            <w:vAlign w:val="center"/>
          </w:tcPr>
          <w:p w14:paraId="14DB19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r>
      <w:tr w14:paraId="7957A5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9" w:type="pct"/>
            <w:vAlign w:val="center"/>
          </w:tcPr>
          <w:p w14:paraId="51C8D0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噪声</w:t>
            </w:r>
          </w:p>
        </w:tc>
        <w:tc>
          <w:tcPr>
            <w:tcW w:w="740" w:type="pct"/>
            <w:vAlign w:val="center"/>
          </w:tcPr>
          <w:p w14:paraId="4E792B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设备噪声</w:t>
            </w:r>
          </w:p>
        </w:tc>
        <w:tc>
          <w:tcPr>
            <w:tcW w:w="1923" w:type="pct"/>
            <w:vAlign w:val="center"/>
          </w:tcPr>
          <w:p w14:paraId="496AF8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基础减振</w:t>
            </w:r>
          </w:p>
        </w:tc>
        <w:tc>
          <w:tcPr>
            <w:tcW w:w="911" w:type="pct"/>
            <w:vAlign w:val="center"/>
          </w:tcPr>
          <w:p w14:paraId="023F89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c>
          <w:tcPr>
            <w:tcW w:w="945" w:type="pct"/>
            <w:vAlign w:val="center"/>
          </w:tcPr>
          <w:p w14:paraId="088841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r>
      <w:tr w14:paraId="4CE206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63" w:hRule="atLeast"/>
        </w:trPr>
        <w:tc>
          <w:tcPr>
            <w:tcW w:w="479" w:type="pct"/>
            <w:vMerge w:val="restart"/>
            <w:vAlign w:val="center"/>
          </w:tcPr>
          <w:p w14:paraId="1827F8E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固废</w:t>
            </w:r>
          </w:p>
        </w:tc>
        <w:tc>
          <w:tcPr>
            <w:tcW w:w="740" w:type="pct"/>
            <w:vAlign w:val="center"/>
          </w:tcPr>
          <w:p w14:paraId="67FEEA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FF0000"/>
                <w:kern w:val="0"/>
                <w:szCs w:val="21"/>
                <w:u w:val="single"/>
              </w:rPr>
              <w:t>危险废物</w:t>
            </w:r>
          </w:p>
        </w:tc>
        <w:tc>
          <w:tcPr>
            <w:tcW w:w="1923" w:type="pct"/>
            <w:vAlign w:val="center"/>
          </w:tcPr>
          <w:p w14:paraId="46A7C1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szCs w:val="21"/>
                <w:u w:val="single"/>
              </w:rPr>
              <w:t>危险固废暂存于相应类型的危废暂存仓库，定期交由</w:t>
            </w:r>
            <w:r>
              <w:rPr>
                <w:rFonts w:hint="default" w:ascii="Times New Roman" w:hAnsi="Times New Roman" w:eastAsia="宋体" w:cs="Times New Roman"/>
                <w:szCs w:val="21"/>
                <w:u w:val="single"/>
              </w:rPr>
              <w:t>有资质单位处理</w:t>
            </w:r>
            <w:r>
              <w:rPr>
                <w:rFonts w:hint="default" w:ascii="Times New Roman" w:hAnsi="Times New Roman" w:eastAsia="宋体" w:cs="Times New Roman"/>
                <w:color w:val="000000"/>
                <w:szCs w:val="21"/>
                <w:u w:val="single"/>
              </w:rPr>
              <w:t>，同时做好台账记录表</w:t>
            </w:r>
          </w:p>
        </w:tc>
        <w:tc>
          <w:tcPr>
            <w:tcW w:w="911" w:type="pct"/>
            <w:vAlign w:val="center"/>
          </w:tcPr>
          <w:p w14:paraId="28D0BB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p>
        </w:tc>
        <w:tc>
          <w:tcPr>
            <w:tcW w:w="945" w:type="pct"/>
            <w:vAlign w:val="center"/>
          </w:tcPr>
          <w:p w14:paraId="1168E63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p>
        </w:tc>
      </w:tr>
      <w:tr w14:paraId="62F706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9" w:type="pct"/>
            <w:vMerge w:val="continue"/>
            <w:vAlign w:val="center"/>
          </w:tcPr>
          <w:p w14:paraId="5D6C80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p>
        </w:tc>
        <w:tc>
          <w:tcPr>
            <w:tcW w:w="740" w:type="pct"/>
            <w:vAlign w:val="center"/>
          </w:tcPr>
          <w:p w14:paraId="69065A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生活垃圾</w:t>
            </w:r>
          </w:p>
        </w:tc>
        <w:tc>
          <w:tcPr>
            <w:tcW w:w="1923" w:type="pct"/>
            <w:vAlign w:val="center"/>
          </w:tcPr>
          <w:p w14:paraId="00FC4C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垃圾收集箱若干</w:t>
            </w:r>
          </w:p>
        </w:tc>
        <w:tc>
          <w:tcPr>
            <w:tcW w:w="911" w:type="pct"/>
            <w:vAlign w:val="center"/>
          </w:tcPr>
          <w:p w14:paraId="31A1232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c>
          <w:tcPr>
            <w:tcW w:w="945" w:type="pct"/>
            <w:vAlign w:val="center"/>
          </w:tcPr>
          <w:p w14:paraId="344759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r>
      <w:tr w14:paraId="38C2B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9" w:type="pct"/>
            <w:vAlign w:val="center"/>
          </w:tcPr>
          <w:p w14:paraId="19F795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环境风险</w:t>
            </w:r>
          </w:p>
        </w:tc>
        <w:tc>
          <w:tcPr>
            <w:tcW w:w="740" w:type="pct"/>
            <w:vAlign w:val="center"/>
          </w:tcPr>
          <w:p w14:paraId="74E9EB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危险废物泄漏</w:t>
            </w:r>
          </w:p>
        </w:tc>
        <w:tc>
          <w:tcPr>
            <w:tcW w:w="1923" w:type="pct"/>
            <w:vAlign w:val="center"/>
          </w:tcPr>
          <w:p w14:paraId="6F55B31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厂房内已规范设置应急截流沟和2个满足容积要求的应急池及油罐区围堰，且油罐一用一备。厂房外已建设1个消防事故应急池和1个矿物油装卸区事故应急池（容积满足要求）。已制定突发环境应急预案</w:t>
            </w:r>
          </w:p>
        </w:tc>
        <w:tc>
          <w:tcPr>
            <w:tcW w:w="911" w:type="pct"/>
            <w:vAlign w:val="center"/>
          </w:tcPr>
          <w:p w14:paraId="57E5720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c>
          <w:tcPr>
            <w:tcW w:w="945" w:type="pct"/>
            <w:vAlign w:val="center"/>
          </w:tcPr>
          <w:p w14:paraId="155E26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r>
      <w:tr w14:paraId="6329D1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9" w:type="pct"/>
            <w:gridSpan w:val="2"/>
            <w:vAlign w:val="center"/>
          </w:tcPr>
          <w:p w14:paraId="0FF889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bookmarkStart w:id="243" w:name="_Toc123733084"/>
            <w:bookmarkStart w:id="244" w:name="_Toc106961879"/>
            <w:r>
              <w:rPr>
                <w:rFonts w:hint="default" w:ascii="Times New Roman" w:hAnsi="Times New Roman" w:eastAsia="宋体" w:cs="Times New Roman"/>
                <w:color w:val="000000"/>
                <w:kern w:val="0"/>
                <w:szCs w:val="21"/>
                <w:u w:val="single"/>
                <w:lang w:val="en-US" w:eastAsia="zh-CN"/>
              </w:rPr>
              <w:t>环境管理</w:t>
            </w:r>
          </w:p>
        </w:tc>
        <w:tc>
          <w:tcPr>
            <w:tcW w:w="1923" w:type="pct"/>
            <w:vAlign w:val="center"/>
          </w:tcPr>
          <w:p w14:paraId="4E9C992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建设单位已制定《衡阳湘环环保科技有限公司环保管理制度》、《衡阳湘环环保科技有限公司环保岗位制度》、《衡阳湘环环保科技有限公司危险废物管理制度》、《衡阳湘环环保科技有限公司危险废物环境污染防治责任制度》等</w:t>
            </w:r>
          </w:p>
        </w:tc>
        <w:tc>
          <w:tcPr>
            <w:tcW w:w="1553" w:type="dxa"/>
            <w:vAlign w:val="center"/>
          </w:tcPr>
          <w:p w14:paraId="12115EF2">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c>
          <w:tcPr>
            <w:tcW w:w="1611" w:type="dxa"/>
            <w:vAlign w:val="center"/>
          </w:tcPr>
          <w:p w14:paraId="597FCFC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r>
      <w:tr w14:paraId="33815D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9" w:type="pct"/>
            <w:gridSpan w:val="2"/>
            <w:vAlign w:val="center"/>
          </w:tcPr>
          <w:p w14:paraId="0031ED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lang w:val="en-US" w:eastAsia="zh-CN"/>
              </w:rPr>
              <w:t>排污许可</w:t>
            </w:r>
          </w:p>
        </w:tc>
        <w:tc>
          <w:tcPr>
            <w:tcW w:w="1923" w:type="pct"/>
            <w:vAlign w:val="center"/>
          </w:tcPr>
          <w:p w14:paraId="123FED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已办理排污许可证，并严格按照《排污许可证申请与核发技术规范 工业固体废物和危险废物治理》（HJ 1033-2019）定期填报了排污许可执行报告</w:t>
            </w:r>
          </w:p>
        </w:tc>
        <w:tc>
          <w:tcPr>
            <w:tcW w:w="1553" w:type="dxa"/>
            <w:vAlign w:val="center"/>
          </w:tcPr>
          <w:p w14:paraId="79077775">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c>
          <w:tcPr>
            <w:tcW w:w="1611" w:type="dxa"/>
            <w:vAlign w:val="center"/>
          </w:tcPr>
          <w:p w14:paraId="796DED7B">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r>
      <w:tr w14:paraId="0DFCC9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19" w:type="pct"/>
            <w:gridSpan w:val="2"/>
            <w:vAlign w:val="center"/>
          </w:tcPr>
          <w:p w14:paraId="4EACB9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lang w:val="en-US" w:eastAsia="zh-CN"/>
              </w:rPr>
              <w:t>自行监测</w:t>
            </w:r>
          </w:p>
        </w:tc>
        <w:tc>
          <w:tcPr>
            <w:tcW w:w="1923" w:type="pct"/>
            <w:vAlign w:val="center"/>
          </w:tcPr>
          <w:p w14:paraId="1BFD0B9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现有项目已经按照要求开展了自行监测，同时自行监测结果均满足相应排放标准要求</w:t>
            </w:r>
          </w:p>
        </w:tc>
        <w:tc>
          <w:tcPr>
            <w:tcW w:w="1553" w:type="dxa"/>
            <w:vAlign w:val="center"/>
          </w:tcPr>
          <w:p w14:paraId="506E94A6">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c>
          <w:tcPr>
            <w:tcW w:w="1611" w:type="dxa"/>
            <w:vAlign w:val="center"/>
          </w:tcPr>
          <w:p w14:paraId="1E5AA42E">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无</w:t>
            </w:r>
          </w:p>
        </w:tc>
      </w:tr>
    </w:tbl>
    <w:p w14:paraId="44BF1E37">
      <w:pPr>
        <w:pStyle w:val="3"/>
        <w:spacing w:before="0" w:after="0" w:line="360" w:lineRule="auto"/>
        <w:jc w:val="left"/>
        <w:rPr>
          <w:rFonts w:hint="default" w:ascii="Times New Roman" w:hAnsi="Times New Roman" w:eastAsia="宋体" w:cs="Times New Roman"/>
          <w:kern w:val="0"/>
          <w:sz w:val="30"/>
          <w:szCs w:val="28"/>
        </w:rPr>
      </w:pPr>
      <w:bookmarkStart w:id="245" w:name="_Toc28778"/>
      <w:r>
        <w:rPr>
          <w:rFonts w:hint="default" w:ascii="Times New Roman" w:hAnsi="Times New Roman" w:eastAsia="宋体" w:cs="Times New Roman"/>
          <w:kern w:val="0"/>
          <w:sz w:val="30"/>
          <w:szCs w:val="28"/>
        </w:rPr>
        <w:t>3.8现有工程环保投诉及纠纷</w:t>
      </w:r>
      <w:bookmarkEnd w:id="243"/>
      <w:bookmarkEnd w:id="244"/>
      <w:bookmarkEnd w:id="245"/>
    </w:p>
    <w:p w14:paraId="2DC85638">
      <w:pPr>
        <w:tabs>
          <w:tab w:val="left" w:pos="1021"/>
        </w:tabs>
        <w:spacing w:line="360" w:lineRule="auto"/>
        <w:ind w:firstLine="480"/>
        <w:rPr>
          <w:rFonts w:hint="default" w:ascii="Times New Roman" w:hAnsi="Times New Roman" w:eastAsia="宋体" w:cs="Times New Roman"/>
          <w:color w:val="000000"/>
          <w:kern w:val="0"/>
          <w:sz w:val="24"/>
          <w:szCs w:val="24"/>
        </w:rPr>
      </w:pPr>
      <w:r>
        <w:rPr>
          <w:rFonts w:hint="default" w:ascii="Times New Roman" w:hAnsi="Times New Roman" w:eastAsia="宋体" w:cs="Times New Roman"/>
          <w:color w:val="000000"/>
          <w:kern w:val="0"/>
          <w:sz w:val="24"/>
          <w:szCs w:val="24"/>
        </w:rPr>
        <w:t>根据调查及走访，现有工程自2022年8月建成试运营至今，尚无与环境保护相关的投诉或纠纷。</w:t>
      </w:r>
    </w:p>
    <w:p w14:paraId="5A15C5F3">
      <w:pPr>
        <w:pStyle w:val="3"/>
        <w:spacing w:before="0" w:after="0" w:line="360" w:lineRule="auto"/>
        <w:jc w:val="left"/>
        <w:rPr>
          <w:rFonts w:hint="default" w:ascii="Times New Roman" w:hAnsi="Times New Roman" w:eastAsia="宋体" w:cs="Times New Roman"/>
          <w:kern w:val="0"/>
          <w:sz w:val="30"/>
          <w:szCs w:val="28"/>
          <w:u w:val="single"/>
        </w:rPr>
      </w:pPr>
      <w:bookmarkStart w:id="246" w:name="_Toc2320"/>
      <w:r>
        <w:rPr>
          <w:rFonts w:hint="default" w:ascii="Times New Roman" w:hAnsi="Times New Roman" w:eastAsia="宋体" w:cs="Times New Roman"/>
          <w:kern w:val="0"/>
          <w:sz w:val="30"/>
          <w:szCs w:val="28"/>
          <w:u w:val="single"/>
        </w:rPr>
        <w:t>3.</w:t>
      </w:r>
      <w:r>
        <w:rPr>
          <w:rFonts w:hint="default" w:ascii="Times New Roman" w:hAnsi="Times New Roman" w:eastAsia="宋体" w:cs="Times New Roman"/>
          <w:kern w:val="0"/>
          <w:sz w:val="30"/>
          <w:szCs w:val="28"/>
          <w:u w:val="single"/>
          <w:lang w:val="en-US" w:eastAsia="zh-CN"/>
        </w:rPr>
        <w:t>9</w:t>
      </w:r>
      <w:r>
        <w:rPr>
          <w:rFonts w:hint="default" w:ascii="Times New Roman" w:hAnsi="Times New Roman" w:eastAsia="宋体" w:cs="Times New Roman"/>
          <w:kern w:val="0"/>
          <w:sz w:val="30"/>
          <w:szCs w:val="28"/>
          <w:u w:val="single"/>
        </w:rPr>
        <w:t>现有工程搬迁相关情况说明</w:t>
      </w:r>
      <w:bookmarkEnd w:id="246"/>
    </w:p>
    <w:p w14:paraId="2BE58500">
      <w:pPr>
        <w:tabs>
          <w:tab w:val="left" w:pos="1021"/>
        </w:tabs>
        <w:spacing w:line="360" w:lineRule="auto"/>
        <w:ind w:firstLine="480"/>
        <w:rPr>
          <w:rFonts w:hint="default" w:ascii="Times New Roman" w:hAnsi="Times New Roman" w:eastAsia="宋体" w:cs="Times New Roman"/>
          <w:color w:val="000000"/>
          <w:kern w:val="0"/>
          <w:sz w:val="24"/>
          <w:szCs w:val="24"/>
          <w:u w:val="single"/>
        </w:rPr>
      </w:pPr>
      <w:r>
        <w:rPr>
          <w:rFonts w:hint="default" w:ascii="Times New Roman" w:hAnsi="Times New Roman" w:eastAsia="宋体" w:cs="Times New Roman"/>
          <w:sz w:val="24"/>
          <w:szCs w:val="24"/>
          <w:u w:val="single"/>
        </w:rPr>
        <w:t>现有的</w:t>
      </w:r>
      <w:r>
        <w:rPr>
          <w:rFonts w:hint="default" w:ascii="Times New Roman" w:hAnsi="Times New Roman" w:eastAsia="宋体" w:cs="Times New Roman"/>
          <w:color w:val="000000"/>
          <w:sz w:val="24"/>
          <w:szCs w:val="24"/>
          <w:u w:val="single"/>
        </w:rPr>
        <w:t>“年收集贮存9800吨危险废物项目”由松木经济开发区金源路整体搬迁至松木经济开发区</w:t>
      </w:r>
      <w:r>
        <w:rPr>
          <w:rFonts w:hint="default" w:ascii="Times New Roman" w:hAnsi="Times New Roman" w:eastAsia="宋体" w:cs="Times New Roman"/>
          <w:sz w:val="24"/>
          <w:szCs w:val="21"/>
          <w:u w:val="single"/>
        </w:rPr>
        <w:t>化工路新场地</w:t>
      </w:r>
      <w:r>
        <w:rPr>
          <w:rFonts w:hint="default" w:ascii="Times New Roman" w:hAnsi="Times New Roman" w:eastAsia="宋体" w:cs="Times New Roman"/>
          <w:color w:val="000000"/>
          <w:kern w:val="0"/>
          <w:sz w:val="24"/>
          <w:szCs w:val="24"/>
          <w:u w:val="single"/>
        </w:rPr>
        <w:t>，前后地址都处于产业园区内，为园区内项目搬迁</w:t>
      </w:r>
      <w:r>
        <w:rPr>
          <w:rFonts w:hint="default" w:ascii="Times New Roman" w:hAnsi="Times New Roman" w:eastAsia="宋体" w:cs="Times New Roman"/>
          <w:color w:val="000000"/>
          <w:kern w:val="0"/>
          <w:sz w:val="24"/>
          <w:szCs w:val="24"/>
          <w:u w:val="single"/>
          <w:lang w:eastAsia="zh-CN"/>
        </w:rPr>
        <w:t>，</w:t>
      </w:r>
      <w:r>
        <w:rPr>
          <w:rFonts w:hint="default" w:ascii="Times New Roman" w:hAnsi="Times New Roman" w:eastAsia="宋体" w:cs="Times New Roman"/>
          <w:color w:val="000000"/>
          <w:kern w:val="0"/>
          <w:sz w:val="24"/>
          <w:szCs w:val="24"/>
          <w:u w:val="single"/>
        </w:rPr>
        <w:t>搬迁后土地退给园区使用。本环评不对现有工程对土壤环境的影响进行评价，仅分析其目前存在的环境问题。</w:t>
      </w:r>
    </w:p>
    <w:p w14:paraId="39E6B8C5">
      <w:pPr>
        <w:tabs>
          <w:tab w:val="left" w:pos="1021"/>
        </w:tabs>
        <w:spacing w:line="360" w:lineRule="auto"/>
        <w:ind w:firstLine="480"/>
        <w:rPr>
          <w:rFonts w:hint="default" w:ascii="Times New Roman" w:hAnsi="Times New Roman" w:eastAsia="宋体" w:cs="Times New Roman"/>
          <w:color w:val="000000"/>
          <w:kern w:val="0"/>
          <w:sz w:val="24"/>
          <w:szCs w:val="24"/>
          <w:u w:val="single"/>
        </w:rPr>
      </w:pPr>
      <w:r>
        <w:rPr>
          <w:rFonts w:hint="default" w:ascii="Times New Roman" w:hAnsi="Times New Roman" w:eastAsia="宋体" w:cs="Times New Roman"/>
          <w:color w:val="000000"/>
          <w:kern w:val="0"/>
          <w:sz w:val="24"/>
          <w:szCs w:val="24"/>
          <w:u w:val="single"/>
        </w:rPr>
        <w:t>《关于保障工业企业场地再开发利用环境安全的通知》（环发〔2012〕140 号） 明确指出： 建设单位是承担环境调查、风险评估和治理修复责任的主体，因此现有厂区的土壤调查、评估、修复整治的责任主体单位为</w:t>
      </w:r>
      <w:r>
        <w:rPr>
          <w:rFonts w:hint="default" w:ascii="Times New Roman" w:hAnsi="Times New Roman" w:eastAsia="宋体" w:cs="Times New Roman"/>
          <w:color w:val="000000"/>
          <w:sz w:val="24"/>
          <w:szCs w:val="24"/>
          <w:u w:val="single"/>
        </w:rPr>
        <w:t>衡阳湘环环保科技有限公司</w:t>
      </w:r>
      <w:r>
        <w:rPr>
          <w:rFonts w:hint="default" w:ascii="Times New Roman" w:hAnsi="Times New Roman" w:eastAsia="宋体" w:cs="Times New Roman"/>
          <w:color w:val="000000"/>
          <w:kern w:val="0"/>
          <w:sz w:val="24"/>
          <w:szCs w:val="24"/>
          <w:u w:val="single"/>
        </w:rPr>
        <w:t>。搬迁后的土地应根据园区规 划要求进行评估、修复和整治，土壤评估、修复和整治工作作为厂址搬迁工作的一部分，纳入拟建项目环保验收。</w:t>
      </w:r>
    </w:p>
    <w:p w14:paraId="511B1C8D">
      <w:pPr>
        <w:tabs>
          <w:tab w:val="left" w:pos="1021"/>
        </w:tabs>
        <w:spacing w:line="360" w:lineRule="auto"/>
        <w:ind w:firstLine="480"/>
        <w:rPr>
          <w:rFonts w:hint="default" w:ascii="Times New Roman" w:hAnsi="Times New Roman" w:eastAsia="宋体" w:cs="Times New Roman"/>
          <w:color w:val="000000"/>
          <w:kern w:val="0"/>
          <w:sz w:val="24"/>
          <w:szCs w:val="24"/>
          <w:u w:val="single"/>
        </w:rPr>
      </w:pPr>
      <w:r>
        <w:rPr>
          <w:rFonts w:hint="default" w:ascii="Times New Roman" w:hAnsi="Times New Roman" w:eastAsia="宋体" w:cs="Times New Roman"/>
          <w:color w:val="000000"/>
          <w:kern w:val="0"/>
          <w:sz w:val="24"/>
          <w:szCs w:val="24"/>
          <w:u w:val="single"/>
        </w:rPr>
        <w:t>企业应按照《企业拆除活动污染防治技术规定（试行）》（公告2017年第 78 号） 的要求逐项落实拆除活动， 重点防止拆除活动中的废水、固体废物，以及遗留物料和残留污染物污染土壤。</w:t>
      </w:r>
    </w:p>
    <w:p w14:paraId="42810DFC">
      <w:pPr>
        <w:tabs>
          <w:tab w:val="left" w:pos="1021"/>
        </w:tabs>
        <w:spacing w:line="360" w:lineRule="auto"/>
        <w:ind w:firstLine="480"/>
        <w:rPr>
          <w:rFonts w:hint="default" w:ascii="Times New Roman" w:hAnsi="Times New Roman" w:eastAsia="宋体" w:cs="Times New Roman"/>
          <w:color w:val="000000"/>
          <w:kern w:val="0"/>
          <w:sz w:val="24"/>
          <w:szCs w:val="24"/>
          <w:u w:val="single"/>
        </w:rPr>
      </w:pPr>
      <w:r>
        <w:rPr>
          <w:rFonts w:hint="default" w:ascii="Times New Roman" w:hAnsi="Times New Roman" w:eastAsia="宋体" w:cs="Times New Roman"/>
          <w:color w:val="000000"/>
          <w:kern w:val="0"/>
          <w:sz w:val="24"/>
          <w:szCs w:val="24"/>
          <w:u w:val="single"/>
        </w:rPr>
        <w:t>其管理流程主要包含前期准备、制定拆除活动污染防治方案、组织实施拆除活动、拆除活动环境保护工作总结、拆除活动污染防治资料管理等。</w:t>
      </w:r>
    </w:p>
    <w:p w14:paraId="4C45BE4D">
      <w:pPr>
        <w:tabs>
          <w:tab w:val="left" w:pos="1021"/>
        </w:tabs>
        <w:spacing w:line="360" w:lineRule="auto"/>
        <w:ind w:firstLine="480"/>
        <w:rPr>
          <w:rFonts w:hint="default" w:ascii="Times New Roman" w:hAnsi="Times New Roman" w:eastAsia="宋体" w:cs="Times New Roman"/>
          <w:color w:val="000000"/>
          <w:kern w:val="0"/>
          <w:sz w:val="24"/>
          <w:szCs w:val="24"/>
          <w:u w:val="single"/>
        </w:rPr>
      </w:pPr>
      <w:r>
        <w:rPr>
          <w:rFonts w:hint="default" w:ascii="Times New Roman" w:hAnsi="Times New Roman" w:eastAsia="宋体" w:cs="Times New Roman"/>
          <w:color w:val="000000"/>
          <w:kern w:val="0"/>
          <w:sz w:val="24"/>
          <w:szCs w:val="24"/>
          <w:u w:val="single"/>
        </w:rPr>
        <w:t>土壤污染防治原则要求主要遵循防止废水污染土壤、防止固体废物污染土壤、防止遗留物料、残留污染物污染土壤等原则。</w:t>
      </w:r>
    </w:p>
    <w:p w14:paraId="1409145D">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rPr>
        <w:t>土壤等污染防治工作要点主要包含识别土壤等污染风险点、划分拆除活动施工区域、清理遗留物料、残留污染物、拆除遗留设备、拆除建（构）筑物、清理现场等内容</w:t>
      </w:r>
      <w:r>
        <w:rPr>
          <w:rFonts w:hint="default" w:ascii="Times New Roman" w:hAnsi="Times New Roman" w:eastAsia="宋体" w:cs="Times New Roman"/>
          <w:color w:val="000000"/>
          <w:kern w:val="0"/>
          <w:sz w:val="24"/>
          <w:szCs w:val="24"/>
          <w:u w:val="single"/>
          <w:lang w:eastAsia="zh-CN"/>
        </w:rPr>
        <w:t>。</w:t>
      </w:r>
    </w:p>
    <w:p w14:paraId="73FE5D88">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3.</w:t>
      </w:r>
      <w:r>
        <w:rPr>
          <w:rFonts w:hint="default" w:ascii="Times New Roman" w:hAnsi="Times New Roman" w:eastAsia="宋体" w:cs="Times New Roman"/>
          <w:sz w:val="24"/>
          <w:u w:val="single"/>
          <w:lang w:val="en-US" w:eastAsia="zh-CN"/>
        </w:rPr>
        <w:t>9.1拆迁遗留土壤污染物</w:t>
      </w:r>
    </w:p>
    <w:p w14:paraId="0297678A">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现有工程主要从事废矿物油和</w:t>
      </w:r>
      <w:r>
        <w:rPr>
          <w:rFonts w:hint="default" w:ascii="Times New Roman" w:hAnsi="Times New Roman" w:eastAsia="宋体" w:cs="Times New Roman"/>
          <w:color w:val="000000"/>
          <w:kern w:val="0"/>
          <w:sz w:val="24"/>
          <w:szCs w:val="24"/>
          <w:u w:val="single"/>
          <w:lang w:val="en-US" w:eastAsia="zh-CN"/>
        </w:rPr>
        <w:t>其他危险废物</w:t>
      </w:r>
      <w:r>
        <w:rPr>
          <w:rFonts w:hint="default" w:ascii="Times New Roman" w:hAnsi="Times New Roman" w:eastAsia="宋体" w:cs="Times New Roman"/>
          <w:color w:val="000000"/>
          <w:kern w:val="0"/>
          <w:sz w:val="24"/>
          <w:szCs w:val="24"/>
          <w:u w:val="single"/>
          <w:lang w:eastAsia="zh-CN"/>
        </w:rPr>
        <w:t>的</w:t>
      </w:r>
      <w:r>
        <w:rPr>
          <w:rFonts w:hint="default" w:ascii="Times New Roman" w:hAnsi="Times New Roman" w:eastAsia="宋体" w:cs="Times New Roman"/>
          <w:color w:val="000000"/>
          <w:kern w:val="0"/>
          <w:sz w:val="24"/>
          <w:szCs w:val="24"/>
          <w:u w:val="single"/>
          <w:lang w:val="en-US" w:eastAsia="zh-CN"/>
        </w:rPr>
        <w:t>贮存，</w:t>
      </w:r>
      <w:r>
        <w:rPr>
          <w:rFonts w:hint="default" w:ascii="Times New Roman" w:hAnsi="Times New Roman" w:eastAsia="宋体" w:cs="Times New Roman"/>
          <w:color w:val="000000"/>
          <w:kern w:val="0"/>
          <w:sz w:val="24"/>
          <w:szCs w:val="24"/>
          <w:u w:val="single"/>
          <w:lang w:eastAsia="zh-CN"/>
        </w:rPr>
        <w:t>根据其</w:t>
      </w:r>
      <w:r>
        <w:rPr>
          <w:rFonts w:hint="default" w:ascii="Times New Roman" w:hAnsi="Times New Roman" w:eastAsia="宋体" w:cs="Times New Roman"/>
          <w:color w:val="000000"/>
          <w:kern w:val="0"/>
          <w:sz w:val="24"/>
          <w:szCs w:val="24"/>
          <w:u w:val="single"/>
          <w:lang w:val="en-US" w:eastAsia="zh-CN"/>
        </w:rPr>
        <w:t>运营</w:t>
      </w:r>
      <w:r>
        <w:rPr>
          <w:rFonts w:hint="default" w:ascii="Times New Roman" w:hAnsi="Times New Roman" w:eastAsia="宋体" w:cs="Times New Roman"/>
          <w:color w:val="000000"/>
          <w:kern w:val="0"/>
          <w:sz w:val="24"/>
          <w:szCs w:val="24"/>
          <w:u w:val="single"/>
          <w:lang w:eastAsia="zh-CN"/>
        </w:rPr>
        <w:t>情况，对土壤环境影响的污染物来源于</w:t>
      </w:r>
      <w:r>
        <w:rPr>
          <w:rFonts w:hint="default" w:ascii="Times New Roman" w:hAnsi="Times New Roman" w:eastAsia="宋体" w:cs="Times New Roman"/>
          <w:color w:val="000000"/>
          <w:kern w:val="0"/>
          <w:sz w:val="24"/>
          <w:szCs w:val="24"/>
          <w:u w:val="single"/>
          <w:lang w:val="en-US" w:eastAsia="zh-CN"/>
        </w:rPr>
        <w:t>危险废物的贮存活动</w:t>
      </w:r>
      <w:r>
        <w:rPr>
          <w:rFonts w:hint="default" w:ascii="Times New Roman" w:hAnsi="Times New Roman" w:eastAsia="宋体" w:cs="Times New Roman"/>
          <w:color w:val="000000"/>
          <w:kern w:val="0"/>
          <w:sz w:val="24"/>
          <w:szCs w:val="24"/>
          <w:u w:val="single"/>
          <w:lang w:eastAsia="zh-CN"/>
        </w:rPr>
        <w:t>，土壤中可能会残留石油烃等有机物。</w:t>
      </w:r>
    </w:p>
    <w:p w14:paraId="133FB81A">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3.</w:t>
      </w:r>
      <w:r>
        <w:rPr>
          <w:rFonts w:hint="default" w:ascii="Times New Roman" w:hAnsi="Times New Roman" w:eastAsia="宋体" w:cs="Times New Roman"/>
          <w:sz w:val="24"/>
          <w:u w:val="single"/>
          <w:lang w:val="en-US" w:eastAsia="zh-CN"/>
        </w:rPr>
        <w:t>9.2设备、原料、废物等的处理</w:t>
      </w:r>
    </w:p>
    <w:p w14:paraId="1D5357E0">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所有现有工程设备均进行不利旧，废水处理达标后排放， 废渣按相关环保要求分类委外处置。遗留的主要是厂房及不能搬迁利用的公建配套设施，建设单位 应事先制定残留污染物清理和安全处置方案，并报</w:t>
      </w:r>
      <w:r>
        <w:rPr>
          <w:rFonts w:hint="default" w:ascii="Times New Roman" w:hAnsi="Times New Roman" w:eastAsia="宋体" w:cs="Times New Roman"/>
          <w:color w:val="000000"/>
          <w:kern w:val="0"/>
          <w:sz w:val="24"/>
          <w:szCs w:val="24"/>
          <w:u w:val="single"/>
          <w:lang w:val="en-US" w:eastAsia="zh-CN"/>
        </w:rPr>
        <w:t>衡阳市</w:t>
      </w:r>
      <w:r>
        <w:rPr>
          <w:rFonts w:hint="default" w:ascii="Times New Roman" w:hAnsi="Times New Roman" w:eastAsia="宋体" w:cs="Times New Roman"/>
          <w:color w:val="000000"/>
          <w:kern w:val="0"/>
          <w:sz w:val="24"/>
          <w:szCs w:val="24"/>
          <w:u w:val="single"/>
          <w:lang w:eastAsia="zh-CN"/>
        </w:rPr>
        <w:t>生态环境局备案， 严格按照《企业拆除活动污染防治技术规定（试行）（公告 2017年第78号）》等相关规定实施安全处理处置，防范拆除活动污染土壤。</w:t>
      </w:r>
    </w:p>
    <w:p w14:paraId="46A56A26">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3.</w:t>
      </w:r>
      <w:r>
        <w:rPr>
          <w:rFonts w:hint="default" w:ascii="Times New Roman" w:hAnsi="Times New Roman" w:eastAsia="宋体" w:cs="Times New Roman"/>
          <w:sz w:val="24"/>
          <w:u w:val="single"/>
          <w:lang w:val="en-US" w:eastAsia="zh-CN"/>
        </w:rPr>
        <w:t>9.3场地处理</w:t>
      </w:r>
    </w:p>
    <w:p w14:paraId="472925BF">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根据</w:t>
      </w:r>
      <w:r>
        <w:rPr>
          <w:rFonts w:hint="eastAsia" w:ascii="Times New Roman" w:hAnsi="Times New Roman" w:cs="Times New Roman"/>
          <w:color w:val="000000"/>
          <w:kern w:val="0"/>
          <w:sz w:val="24"/>
          <w:szCs w:val="24"/>
          <w:u w:val="single"/>
          <w:lang w:eastAsia="zh-CN"/>
        </w:rPr>
        <w:t>生态环境部</w:t>
      </w:r>
      <w:r>
        <w:rPr>
          <w:rFonts w:hint="default" w:ascii="Times New Roman" w:hAnsi="Times New Roman" w:eastAsia="宋体" w:cs="Times New Roman"/>
          <w:color w:val="000000"/>
          <w:kern w:val="0"/>
          <w:sz w:val="24"/>
          <w:szCs w:val="24"/>
          <w:u w:val="single"/>
          <w:lang w:eastAsia="zh-CN"/>
        </w:rPr>
        <w:t>《关于加强工业企业关停、搬迁及原址场地再开发利用过程中污染防治工作的 通知》（环发[2014]66号）、《企业拆除活动污染防治技术规定（试行）（公告2017年第78号）》，环境保护部、工业和信息化部、国土资源部、住房和城乡建设部《关于保障工业企业场地再开发利用环境安全的通知》（环发〔2012〕140号）、《“十三五”生态环境保护规划》（国发〔2016〕65号），以及湖南省人民政府关于印发《湖南省土壤污染防治工作方案》的通知（湘政发</w:t>
      </w:r>
      <w:r>
        <w:rPr>
          <w:rFonts w:hint="default" w:ascii="Times New Roman" w:hAnsi="Times New Roman" w:eastAsia="宋体" w:cs="Times New Roman"/>
          <w:color w:val="000000"/>
          <w:kern w:val="0"/>
          <w:sz w:val="24"/>
          <w:szCs w:val="24"/>
          <w:u w:val="single"/>
          <w:lang w:val="en-US" w:eastAsia="zh-CN"/>
        </w:rPr>
        <w:t>[</w:t>
      </w:r>
      <w:r>
        <w:rPr>
          <w:rFonts w:hint="default" w:ascii="Times New Roman" w:hAnsi="Times New Roman" w:eastAsia="宋体" w:cs="Times New Roman"/>
          <w:color w:val="000000"/>
          <w:kern w:val="0"/>
          <w:sz w:val="24"/>
          <w:szCs w:val="24"/>
          <w:u w:val="single"/>
          <w:lang w:eastAsia="zh-CN"/>
        </w:rPr>
        <w:t>2017</w:t>
      </w:r>
      <w:r>
        <w:rPr>
          <w:rFonts w:hint="default" w:ascii="Times New Roman" w:hAnsi="Times New Roman" w:eastAsia="宋体" w:cs="Times New Roman"/>
          <w:color w:val="000000"/>
          <w:kern w:val="0"/>
          <w:sz w:val="24"/>
          <w:szCs w:val="24"/>
          <w:u w:val="single"/>
          <w:lang w:val="en-US" w:eastAsia="zh-CN"/>
        </w:rPr>
        <w:t>]</w:t>
      </w:r>
      <w:r>
        <w:rPr>
          <w:rFonts w:hint="default" w:ascii="Times New Roman" w:hAnsi="Times New Roman" w:eastAsia="宋体" w:cs="Times New Roman"/>
          <w:color w:val="000000"/>
          <w:kern w:val="0"/>
          <w:sz w:val="24"/>
          <w:szCs w:val="24"/>
          <w:u w:val="single"/>
          <w:lang w:eastAsia="zh-CN"/>
        </w:rPr>
        <w:t>4号）等文的要求，为了有效预防和控制现有工程在搬迁拆除过程中的环境影响，建设单位应强化关停过程污染防治，并按照要求开展场地的环境调查和风险评估工作。</w:t>
      </w:r>
    </w:p>
    <w:p w14:paraId="6E30FFAE">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本次环评根据《场地环境调查技术导则》等环保标准，提出在方案的制定过程中注意以下几点：</w:t>
      </w:r>
    </w:p>
    <w:p w14:paraId="7A5A663C">
      <w:pPr>
        <w:tabs>
          <w:tab w:val="left" w:pos="1021"/>
        </w:tabs>
        <w:spacing w:line="360" w:lineRule="auto"/>
        <w:ind w:firstLine="480"/>
        <w:rPr>
          <w:rFonts w:hint="default" w:ascii="Times New Roman" w:hAnsi="Times New Roman" w:eastAsia="宋体" w:cs="Times New Roman"/>
          <w:b/>
          <w:bCs/>
          <w:color w:val="000000"/>
          <w:kern w:val="0"/>
          <w:sz w:val="24"/>
          <w:szCs w:val="24"/>
          <w:u w:val="single"/>
          <w:lang w:eastAsia="zh-CN"/>
        </w:rPr>
      </w:pPr>
      <w:r>
        <w:rPr>
          <w:rFonts w:hint="default" w:ascii="Times New Roman" w:hAnsi="Times New Roman" w:eastAsia="宋体" w:cs="Times New Roman"/>
          <w:b/>
          <w:bCs/>
          <w:color w:val="000000"/>
          <w:kern w:val="0"/>
          <w:sz w:val="24"/>
          <w:szCs w:val="24"/>
          <w:u w:val="single"/>
          <w:lang w:eastAsia="zh-CN"/>
        </w:rPr>
        <w:t>1、明确环境污染整治的责任单位</w:t>
      </w:r>
    </w:p>
    <w:p w14:paraId="6EF2FC1F">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关于保障工业企业场地再开发利用环境安全的通知》（环发〔2012〕140号）明确指出：建设单位是承担环境调查、风险评估和治理修复责任（以下简称“相关责任”）的主体。造成场地污染的单位发生变更的，由变更后继承其债权、债务的单位承担相关责任；造成场地污染的 单位已经终止的，由所在地县级以上地方人民政府依法承担相关责任；该单位享有的土地使用权依法转让的，由土地使用权受让人承担相关责任。根据责任主体的划分，环境调查、风险评估和治理修复等所需费用应列入企业搬迁成本、企业改制成本或土地整治成本。</w:t>
      </w:r>
    </w:p>
    <w:p w14:paraId="508C1133">
      <w:pPr>
        <w:tabs>
          <w:tab w:val="left" w:pos="1021"/>
        </w:tabs>
        <w:spacing w:line="360" w:lineRule="auto"/>
        <w:ind w:firstLine="480"/>
        <w:rPr>
          <w:rFonts w:hint="default" w:ascii="Times New Roman" w:hAnsi="Times New Roman" w:eastAsia="宋体" w:cs="Times New Roman"/>
          <w:b/>
          <w:bCs/>
          <w:color w:val="000000"/>
          <w:kern w:val="0"/>
          <w:sz w:val="24"/>
          <w:szCs w:val="24"/>
          <w:u w:val="single"/>
          <w:lang w:eastAsia="zh-CN"/>
        </w:rPr>
      </w:pPr>
      <w:r>
        <w:rPr>
          <w:rFonts w:hint="default" w:ascii="Times New Roman" w:hAnsi="Times New Roman" w:eastAsia="宋体" w:cs="Times New Roman"/>
          <w:b/>
          <w:bCs/>
          <w:color w:val="000000"/>
          <w:kern w:val="0"/>
          <w:sz w:val="24"/>
          <w:szCs w:val="24"/>
          <w:u w:val="single"/>
          <w:lang w:eastAsia="zh-CN"/>
        </w:rPr>
        <w:t>2、规范各类设施拆除流程要求</w:t>
      </w:r>
    </w:p>
    <w:p w14:paraId="7E6AC83E">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对地上及地下的建筑物、构筑物、生产装置、管线、污染治理设施、有毒有害化学品储存 设施等予以规范清理和拆除。企业在关停搬迁过程中应确保污染防治设施正常运行或使用，妥善处理遗留或搬迁过程中产生的污染物，待生产设备拆除完毕且相关污染物处理处置结束后方可拆除污染治理设施。</w:t>
      </w:r>
    </w:p>
    <w:p w14:paraId="55C4BA13">
      <w:pPr>
        <w:tabs>
          <w:tab w:val="left" w:pos="1021"/>
        </w:tabs>
        <w:spacing w:line="360" w:lineRule="auto"/>
        <w:ind w:firstLine="480"/>
        <w:rPr>
          <w:rFonts w:hint="default" w:ascii="Times New Roman" w:hAnsi="Times New Roman" w:eastAsia="宋体" w:cs="Times New Roman"/>
          <w:b/>
          <w:bCs/>
          <w:color w:val="000000"/>
          <w:kern w:val="0"/>
          <w:sz w:val="24"/>
          <w:szCs w:val="24"/>
          <w:u w:val="single"/>
          <w:lang w:eastAsia="zh-CN"/>
        </w:rPr>
      </w:pPr>
      <w:r>
        <w:rPr>
          <w:rFonts w:hint="default" w:ascii="Times New Roman" w:hAnsi="Times New Roman" w:eastAsia="宋体" w:cs="Times New Roman"/>
          <w:b/>
          <w:bCs/>
          <w:color w:val="000000"/>
          <w:kern w:val="0"/>
          <w:sz w:val="24"/>
          <w:szCs w:val="24"/>
          <w:u w:val="single"/>
          <w:lang w:eastAsia="zh-CN"/>
        </w:rPr>
        <w:t>3、对区域土壤、地下水等进行调查与评价并提出修复方案</w:t>
      </w:r>
    </w:p>
    <w:p w14:paraId="7B86BAFC">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明确对工业固体废物、废水的贮存、处置的设施、场所采取污染防治措施。</w:t>
      </w:r>
    </w:p>
    <w:p w14:paraId="7E7BD5A4">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（1）土壤调查与评价</w:t>
      </w:r>
    </w:p>
    <w:p w14:paraId="57E5FA3E">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a）收集以前的场地调查报告、场地历史、场地平面布局、危险废物储存、地下管道系统、污染事故报告等资料，分析确定潜在的污染源和污染区域。</w:t>
      </w:r>
    </w:p>
    <w:p w14:paraId="448492C3">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b）原厂址区域内采集土壤样品，重点在可能存在污染的区域布点，土壤柱状采样点原则上不少于5个点（主导风向下厂界、主要各生产装置区、危险废物堆存场、物料输送及排污管线等）。</w:t>
      </w:r>
    </w:p>
    <w:p w14:paraId="6A3AFED9">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c）根据厂址运行过程中所涉及的物料筛选监测因子，主要包括无机化合物、挥发性有机化合物类和半挥发性有机化合物类等，进行全面分析。同时根据厂区历史运行过程中所用的化学品适当筛选监测因子。</w:t>
      </w:r>
    </w:p>
    <w:p w14:paraId="627AB5D4">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d）评价结果应根据场地未来使用性质，为制定和实施相应的修复计划提供依据。</w:t>
      </w:r>
    </w:p>
    <w:p w14:paraId="6166202F">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（2）地下水调查与评价</w:t>
      </w:r>
    </w:p>
    <w:p w14:paraId="6F45558F">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a）监测点位布设应包括厂区和厂外附近区域；另外，根据场地的历史运行状况确定在可能存在污染的区域内布设监测点位。</w:t>
      </w:r>
    </w:p>
    <w:p w14:paraId="3BFD2610">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pPr>
      <w:r>
        <w:rPr>
          <w:rFonts w:hint="default" w:ascii="Times New Roman" w:hAnsi="Times New Roman" w:eastAsia="宋体" w:cs="Times New Roman"/>
          <w:color w:val="000000"/>
          <w:kern w:val="0"/>
          <w:sz w:val="24"/>
          <w:szCs w:val="24"/>
          <w:u w:val="single"/>
          <w:lang w:eastAsia="zh-CN"/>
        </w:rPr>
        <w:t>b）按照原有装置所排放的污染物对环境构成的影响程度来筛选监测因子。</w:t>
      </w:r>
    </w:p>
    <w:p w14:paraId="7BA181B4">
      <w:pPr>
        <w:tabs>
          <w:tab w:val="left" w:pos="1021"/>
        </w:tabs>
        <w:spacing w:line="360" w:lineRule="auto"/>
        <w:ind w:firstLine="480"/>
        <w:rPr>
          <w:rFonts w:hint="default" w:ascii="Times New Roman" w:hAnsi="Times New Roman" w:eastAsia="宋体" w:cs="Times New Roman"/>
          <w:color w:val="000000"/>
          <w:kern w:val="0"/>
          <w:sz w:val="24"/>
          <w:szCs w:val="24"/>
          <w:u w:val="singl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000000"/>
          <w:kern w:val="0"/>
          <w:sz w:val="24"/>
          <w:szCs w:val="24"/>
          <w:u w:val="single"/>
          <w:lang w:eastAsia="zh-CN"/>
        </w:rPr>
        <w:t>c）潜水污染现状应采用地下水环境质量标准对监测结果进行评价，对于无标准的因子，按照 HJ/T164有关规定进行评价。对于地下水已被污染的，应视地下水利用性质和敏感性，确定实施相应的修复计划。</w:t>
      </w:r>
    </w:p>
    <w:p w14:paraId="27F65171">
      <w:pPr>
        <w:pStyle w:val="2"/>
        <w:spacing w:before="0" w:after="0" w:line="360" w:lineRule="auto"/>
        <w:rPr>
          <w:rFonts w:hint="default" w:ascii="Times New Roman" w:hAnsi="Times New Roman" w:eastAsia="宋体" w:cs="Times New Roman"/>
        </w:rPr>
      </w:pPr>
      <w:bookmarkStart w:id="247" w:name="_Toc687"/>
      <w:bookmarkStart w:id="248" w:name="_Toc106961880"/>
      <w:bookmarkStart w:id="249" w:name="_Toc123733085"/>
      <w:r>
        <w:rPr>
          <w:rFonts w:hint="default" w:ascii="Times New Roman" w:hAnsi="Times New Roman" w:eastAsia="宋体" w:cs="Times New Roman"/>
        </w:rPr>
        <w:t>4扩建项目概况</w:t>
      </w:r>
      <w:bookmarkEnd w:id="247"/>
      <w:bookmarkEnd w:id="248"/>
      <w:bookmarkEnd w:id="249"/>
    </w:p>
    <w:p w14:paraId="510F8244">
      <w:pPr>
        <w:pStyle w:val="3"/>
        <w:spacing w:before="0" w:after="0" w:line="360" w:lineRule="auto"/>
        <w:jc w:val="left"/>
        <w:rPr>
          <w:rFonts w:hint="default" w:ascii="Times New Roman" w:hAnsi="Times New Roman" w:eastAsia="宋体" w:cs="Times New Roman"/>
          <w:lang w:val="en-US" w:eastAsia="zh-CN"/>
        </w:rPr>
      </w:pPr>
      <w:bookmarkStart w:id="250" w:name="_Toc123733086"/>
      <w:bookmarkStart w:id="251" w:name="_Toc106961881"/>
      <w:bookmarkStart w:id="252" w:name="_Toc32330"/>
      <w:r>
        <w:rPr>
          <w:rFonts w:hint="default" w:ascii="Times New Roman" w:hAnsi="Times New Roman" w:eastAsia="宋体" w:cs="Times New Roman"/>
          <w:kern w:val="0"/>
          <w:sz w:val="30"/>
          <w:szCs w:val="28"/>
        </w:rPr>
        <w:t>4.1</w:t>
      </w:r>
      <w:bookmarkStart w:id="253" w:name="_Toc34723886"/>
      <w:bookmarkStart w:id="254" w:name="_Toc87016978"/>
      <w:r>
        <w:rPr>
          <w:rFonts w:hint="default" w:ascii="Times New Roman" w:hAnsi="Times New Roman" w:eastAsia="宋体" w:cs="Times New Roman"/>
        </w:rPr>
        <w:t>项目</w:t>
      </w:r>
      <w:bookmarkEnd w:id="250"/>
      <w:bookmarkEnd w:id="251"/>
      <w:bookmarkEnd w:id="253"/>
      <w:bookmarkEnd w:id="254"/>
      <w:r>
        <w:rPr>
          <w:rFonts w:hint="default" w:ascii="Times New Roman" w:hAnsi="Times New Roman" w:eastAsia="宋体" w:cs="Times New Roman"/>
          <w:lang w:val="en-US" w:eastAsia="zh-CN"/>
        </w:rPr>
        <w:t>基本情况</w:t>
      </w:r>
      <w:bookmarkEnd w:id="252"/>
    </w:p>
    <w:p w14:paraId="2D91A952">
      <w:pPr>
        <w:pStyle w:val="4"/>
        <w:spacing w:before="0" w:after="0" w:line="360" w:lineRule="auto"/>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.1</w:t>
      </w:r>
      <w:r>
        <w:rPr>
          <w:rFonts w:hint="default" w:ascii="Times New Roman" w:hAnsi="Times New Roman" w:eastAsia="宋体" w:cs="Times New Roman"/>
          <w:sz w:val="24"/>
          <w:szCs w:val="24"/>
          <w:lang w:val="en-US" w:eastAsia="zh-CN"/>
        </w:rPr>
        <w:t>项目名称、建设性质、规模</w:t>
      </w:r>
    </w:p>
    <w:p w14:paraId="79F3D384">
      <w:pPr>
        <w:spacing w:line="360" w:lineRule="auto"/>
        <w:ind w:left="1384" w:leftChars="200" w:hanging="964" w:hangingChars="40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（1）项目名称：</w:t>
      </w:r>
      <w:r>
        <w:rPr>
          <w:rFonts w:hint="default" w:ascii="Times New Roman" w:hAnsi="Times New Roman" w:eastAsia="宋体" w:cs="Times New Roman"/>
          <w:sz w:val="24"/>
          <w:szCs w:val="24"/>
        </w:rPr>
        <w:t>松木经开区循环经济产业基地项目废旧金属塑料危险废物</w:t>
      </w:r>
    </w:p>
    <w:p w14:paraId="746931F5">
      <w:pPr>
        <w:spacing w:line="360" w:lineRule="auto"/>
        <w:ind w:left="1260" w:leftChars="600" w:firstLine="960" w:firstLineChars="4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综合利用子项目</w:t>
      </w:r>
    </w:p>
    <w:p w14:paraId="04FE1491">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（2）行业类别：</w:t>
      </w:r>
      <w:r>
        <w:rPr>
          <w:rFonts w:hint="default" w:ascii="Times New Roman" w:hAnsi="Times New Roman" w:eastAsia="宋体" w:cs="Times New Roman"/>
          <w:sz w:val="24"/>
          <w:szCs w:val="24"/>
        </w:rPr>
        <w:t>N7724 危险废物治理、G5990 其他仓储业。</w:t>
      </w:r>
    </w:p>
    <w:p w14:paraId="601AC634">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（3）建设性质：</w:t>
      </w:r>
      <w:r>
        <w:rPr>
          <w:rFonts w:hint="default" w:ascii="Times New Roman" w:hAnsi="Times New Roman" w:eastAsia="宋体" w:cs="Times New Roman"/>
          <w:b w:val="0"/>
          <w:bCs w:val="0"/>
          <w:sz w:val="24"/>
          <w:szCs w:val="24"/>
          <w:lang w:val="en-US" w:eastAsia="zh-CN"/>
        </w:rPr>
        <w:t>迁建+</w:t>
      </w:r>
      <w:r>
        <w:rPr>
          <w:rFonts w:hint="default" w:ascii="Times New Roman" w:hAnsi="Times New Roman" w:eastAsia="宋体" w:cs="Times New Roman"/>
          <w:sz w:val="24"/>
          <w:szCs w:val="24"/>
        </w:rPr>
        <w:t>扩建。</w:t>
      </w:r>
    </w:p>
    <w:p w14:paraId="0C8AF6C8">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（4）总投资额：</w:t>
      </w:r>
      <w:r>
        <w:rPr>
          <w:rFonts w:hint="default" w:ascii="Times New Roman" w:hAnsi="Times New Roman" w:eastAsia="宋体" w:cs="Times New Roman"/>
          <w:sz w:val="24"/>
          <w:szCs w:val="24"/>
        </w:rPr>
        <w:t>投资总额为9800万元，其中：环保投资480万元，约占总投资额的5%。</w:t>
      </w:r>
    </w:p>
    <w:p w14:paraId="6EE59BA0">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（5）建设地点：</w:t>
      </w:r>
      <w:r>
        <w:rPr>
          <w:rFonts w:hint="default" w:ascii="Times New Roman" w:hAnsi="Times New Roman" w:eastAsia="宋体" w:cs="Times New Roman"/>
          <w:color w:val="000000"/>
          <w:sz w:val="24"/>
        </w:rPr>
        <w:t>衡阳市松木工业园废旧物资循环利用产业园化工路</w:t>
      </w:r>
      <w:r>
        <w:rPr>
          <w:rFonts w:hint="default" w:ascii="Times New Roman" w:hAnsi="Times New Roman" w:eastAsia="宋体" w:cs="Times New Roman"/>
          <w:sz w:val="24"/>
          <w:szCs w:val="24"/>
        </w:rPr>
        <w:t>，用地性质为二类工业用地，建设项目中心地理坐标</w:t>
      </w:r>
      <w:r>
        <w:rPr>
          <w:rFonts w:hint="default" w:ascii="Times New Roman" w:hAnsi="Times New Roman" w:eastAsia="宋体" w:cs="Times New Roman"/>
          <w:sz w:val="24"/>
        </w:rPr>
        <w:t>E112.627892°，N26.973652°</w:t>
      </w:r>
      <w:bookmarkStart w:id="255" w:name="_Hlk34692982"/>
      <w:r>
        <w:rPr>
          <w:rFonts w:hint="default" w:ascii="Times New Roman" w:hAnsi="Times New Roman" w:eastAsia="宋体" w:cs="Times New Roman"/>
          <w:sz w:val="24"/>
        </w:rPr>
        <w:t>，</w:t>
      </w:r>
      <w:r>
        <w:rPr>
          <w:rFonts w:hint="default" w:ascii="Times New Roman" w:hAnsi="Times New Roman" w:eastAsia="宋体" w:cs="Times New Roman"/>
          <w:sz w:val="24"/>
          <w:szCs w:val="24"/>
        </w:rPr>
        <w:t>占地面积约30亩。</w:t>
      </w:r>
    </w:p>
    <w:p w14:paraId="1DEB5B89">
      <w:pPr>
        <w:spacing w:line="360" w:lineRule="auto"/>
        <w:ind w:firstLine="48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w:t>
      </w:r>
      <w:r>
        <w:rPr>
          <w:rFonts w:hint="default" w:ascii="Times New Roman" w:hAnsi="Times New Roman" w:eastAsia="宋体" w:cs="Times New Roman"/>
          <w:b/>
          <w:bCs/>
          <w:sz w:val="24"/>
          <w:szCs w:val="24"/>
          <w:lang w:val="en-US" w:eastAsia="zh-CN"/>
        </w:rPr>
        <w:t>6</w:t>
      </w:r>
      <w:r>
        <w:rPr>
          <w:rFonts w:hint="default" w:ascii="Times New Roman" w:hAnsi="Times New Roman" w:eastAsia="宋体" w:cs="Times New Roman"/>
          <w:b/>
          <w:bCs/>
          <w:sz w:val="24"/>
          <w:szCs w:val="24"/>
        </w:rPr>
        <w:t>）经营范围：</w:t>
      </w:r>
    </w:p>
    <w:p w14:paraId="6F8EE4D1">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rPr>
        <w:t>现有项目的经营单位衡阳湘环环保科技有限公司危险废物经营许可证（收集、贮存）有限期至202</w:t>
      </w:r>
      <w:r>
        <w:rPr>
          <w:rFonts w:hint="default" w:ascii="Times New Roman" w:hAnsi="Times New Roman" w:eastAsia="宋体" w:cs="Times New Roman"/>
          <w:color w:val="000000"/>
          <w:sz w:val="24"/>
          <w:szCs w:val="24"/>
          <w:lang w:val="en-US" w:eastAsia="zh-CN"/>
        </w:rPr>
        <w:t>4</w:t>
      </w:r>
      <w:r>
        <w:rPr>
          <w:rFonts w:hint="default" w:ascii="Times New Roman" w:hAnsi="Times New Roman" w:eastAsia="宋体" w:cs="Times New Roman"/>
          <w:color w:val="000000"/>
          <w:sz w:val="24"/>
          <w:szCs w:val="24"/>
        </w:rPr>
        <w:t>年</w:t>
      </w:r>
      <w:r>
        <w:rPr>
          <w:rFonts w:hint="default" w:ascii="Times New Roman" w:hAnsi="Times New Roman" w:eastAsia="宋体" w:cs="Times New Roman"/>
          <w:color w:val="000000"/>
          <w:sz w:val="24"/>
          <w:szCs w:val="24"/>
          <w:lang w:val="en-US" w:eastAsia="zh-CN"/>
        </w:rPr>
        <w:t>9</w:t>
      </w:r>
      <w:r>
        <w:rPr>
          <w:rFonts w:hint="default" w:ascii="Times New Roman" w:hAnsi="Times New Roman" w:eastAsia="宋体" w:cs="Times New Roman"/>
          <w:color w:val="000000"/>
          <w:sz w:val="24"/>
          <w:szCs w:val="24"/>
        </w:rPr>
        <w:t>月2</w:t>
      </w:r>
      <w:r>
        <w:rPr>
          <w:rFonts w:hint="default" w:ascii="Times New Roman" w:hAnsi="Times New Roman" w:eastAsia="宋体" w:cs="Times New Roman"/>
          <w:color w:val="000000"/>
          <w:sz w:val="24"/>
          <w:szCs w:val="24"/>
          <w:lang w:val="en-US" w:eastAsia="zh-CN"/>
        </w:rPr>
        <w:t>7</w:t>
      </w:r>
      <w:r>
        <w:rPr>
          <w:rFonts w:hint="default" w:ascii="Times New Roman" w:hAnsi="Times New Roman" w:eastAsia="宋体" w:cs="Times New Roman"/>
          <w:color w:val="000000"/>
          <w:sz w:val="24"/>
          <w:szCs w:val="24"/>
        </w:rPr>
        <w:t>日，待扩建项目建成投产后，该危险废物的经营主体将调整为</w:t>
      </w:r>
      <w:r>
        <w:rPr>
          <w:rFonts w:hint="default" w:ascii="Times New Roman" w:hAnsi="Times New Roman" w:eastAsia="宋体" w:cs="Times New Roman"/>
          <w:sz w:val="24"/>
        </w:rPr>
        <w:t>湖南湘蓝再生资源利用有限公司</w:t>
      </w:r>
      <w:r>
        <w:rPr>
          <w:rFonts w:hint="default" w:ascii="Times New Roman" w:hAnsi="Times New Roman" w:eastAsia="宋体" w:cs="Times New Roman"/>
          <w:color w:val="000000"/>
          <w:sz w:val="24"/>
          <w:szCs w:val="24"/>
        </w:rPr>
        <w:t>。</w:t>
      </w:r>
    </w:p>
    <w:p w14:paraId="39BF8C5D">
      <w:pPr>
        <w:spacing w:line="360" w:lineRule="auto"/>
        <w:ind w:firstLine="48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①危险废物收集、贮存（搬迁部分）</w:t>
      </w:r>
    </w:p>
    <w:p w14:paraId="42F1F9B1">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仅进行收集贮存的危险废物类别包括：</w:t>
      </w:r>
      <w:r>
        <w:rPr>
          <w:rFonts w:hint="default" w:ascii="Times New Roman" w:hAnsi="Times New Roman" w:eastAsia="宋体" w:cs="Times New Roman"/>
          <w:sz w:val="24"/>
          <w:szCs w:val="24"/>
        </w:rPr>
        <w:t xml:space="preserve"> HW03废药物、药品，HW04农药废物，HW05木材防腐剂，HW06废有机溶剂与含有机溶剂废物，HW09油/水、烃/水混合物或乳化液，HW10多氯（溴）联苯类废物</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HW11精(蒸)馏残渣，HW12染料、涂料废物，HW13有机树脂类废物，HW16感光材料废物，HW17表面处理废物，HW22含铜废物，HW29含汞废物，HW31含铅废物，HW34废酸，HW35废碱，HW36石棉废物，HW49其他废物，HW50废催化剂，HW08废矿物油与含废矿物油废物（具体类别详见表4.3-1 现有项目扩建后危险废物收集、贮存类别及规模一览表），收集贮存能力</w:t>
      </w:r>
      <w:r>
        <w:rPr>
          <w:rFonts w:hint="default" w:ascii="Times New Roman" w:hAnsi="Times New Roman" w:eastAsia="宋体" w:cs="Times New Roman"/>
          <w:sz w:val="24"/>
          <w:szCs w:val="24"/>
          <w:lang w:val="en-US" w:eastAsia="zh-CN"/>
        </w:rPr>
        <w:t>由9800t/a提升至</w:t>
      </w:r>
      <w:r>
        <w:rPr>
          <w:rFonts w:hint="default" w:ascii="Times New Roman" w:hAnsi="Times New Roman" w:eastAsia="宋体" w:cs="Times New Roman"/>
          <w:sz w:val="24"/>
          <w:szCs w:val="24"/>
          <w:lang w:eastAsia="zh-CN"/>
        </w:rPr>
        <w:t>14400</w:t>
      </w:r>
      <w:r>
        <w:rPr>
          <w:rFonts w:hint="default" w:ascii="Times New Roman" w:hAnsi="Times New Roman" w:eastAsia="宋体" w:cs="Times New Roman"/>
          <w:sz w:val="24"/>
          <w:szCs w:val="24"/>
        </w:rPr>
        <w:t>t/a。</w:t>
      </w:r>
    </w:p>
    <w:p w14:paraId="18DE5834">
      <w:pPr>
        <w:spacing w:line="360" w:lineRule="auto"/>
        <w:ind w:firstLine="48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②危险废物</w:t>
      </w:r>
      <w:r>
        <w:rPr>
          <w:rFonts w:hint="default" w:ascii="Times New Roman" w:hAnsi="Times New Roman" w:eastAsia="宋体" w:cs="Times New Roman"/>
          <w:b/>
          <w:bCs/>
          <w:sz w:val="24"/>
          <w:szCs w:val="24"/>
          <w:lang w:val="en-US" w:eastAsia="zh-CN"/>
        </w:rPr>
        <w:t>收集、贮存、</w:t>
      </w:r>
      <w:r>
        <w:rPr>
          <w:rFonts w:hint="default" w:ascii="Times New Roman" w:hAnsi="Times New Roman" w:eastAsia="宋体" w:cs="Times New Roman"/>
          <w:b/>
          <w:bCs/>
          <w:sz w:val="24"/>
          <w:szCs w:val="24"/>
        </w:rPr>
        <w:t>利用（扩建部分）</w:t>
      </w:r>
    </w:p>
    <w:p w14:paraId="2D1FCAA6">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进行收集、贮存并利用的危险废物类别包括：</w:t>
      </w:r>
      <w:r>
        <w:rPr>
          <w:rFonts w:hint="default" w:ascii="Times New Roman" w:hAnsi="Times New Roman" w:eastAsia="宋体" w:cs="Times New Roman"/>
          <w:sz w:val="24"/>
          <w:szCs w:val="24"/>
        </w:rPr>
        <w:t>HW08（900-249-08限沾染矿物油的废弃塑料和金属包装容器）、HW49（900-041-49限废弃包装物、容器和废金属机油滤芯）</w:t>
      </w:r>
      <w:r>
        <w:rPr>
          <w:rFonts w:hint="default" w:ascii="Times New Roman" w:hAnsi="Times New Roman" w:eastAsia="宋体" w:cs="Times New Roman"/>
          <w:b/>
          <w:bCs/>
          <w:sz w:val="24"/>
          <w:szCs w:val="24"/>
        </w:rPr>
        <w:t>20000t/a</w:t>
      </w:r>
      <w:r>
        <w:rPr>
          <w:rFonts w:hint="default" w:ascii="Times New Roman" w:hAnsi="Times New Roman" w:eastAsia="宋体" w:cs="Times New Roman"/>
          <w:sz w:val="24"/>
          <w:szCs w:val="24"/>
        </w:rPr>
        <w:t>（限省内，其中5000t/a废塑料包装容器、5000t/a废金属机油滤芯、10000t/a废金属包装容器；不得接收</w:t>
      </w:r>
      <w:r>
        <w:rPr>
          <w:rFonts w:hint="default" w:ascii="Times New Roman" w:hAnsi="Times New Roman" w:eastAsia="宋体" w:cs="Times New Roman"/>
          <w:sz w:val="24"/>
          <w:szCs w:val="24"/>
          <w:lang w:val="en-US" w:eastAsia="zh-CN"/>
        </w:rPr>
        <w:t>利用</w:t>
      </w:r>
      <w:r>
        <w:rPr>
          <w:rFonts w:hint="default" w:ascii="Times New Roman" w:hAnsi="Times New Roman" w:eastAsia="宋体" w:cs="Times New Roman"/>
          <w:sz w:val="24"/>
          <w:szCs w:val="24"/>
        </w:rPr>
        <w:t>含氰化物等剧毒类物质废包装容器、含爆炸性物质包装容器、感染性废弃包装物、含</w:t>
      </w:r>
      <w:r>
        <w:rPr>
          <w:rFonts w:hint="default" w:ascii="Times New Roman" w:hAnsi="Times New Roman" w:eastAsia="宋体" w:cs="Times New Roman"/>
          <w:sz w:val="24"/>
          <w:szCs w:val="24"/>
          <w:lang w:val="en-US" w:eastAsia="zh-CN"/>
        </w:rPr>
        <w:t>/沾染</w:t>
      </w:r>
      <w:r>
        <w:rPr>
          <w:rFonts w:hint="default" w:ascii="Times New Roman" w:hAnsi="Times New Roman" w:eastAsia="宋体" w:cs="Times New Roman"/>
          <w:sz w:val="24"/>
          <w:szCs w:val="24"/>
        </w:rPr>
        <w:t>重金属包装容器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含/沾染一类污染物的包装容器</w:t>
      </w:r>
      <w:r>
        <w:rPr>
          <w:rFonts w:hint="default" w:ascii="Times New Roman" w:hAnsi="Times New Roman" w:eastAsia="宋体" w:cs="Times New Roman"/>
          <w:sz w:val="24"/>
          <w:szCs w:val="24"/>
        </w:rPr>
        <w:t>）。</w:t>
      </w:r>
    </w:p>
    <w:p w14:paraId="00A02E37">
      <w:pPr>
        <w:spacing w:line="360" w:lineRule="auto"/>
        <w:ind w:firstLine="480"/>
        <w:rPr>
          <w:rFonts w:hint="default" w:ascii="Times New Roman" w:hAnsi="Times New Roman" w:eastAsia="宋体" w:cs="Times New Roman"/>
          <w:b/>
          <w:bCs/>
          <w:sz w:val="24"/>
          <w:szCs w:val="24"/>
          <w:u w:val="single"/>
          <w:lang w:val="en-US" w:eastAsia="zh-CN"/>
        </w:rPr>
      </w:pPr>
      <w:r>
        <w:rPr>
          <w:rFonts w:hint="default" w:ascii="Times New Roman" w:hAnsi="Times New Roman" w:eastAsia="宋体" w:cs="Times New Roman"/>
          <w:b/>
          <w:bCs/>
          <w:sz w:val="24"/>
          <w:szCs w:val="24"/>
          <w:u w:val="single"/>
          <w:lang w:val="en-US" w:eastAsia="zh-CN"/>
        </w:rPr>
        <w:t>项目在完成本次搬迁扩建后</w:t>
      </w:r>
      <w:r>
        <w:rPr>
          <w:rFonts w:hint="eastAsia" w:ascii="Times New Roman" w:hAnsi="Times New Roman" w:cs="Times New Roman"/>
          <w:b/>
          <w:bCs/>
          <w:sz w:val="24"/>
          <w:szCs w:val="24"/>
          <w:u w:val="single"/>
          <w:lang w:val="en-US" w:eastAsia="zh-CN"/>
        </w:rPr>
        <w:t>，项目仅进行</w:t>
      </w:r>
      <w:r>
        <w:rPr>
          <w:rFonts w:hint="default" w:ascii="Times New Roman" w:hAnsi="Times New Roman" w:eastAsia="宋体" w:cs="Times New Roman"/>
          <w:b/>
          <w:bCs/>
          <w:sz w:val="24"/>
          <w:szCs w:val="24"/>
          <w:u w:val="single"/>
          <w:lang w:val="en-US" w:eastAsia="zh-CN"/>
        </w:rPr>
        <w:t>危险废物的收集贮存</w:t>
      </w:r>
      <w:r>
        <w:rPr>
          <w:rFonts w:hint="eastAsia" w:ascii="Times New Roman" w:hAnsi="Times New Roman" w:cs="Times New Roman"/>
          <w:b/>
          <w:bCs/>
          <w:sz w:val="24"/>
          <w:szCs w:val="24"/>
          <w:u w:val="single"/>
          <w:lang w:val="en-US" w:eastAsia="zh-CN"/>
        </w:rPr>
        <w:t>的</w:t>
      </w:r>
      <w:r>
        <w:rPr>
          <w:rFonts w:hint="default" w:ascii="Times New Roman" w:hAnsi="Times New Roman" w:eastAsia="宋体" w:cs="Times New Roman"/>
          <w:b/>
          <w:bCs/>
          <w:sz w:val="24"/>
          <w:szCs w:val="24"/>
          <w:u w:val="single"/>
          <w:lang w:val="en-US" w:eastAsia="zh-CN"/>
        </w:rPr>
        <w:t>规模为</w:t>
      </w:r>
      <w:r>
        <w:rPr>
          <w:rFonts w:hint="eastAsia" w:ascii="Times New Roman" w:hAnsi="Times New Roman" w:cs="Times New Roman"/>
          <w:b/>
          <w:bCs/>
          <w:sz w:val="24"/>
          <w:szCs w:val="24"/>
          <w:u w:val="single"/>
          <w:lang w:val="en-US" w:eastAsia="zh-CN"/>
        </w:rPr>
        <w:t>1</w:t>
      </w:r>
      <w:r>
        <w:rPr>
          <w:rFonts w:hint="default" w:ascii="Times New Roman" w:hAnsi="Times New Roman" w:eastAsia="宋体" w:cs="Times New Roman"/>
          <w:b/>
          <w:bCs/>
          <w:sz w:val="24"/>
          <w:szCs w:val="24"/>
          <w:u w:val="single"/>
          <w:lang w:val="en-US" w:eastAsia="zh-CN"/>
        </w:rPr>
        <w:t>4400t/a</w:t>
      </w:r>
      <w:r>
        <w:rPr>
          <w:rFonts w:hint="eastAsia"/>
          <w:b/>
          <w:bCs/>
          <w:u w:val="single"/>
          <w:lang w:eastAsia="zh-CN"/>
        </w:rPr>
        <w:t>，</w:t>
      </w:r>
      <w:r>
        <w:rPr>
          <w:rFonts w:hint="eastAsia" w:ascii="Times New Roman" w:hAnsi="Times New Roman" w:cs="Times New Roman"/>
          <w:b/>
          <w:bCs/>
          <w:sz w:val="24"/>
          <w:szCs w:val="24"/>
          <w:u w:val="single"/>
          <w:lang w:val="en-US" w:eastAsia="zh-CN"/>
        </w:rPr>
        <w:t>进行</w:t>
      </w:r>
      <w:r>
        <w:rPr>
          <w:rFonts w:hint="default" w:ascii="Times New Roman" w:hAnsi="Times New Roman" w:eastAsia="宋体" w:cs="Times New Roman"/>
          <w:b/>
          <w:bCs/>
          <w:sz w:val="24"/>
          <w:szCs w:val="24"/>
          <w:u w:val="single"/>
          <w:lang w:val="en-US" w:eastAsia="zh-CN"/>
        </w:rPr>
        <w:t>危险废物综合利用</w:t>
      </w:r>
      <w:r>
        <w:rPr>
          <w:rFonts w:hint="eastAsia" w:ascii="Times New Roman" w:hAnsi="Times New Roman" w:cs="Times New Roman"/>
          <w:b/>
          <w:bCs/>
          <w:sz w:val="24"/>
          <w:szCs w:val="24"/>
          <w:u w:val="single"/>
          <w:lang w:val="en-US" w:eastAsia="zh-CN"/>
        </w:rPr>
        <w:t>的</w:t>
      </w:r>
      <w:r>
        <w:rPr>
          <w:rFonts w:hint="default" w:ascii="Times New Roman" w:hAnsi="Times New Roman" w:eastAsia="宋体" w:cs="Times New Roman"/>
          <w:b/>
          <w:bCs/>
          <w:sz w:val="24"/>
          <w:szCs w:val="24"/>
          <w:u w:val="single"/>
          <w:lang w:val="en-US" w:eastAsia="zh-CN"/>
        </w:rPr>
        <w:t>规模为20000t/a</w:t>
      </w:r>
      <w:r>
        <w:rPr>
          <w:rFonts w:hint="eastAsia" w:ascii="Times New Roman" w:hAnsi="Times New Roman" w:cs="Times New Roman"/>
          <w:b/>
          <w:bCs/>
          <w:sz w:val="24"/>
          <w:szCs w:val="24"/>
          <w:u w:val="single"/>
          <w:lang w:val="en-US" w:eastAsia="zh-CN"/>
        </w:rPr>
        <w:t>；项目仅进行危险废物收集贮存的单元和进行危险废物综合利用部分的临时收集贮存的单元为分隔开的独立不同区域</w:t>
      </w:r>
      <w:r>
        <w:rPr>
          <w:rFonts w:hint="default" w:ascii="Times New Roman" w:hAnsi="Times New Roman" w:eastAsia="宋体" w:cs="Times New Roman"/>
          <w:b/>
          <w:bCs/>
          <w:sz w:val="24"/>
          <w:szCs w:val="24"/>
          <w:u w:val="single"/>
          <w:lang w:val="en-US" w:eastAsia="zh-CN"/>
        </w:rPr>
        <w:t>。</w:t>
      </w:r>
    </w:p>
    <w:p w14:paraId="624CDA51">
      <w:pPr>
        <w:pStyle w:val="4"/>
        <w:spacing w:before="0" w:after="0" w:line="360" w:lineRule="auto"/>
        <w:jc w:val="left"/>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rPr>
        <w:t>4.</w:t>
      </w:r>
      <w:r>
        <w:rPr>
          <w:rFonts w:hint="default" w:ascii="Times New Roman" w:hAnsi="Times New Roman" w:eastAsia="宋体" w:cs="Times New Roman"/>
          <w:sz w:val="24"/>
          <w:szCs w:val="24"/>
          <w:u w:val="single"/>
          <w:lang w:val="en-US" w:eastAsia="zh-CN"/>
        </w:rPr>
        <w:t>1</w:t>
      </w:r>
      <w:r>
        <w:rPr>
          <w:rFonts w:hint="default" w:ascii="Times New Roman" w:hAnsi="Times New Roman" w:eastAsia="宋体" w:cs="Times New Roman"/>
          <w:sz w:val="24"/>
          <w:szCs w:val="24"/>
          <w:u w:val="single"/>
        </w:rPr>
        <w:t>.</w:t>
      </w:r>
      <w:r>
        <w:rPr>
          <w:rFonts w:hint="default" w:ascii="Times New Roman" w:hAnsi="Times New Roman" w:eastAsia="宋体" w:cs="Times New Roman"/>
          <w:sz w:val="24"/>
          <w:szCs w:val="24"/>
          <w:u w:val="single"/>
          <w:lang w:val="en-US" w:eastAsia="zh-CN"/>
        </w:rPr>
        <w:t>2项目危险废物收集贮存规模扩大以及增加危险废物利用的必要性</w:t>
      </w:r>
    </w:p>
    <w:p w14:paraId="5480783F">
      <w:pPr>
        <w:spacing w:line="360" w:lineRule="auto"/>
        <w:ind w:firstLine="482" w:firstLineChars="200"/>
        <w:rPr>
          <w:rFonts w:hint="default" w:ascii="Times New Roman" w:hAnsi="Times New Roman" w:eastAsia="宋体" w:cs="Times New Roman"/>
          <w:b/>
          <w:bCs/>
          <w:sz w:val="24"/>
          <w:szCs w:val="28"/>
          <w:u w:val="single"/>
          <w:lang w:val="en-US" w:eastAsia="zh-CN"/>
        </w:rPr>
      </w:pPr>
      <w:r>
        <w:rPr>
          <w:rFonts w:hint="default" w:ascii="Times New Roman" w:hAnsi="Times New Roman" w:eastAsia="宋体" w:cs="Times New Roman"/>
          <w:b/>
          <w:bCs/>
          <w:sz w:val="24"/>
          <w:szCs w:val="28"/>
          <w:u w:val="single"/>
          <w:lang w:eastAsia="zh-CN"/>
        </w:rPr>
        <w:t>（</w:t>
      </w:r>
      <w:r>
        <w:rPr>
          <w:rFonts w:hint="default" w:ascii="Times New Roman" w:hAnsi="Times New Roman" w:eastAsia="宋体" w:cs="Times New Roman"/>
          <w:b/>
          <w:bCs/>
          <w:sz w:val="24"/>
          <w:szCs w:val="28"/>
          <w:u w:val="single"/>
          <w:lang w:val="en-US" w:eastAsia="zh-CN"/>
        </w:rPr>
        <w:t>1</w:t>
      </w:r>
      <w:r>
        <w:rPr>
          <w:rFonts w:hint="default" w:ascii="Times New Roman" w:hAnsi="Times New Roman" w:eastAsia="宋体" w:cs="Times New Roman"/>
          <w:b/>
          <w:bCs/>
          <w:sz w:val="24"/>
          <w:szCs w:val="28"/>
          <w:u w:val="single"/>
          <w:lang w:eastAsia="zh-CN"/>
        </w:rPr>
        <w:t>）</w:t>
      </w:r>
      <w:r>
        <w:rPr>
          <w:rFonts w:hint="default" w:ascii="Times New Roman" w:hAnsi="Times New Roman" w:eastAsia="宋体" w:cs="Times New Roman"/>
          <w:b/>
          <w:bCs/>
          <w:sz w:val="24"/>
          <w:szCs w:val="28"/>
          <w:u w:val="single"/>
          <w:lang w:val="en-US" w:eastAsia="zh-CN"/>
        </w:rPr>
        <w:t>提高收集贮存规模的必要性</w:t>
      </w:r>
    </w:p>
    <w:p w14:paraId="00590AB7">
      <w:pPr>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color w:val="000000"/>
          <w:sz w:val="24"/>
          <w:szCs w:val="24"/>
          <w:u w:val="single"/>
          <w:lang w:val="en-US" w:eastAsia="zh-CN"/>
        </w:rPr>
      </w:pPr>
      <w:r>
        <w:rPr>
          <w:rFonts w:hint="default" w:ascii="Times New Roman" w:hAnsi="Times New Roman" w:eastAsia="宋体" w:cs="Times New Roman"/>
          <w:sz w:val="24"/>
          <w:szCs w:val="28"/>
          <w:u w:val="single"/>
        </w:rPr>
        <w:t>根据《衡阳市生态环境局2022年度衡阳市固体废物污染防治信息公报》，衡阳市2022年全市工业危险废物产生量为75.11万吨，综合利用量为50.86万吨，处置量为21.56万吨，贮存量为2.69万吨。衡阳市工业危险废物来源较集中，主要集中在有色冶炼、无机盐制造、压延加工等行业，</w:t>
      </w:r>
      <w:r>
        <w:rPr>
          <w:rFonts w:hint="default" w:ascii="Times New Roman" w:hAnsi="Times New Roman" w:eastAsia="宋体" w:cs="Times New Roman"/>
          <w:sz w:val="24"/>
          <w:szCs w:val="28"/>
          <w:u w:val="single"/>
          <w:lang w:val="en-US" w:eastAsia="zh-CN"/>
        </w:rPr>
        <w:t>工业危险废物产生量较大，衡阳市内特别是松木经开区范围内的同时具备危险废物收集利用的单位较少，危险废物需转运至其他地区进行处置利用，危险废物收集利用的缺口仍然存在，松木经开区急需一家可同时满足危险废物收集利用的单位；根据衡阳市生态环境局松木分局2023年8月16日会议纪要：“根据湖南省生态环境厅文件湘[环发2022]62号文关于印发《湖南省小微企业危险废物收集试点工作方案》的文件要求，松木分局组织辖区内现有四家危险危废收集单位负责人对《湖南省小微企业危险废物收集试点工作方案》进行充分研究讨论，现形成一致意见，纪要如下：一、</w:t>
      </w:r>
      <w:r>
        <w:rPr>
          <w:rFonts w:hint="default" w:ascii="Times New Roman" w:hAnsi="Times New Roman" w:eastAsia="宋体" w:cs="Times New Roman"/>
          <w:color w:val="000000"/>
          <w:sz w:val="24"/>
          <w:szCs w:val="24"/>
          <w:u w:val="single"/>
        </w:rPr>
        <w:t>衡阳湘环环保科技有限公司</w:t>
      </w:r>
      <w:r>
        <w:rPr>
          <w:rFonts w:hint="default" w:ascii="Times New Roman" w:hAnsi="Times New Roman" w:eastAsia="宋体" w:cs="Times New Roman"/>
          <w:color w:val="000000"/>
          <w:sz w:val="24"/>
          <w:szCs w:val="24"/>
          <w:u w:val="single"/>
          <w:lang w:val="en-US" w:eastAsia="zh-CN"/>
        </w:rPr>
        <w:t>独立试点；····</w:t>
      </w:r>
      <w:r>
        <w:rPr>
          <w:rFonts w:hint="default" w:ascii="Times New Roman" w:hAnsi="Times New Roman" w:eastAsia="宋体" w:cs="Times New Roman"/>
          <w:sz w:val="24"/>
          <w:szCs w:val="28"/>
          <w:u w:val="single"/>
          <w:lang w:val="en-US" w:eastAsia="zh-CN"/>
        </w:rPr>
        <w:t>”，明确将</w:t>
      </w:r>
      <w:r>
        <w:rPr>
          <w:rFonts w:hint="default" w:ascii="Times New Roman" w:hAnsi="Times New Roman" w:eastAsia="宋体" w:cs="Times New Roman"/>
          <w:color w:val="000000"/>
          <w:sz w:val="24"/>
          <w:szCs w:val="24"/>
          <w:u w:val="single"/>
        </w:rPr>
        <w:t>衡阳湘环环保科技有限公司（与</w:t>
      </w:r>
      <w:r>
        <w:rPr>
          <w:rFonts w:hint="default" w:ascii="Times New Roman" w:hAnsi="Times New Roman" w:eastAsia="宋体" w:cs="Times New Roman"/>
          <w:sz w:val="24"/>
          <w:u w:val="single"/>
        </w:rPr>
        <w:t>湖南湘蓝再生资源利用有限公司股东相同</w:t>
      </w:r>
      <w:r>
        <w:rPr>
          <w:rFonts w:hint="default" w:ascii="Times New Roman" w:hAnsi="Times New Roman" w:eastAsia="宋体" w:cs="Times New Roman"/>
          <w:sz w:val="24"/>
          <w:u w:val="single"/>
          <w:lang w:eastAsia="zh-CN"/>
        </w:rPr>
        <w:t>，</w:t>
      </w:r>
      <w:r>
        <w:rPr>
          <w:rFonts w:hint="default" w:ascii="Times New Roman" w:hAnsi="Times New Roman" w:eastAsia="宋体" w:cs="Times New Roman"/>
          <w:sz w:val="24"/>
          <w:u w:val="single"/>
          <w:lang w:val="en-US" w:eastAsia="zh-CN"/>
        </w:rPr>
        <w:t>衡阳</w:t>
      </w:r>
      <w:r>
        <w:rPr>
          <w:rFonts w:hint="default" w:ascii="Times New Roman" w:hAnsi="Times New Roman" w:eastAsia="宋体" w:cs="Times New Roman"/>
          <w:color w:val="000000"/>
          <w:sz w:val="24"/>
          <w:szCs w:val="24"/>
          <w:u w:val="single"/>
        </w:rPr>
        <w:t>湘环环保科技有限公司</w:t>
      </w:r>
      <w:r>
        <w:rPr>
          <w:rFonts w:hint="default" w:ascii="Times New Roman" w:hAnsi="Times New Roman" w:eastAsia="宋体" w:cs="Times New Roman"/>
          <w:color w:val="000000"/>
          <w:sz w:val="24"/>
          <w:szCs w:val="24"/>
          <w:u w:val="single"/>
          <w:lang w:val="en-US" w:eastAsia="zh-CN"/>
        </w:rPr>
        <w:t>所有经营内容将全部移交给</w:t>
      </w:r>
      <w:r>
        <w:rPr>
          <w:rFonts w:hint="default" w:ascii="Times New Roman" w:hAnsi="Times New Roman" w:eastAsia="宋体" w:cs="Times New Roman"/>
          <w:sz w:val="24"/>
          <w:u w:val="single"/>
        </w:rPr>
        <w:t>湖南湘蓝再生资源利用有限公司</w:t>
      </w:r>
      <w:r>
        <w:rPr>
          <w:rFonts w:hint="default" w:ascii="Times New Roman" w:hAnsi="Times New Roman" w:eastAsia="宋体" w:cs="Times New Roman"/>
          <w:color w:val="000000"/>
          <w:sz w:val="24"/>
          <w:szCs w:val="24"/>
          <w:u w:val="single"/>
        </w:rPr>
        <w:t>）</w:t>
      </w:r>
      <w:r>
        <w:rPr>
          <w:rFonts w:hint="default" w:ascii="Times New Roman" w:hAnsi="Times New Roman" w:eastAsia="宋体" w:cs="Times New Roman"/>
          <w:color w:val="000000"/>
          <w:sz w:val="24"/>
          <w:szCs w:val="24"/>
          <w:u w:val="single"/>
          <w:lang w:val="en-US" w:eastAsia="zh-CN"/>
        </w:rPr>
        <w:t>作为松木经开区内独立试点的危险废物收集单位。</w:t>
      </w:r>
    </w:p>
    <w:p w14:paraId="2D0D8662">
      <w:pPr>
        <w:pStyle w:val="72"/>
        <w:keepNext w:val="0"/>
        <w:keepLines w:val="0"/>
        <w:pageBreakBefore w:val="0"/>
        <w:widowControl w:val="0"/>
        <w:kinsoku/>
        <w:wordWrap/>
        <w:overflowPunct/>
        <w:topLinePunct w:val="0"/>
        <w:bidi w:val="0"/>
        <w:adjustRightInd/>
        <w:snapToGrid/>
        <w:spacing w:line="360" w:lineRule="auto"/>
        <w:ind w:left="0" w:leftChars="0" w:firstLine="480" w:firstLineChars="200"/>
        <w:textAlignment w:val="auto"/>
        <w:rPr>
          <w:rFonts w:hint="default" w:ascii="Times New Roman" w:hAnsi="Times New Roman" w:eastAsia="宋体" w:cs="Times New Roman"/>
          <w:lang w:val="en-US" w:eastAsia="zh-CN"/>
        </w:rPr>
      </w:pPr>
      <w:r>
        <w:rPr>
          <w:rFonts w:hint="default" w:ascii="Times New Roman" w:hAnsi="Times New Roman" w:eastAsia="宋体" w:cs="Times New Roman"/>
          <w:color w:val="000000"/>
          <w:sz w:val="24"/>
          <w:szCs w:val="24"/>
          <w:u w:val="single"/>
          <w:lang w:val="en-US" w:eastAsia="zh-CN"/>
        </w:rPr>
        <w:t>在松木经开区危险废物收集单位完成危险废物收集试点单位整合后，未在试点范围内的企业将不再开展危险废物收集，而区域内危险废物的收集试点单位的危险废物收集</w:t>
      </w:r>
      <w:r>
        <w:rPr>
          <w:rFonts w:hint="default" w:ascii="Times New Roman" w:hAnsi="Times New Roman" w:eastAsia="宋体" w:cs="Times New Roman"/>
          <w:sz w:val="24"/>
          <w:szCs w:val="28"/>
          <w:u w:val="single"/>
          <w:lang w:val="en-US" w:eastAsia="zh-CN"/>
        </w:rPr>
        <w:t>贮存</w:t>
      </w:r>
      <w:r>
        <w:rPr>
          <w:rFonts w:hint="default" w:ascii="Times New Roman" w:hAnsi="Times New Roman" w:eastAsia="宋体" w:cs="Times New Roman"/>
          <w:color w:val="000000"/>
          <w:sz w:val="24"/>
          <w:szCs w:val="24"/>
          <w:u w:val="single"/>
          <w:lang w:val="en-US" w:eastAsia="zh-CN"/>
        </w:rPr>
        <w:t>类别和收集</w:t>
      </w:r>
      <w:r>
        <w:rPr>
          <w:rFonts w:hint="default" w:ascii="Times New Roman" w:hAnsi="Times New Roman" w:eastAsia="宋体" w:cs="Times New Roman"/>
          <w:sz w:val="24"/>
          <w:szCs w:val="28"/>
          <w:u w:val="single"/>
          <w:lang w:val="en-US" w:eastAsia="zh-CN"/>
        </w:rPr>
        <w:t>贮存</w:t>
      </w:r>
      <w:r>
        <w:rPr>
          <w:rFonts w:hint="default" w:ascii="Times New Roman" w:hAnsi="Times New Roman" w:eastAsia="宋体" w:cs="Times New Roman"/>
          <w:color w:val="000000"/>
          <w:sz w:val="24"/>
          <w:szCs w:val="24"/>
          <w:u w:val="single"/>
          <w:lang w:val="en-US" w:eastAsia="zh-CN"/>
        </w:rPr>
        <w:t>量将势必增加，因此项目将搬迁部分的危险废物收集贮存能力由9800t/a提升至14400t/a是必要的。</w:t>
      </w:r>
    </w:p>
    <w:p w14:paraId="662425E3">
      <w:pPr>
        <w:pStyle w:val="72"/>
        <w:keepNext w:val="0"/>
        <w:keepLines w:val="0"/>
        <w:pageBreakBefore w:val="0"/>
        <w:widowControl w:val="0"/>
        <w:kinsoku/>
        <w:wordWrap/>
        <w:overflowPunct/>
        <w:topLinePunct w:val="0"/>
        <w:bidi w:val="0"/>
        <w:adjustRightInd/>
        <w:snapToGrid/>
        <w:spacing w:line="360" w:lineRule="auto"/>
        <w:ind w:left="0" w:leftChars="0" w:firstLine="482" w:firstLineChars="200"/>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（2）增加危险废物利用的必要性</w:t>
      </w:r>
    </w:p>
    <w:p w14:paraId="306AB89B">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8"/>
          <w:u w:val="single"/>
          <w:lang w:val="en-US" w:eastAsia="zh-CN"/>
        </w:rPr>
        <w:t>在现有项目的</w:t>
      </w:r>
      <w:r>
        <w:rPr>
          <w:rFonts w:hint="default" w:ascii="Times New Roman" w:hAnsi="Times New Roman" w:eastAsia="宋体" w:cs="Times New Roman"/>
          <w:sz w:val="24"/>
          <w:szCs w:val="28"/>
          <w:u w:val="single"/>
        </w:rPr>
        <w:t>日常经营过程中，</w:t>
      </w:r>
      <w:r>
        <w:rPr>
          <w:rFonts w:hint="default" w:ascii="Times New Roman" w:hAnsi="Times New Roman" w:eastAsia="宋体" w:cs="Times New Roman"/>
          <w:sz w:val="24"/>
          <w:szCs w:val="28"/>
          <w:u w:val="single"/>
          <w:lang w:val="en-US" w:eastAsia="zh-CN"/>
        </w:rPr>
        <w:t>项目所收集到的HW08（900-249-08限沾染矿物油的废弃塑料和金属包装容器）、HW49（900-041-49限废弃包装物、容器和废金属机油滤芯）危险废物均直接转运</w:t>
      </w:r>
      <w:r>
        <w:rPr>
          <w:rFonts w:hint="default" w:ascii="Times New Roman" w:hAnsi="Times New Roman" w:eastAsia="宋体" w:cs="Times New Roman"/>
          <w:sz w:val="24"/>
          <w:szCs w:val="28"/>
          <w:u w:val="single"/>
        </w:rPr>
        <w:t>交</w:t>
      </w:r>
      <w:r>
        <w:rPr>
          <w:rFonts w:hint="default" w:ascii="Times New Roman" w:hAnsi="Times New Roman" w:eastAsia="宋体" w:cs="Times New Roman"/>
          <w:sz w:val="24"/>
          <w:szCs w:val="28"/>
          <w:u w:val="single"/>
          <w:lang w:val="en-US" w:eastAsia="zh-CN"/>
        </w:rPr>
        <w:t>并外委</w:t>
      </w:r>
      <w:r>
        <w:rPr>
          <w:rFonts w:hint="default" w:ascii="Times New Roman" w:hAnsi="Times New Roman" w:eastAsia="宋体" w:cs="Times New Roman"/>
          <w:sz w:val="24"/>
          <w:szCs w:val="28"/>
          <w:u w:val="single"/>
        </w:rPr>
        <w:t>了其他的单位处置</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从运输成本和运输环境风险的角度看，这些危废交</w:t>
      </w:r>
      <w:r>
        <w:rPr>
          <w:rFonts w:hint="default" w:ascii="Times New Roman" w:hAnsi="Times New Roman" w:eastAsia="宋体" w:cs="Times New Roman"/>
          <w:sz w:val="24"/>
          <w:szCs w:val="28"/>
          <w:u w:val="single"/>
          <w:lang w:val="en-US" w:eastAsia="zh-CN"/>
        </w:rPr>
        <w:t>直接自行</w:t>
      </w:r>
      <w:r>
        <w:rPr>
          <w:rFonts w:hint="default" w:ascii="Times New Roman" w:hAnsi="Times New Roman" w:eastAsia="宋体" w:cs="Times New Roman"/>
          <w:sz w:val="24"/>
          <w:szCs w:val="28"/>
          <w:u w:val="single"/>
        </w:rPr>
        <w:t>综合利用，有利于降低运输成本和运输环境风险。废</w:t>
      </w:r>
      <w:r>
        <w:rPr>
          <w:rFonts w:hint="default" w:ascii="Times New Roman" w:hAnsi="Times New Roman" w:eastAsia="宋体" w:cs="Times New Roman"/>
          <w:sz w:val="24"/>
          <w:szCs w:val="28"/>
          <w:u w:val="single"/>
          <w:lang w:val="en-US" w:eastAsia="zh-CN"/>
        </w:rPr>
        <w:t>塑料包容器、废金属包装容器和废金属机油滤芯的</w:t>
      </w:r>
      <w:r>
        <w:rPr>
          <w:rFonts w:hint="default" w:ascii="Times New Roman" w:hAnsi="Times New Roman" w:eastAsia="宋体" w:cs="Times New Roman"/>
          <w:sz w:val="24"/>
          <w:szCs w:val="28"/>
          <w:u w:val="single"/>
        </w:rPr>
        <w:t>利用生产工艺成熟，均为单纯的物理加工过程，产排污水平低。产出的塑料片与铁片均有稳定的接收公司，可进一步加工得到相应的外售产品</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具有较好的经济价值，且降低了环境风险</w:t>
      </w:r>
      <w:r>
        <w:rPr>
          <w:rFonts w:hint="default" w:ascii="Times New Roman" w:hAnsi="Times New Roman" w:eastAsia="宋体" w:cs="Times New Roman"/>
          <w:sz w:val="24"/>
          <w:szCs w:val="24"/>
          <w:u w:val="single"/>
        </w:rPr>
        <w:t>。</w:t>
      </w:r>
    </w:p>
    <w:p w14:paraId="7FA87DEC">
      <w:pPr>
        <w:spacing w:line="360" w:lineRule="auto"/>
        <w:ind w:firstLine="480" w:firstLineChars="200"/>
        <w:rPr>
          <w:rFonts w:hint="default" w:ascii="Times New Roman" w:hAnsi="Times New Roman" w:eastAsia="宋体" w:cs="Times New Roman"/>
          <w:b w:val="0"/>
          <w:bCs w:val="0"/>
          <w:sz w:val="24"/>
          <w:szCs w:val="24"/>
          <w:u w:val="single"/>
          <w:lang w:val="en-US" w:eastAsia="zh-CN"/>
        </w:rPr>
      </w:pPr>
      <w:r>
        <w:rPr>
          <w:rFonts w:hint="default" w:ascii="Times New Roman" w:hAnsi="Times New Roman" w:eastAsia="宋体" w:cs="Times New Roman"/>
          <w:sz w:val="24"/>
          <w:szCs w:val="24"/>
          <w:u w:val="single"/>
          <w:lang w:val="en-US" w:eastAsia="zh-CN"/>
        </w:rPr>
        <w:t>综上，项目增设</w:t>
      </w:r>
      <w:r>
        <w:rPr>
          <w:rFonts w:hint="default" w:ascii="Times New Roman" w:hAnsi="Times New Roman" w:eastAsia="宋体" w:cs="Times New Roman"/>
          <w:sz w:val="24"/>
          <w:szCs w:val="28"/>
          <w:u w:val="single"/>
          <w:lang w:val="en-US" w:eastAsia="zh-CN"/>
        </w:rPr>
        <w:t>HW08（900-249-08限沾染矿物油的废弃塑料和金属包装容器）、HW49（900-041-49限废弃包装物、容器和废金属机油滤芯）危险废物</w:t>
      </w:r>
      <w:r>
        <w:rPr>
          <w:rFonts w:hint="default" w:ascii="Times New Roman" w:hAnsi="Times New Roman" w:eastAsia="宋体" w:cs="Times New Roman"/>
          <w:sz w:val="24"/>
          <w:szCs w:val="24"/>
          <w:u w:val="single"/>
          <w:lang w:val="en-US" w:eastAsia="zh-CN"/>
        </w:rPr>
        <w:t>利用生产线是有必要的。</w:t>
      </w:r>
    </w:p>
    <w:p w14:paraId="61313AA9">
      <w:pPr>
        <w:pStyle w:val="4"/>
        <w:spacing w:before="0" w:after="0" w:line="360" w:lineRule="auto"/>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3项目四至情况</w:t>
      </w:r>
    </w:p>
    <w:p w14:paraId="71D7835B">
      <w:pPr>
        <w:pStyle w:val="72"/>
        <w:keepNext w:val="0"/>
        <w:keepLines w:val="0"/>
        <w:pageBreakBefore w:val="0"/>
        <w:widowControl w:val="0"/>
        <w:kinsoku/>
        <w:wordWrap/>
        <w:overflowPunct/>
        <w:topLinePunct w:val="0"/>
        <w:autoSpaceDE w:val="0"/>
        <w:autoSpaceDN w:val="0"/>
        <w:bidi w:val="0"/>
        <w:adjustRightInd/>
        <w:snapToGrid/>
        <w:spacing w:line="360" w:lineRule="auto"/>
        <w:ind w:left="119"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color w:val="000000"/>
          <w:sz w:val="24"/>
          <w:lang w:val="en-US" w:eastAsia="zh-CN"/>
        </w:rPr>
        <w:t>项目选址位于</w:t>
      </w:r>
      <w:r>
        <w:rPr>
          <w:rFonts w:hint="default" w:ascii="Times New Roman" w:hAnsi="Times New Roman" w:eastAsia="宋体" w:cs="Times New Roman"/>
          <w:color w:val="000000"/>
          <w:sz w:val="24"/>
        </w:rPr>
        <w:t>衡阳市松木工业园废旧物资循环利用产业园化工路</w:t>
      </w:r>
      <w:r>
        <w:rPr>
          <w:rFonts w:hint="default" w:ascii="Times New Roman" w:hAnsi="Times New Roman" w:eastAsia="宋体" w:cs="Times New Roman"/>
          <w:color w:val="000000"/>
          <w:sz w:val="24"/>
          <w:lang w:eastAsia="zh-CN"/>
        </w:rPr>
        <w:t>，</w:t>
      </w:r>
      <w:r>
        <w:rPr>
          <w:rFonts w:hint="default" w:ascii="Times New Roman" w:hAnsi="Times New Roman" w:eastAsia="宋体" w:cs="Times New Roman"/>
          <w:sz w:val="24"/>
          <w:szCs w:val="21"/>
        </w:rPr>
        <w:t>北侧隔化工路为衡阳瑞达电源有限公司的年产300万千伏安时铅酸蓄电池项目（在建），西侧相邻为园区待开发用地，项目东侧隔园区支路为湖南金化科技集团的生产用地，南侧隔园区支路以及园区排水沟渠为园区其他的集中标准厂房</w:t>
      </w:r>
      <w:r>
        <w:rPr>
          <w:rFonts w:hint="default" w:ascii="Times New Roman" w:hAnsi="Times New Roman" w:eastAsia="宋体" w:cs="Times New Roman"/>
          <w:sz w:val="24"/>
          <w:szCs w:val="24"/>
        </w:rPr>
        <w:t>。</w:t>
      </w:r>
    </w:p>
    <w:p w14:paraId="5CC87566">
      <w:pPr>
        <w:pStyle w:val="4"/>
        <w:spacing w:before="0" w:after="0" w:line="360" w:lineRule="auto"/>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4.</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4项目设施进度及劳动定员</w:t>
      </w:r>
    </w:p>
    <w:p w14:paraId="39493571">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本项目计划开工时间为202</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年</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月，投产时间约为2024 年</w:t>
      </w:r>
      <w:r>
        <w:rPr>
          <w:rFonts w:hint="default" w:ascii="Times New Roman" w:hAnsi="Times New Roman" w:eastAsia="宋体" w:cs="Times New Roman"/>
          <w:sz w:val="24"/>
          <w:szCs w:val="24"/>
          <w:lang w:val="en-US" w:eastAsia="zh-CN"/>
        </w:rPr>
        <w:t>6</w:t>
      </w:r>
      <w:r>
        <w:rPr>
          <w:rFonts w:hint="default" w:ascii="Times New Roman" w:hAnsi="Times New Roman" w:eastAsia="宋体" w:cs="Times New Roman"/>
          <w:sz w:val="24"/>
          <w:szCs w:val="24"/>
        </w:rPr>
        <w:t>月。</w:t>
      </w:r>
    </w:p>
    <w:p w14:paraId="04BB6492">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b w:val="0"/>
          <w:bCs w:val="0"/>
          <w:sz w:val="24"/>
          <w:szCs w:val="24"/>
        </w:rPr>
        <w:t>劳动定员及工作制度：</w:t>
      </w:r>
      <w:r>
        <w:rPr>
          <w:rFonts w:hint="default" w:ascii="Times New Roman" w:hAnsi="Times New Roman" w:eastAsia="宋体" w:cs="Times New Roman"/>
          <w:sz w:val="24"/>
          <w:szCs w:val="24"/>
        </w:rPr>
        <w:t>定员50人，项目年操作330天。</w:t>
      </w:r>
    </w:p>
    <w:bookmarkEnd w:id="255"/>
    <w:p w14:paraId="67498012">
      <w:pPr>
        <w:pStyle w:val="3"/>
        <w:spacing w:before="0" w:after="0" w:line="360" w:lineRule="auto"/>
        <w:jc w:val="left"/>
        <w:rPr>
          <w:rFonts w:hint="default" w:ascii="Times New Roman" w:hAnsi="Times New Roman" w:eastAsia="宋体" w:cs="Times New Roman"/>
        </w:rPr>
      </w:pPr>
      <w:bookmarkStart w:id="256" w:name="_Toc30852"/>
      <w:bookmarkStart w:id="257" w:name="_Toc123733087"/>
      <w:bookmarkStart w:id="258" w:name="_Toc106961882"/>
      <w:r>
        <w:rPr>
          <w:rFonts w:hint="default" w:ascii="Times New Roman" w:hAnsi="Times New Roman" w:eastAsia="宋体" w:cs="Times New Roman"/>
          <w:kern w:val="0"/>
          <w:sz w:val="30"/>
          <w:szCs w:val="28"/>
        </w:rPr>
        <w:t>4.2</w:t>
      </w:r>
      <w:r>
        <w:rPr>
          <w:rFonts w:hint="default" w:ascii="Times New Roman" w:hAnsi="Times New Roman" w:eastAsia="宋体" w:cs="Times New Roman"/>
        </w:rPr>
        <w:t>主要建设内容</w:t>
      </w:r>
      <w:bookmarkEnd w:id="256"/>
      <w:bookmarkEnd w:id="257"/>
      <w:bookmarkEnd w:id="258"/>
    </w:p>
    <w:p w14:paraId="050BE287">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4.2.1工程建设内容</w:t>
      </w:r>
    </w:p>
    <w:p w14:paraId="4A860D01">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本项目规划总占地面积</w:t>
      </w:r>
      <w:r>
        <w:rPr>
          <w:rFonts w:hint="default" w:ascii="Times New Roman" w:hAnsi="Times New Roman" w:eastAsia="宋体" w:cs="Times New Roman"/>
          <w:sz w:val="24"/>
          <w:szCs w:val="24"/>
          <w:lang w:eastAsia="zh-CN"/>
        </w:rPr>
        <w:t>20000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（约</w:t>
      </w:r>
      <w:r>
        <w:rPr>
          <w:rFonts w:hint="default" w:ascii="Times New Roman" w:hAnsi="Times New Roman" w:eastAsia="宋体" w:cs="Times New Roman"/>
          <w:sz w:val="24"/>
          <w:szCs w:val="24"/>
          <w:lang w:eastAsia="zh-CN"/>
        </w:rPr>
        <w:t>30亩</w:t>
      </w:r>
      <w:r>
        <w:rPr>
          <w:rFonts w:hint="default" w:ascii="Times New Roman" w:hAnsi="Times New Roman" w:eastAsia="宋体" w:cs="Times New Roman"/>
          <w:sz w:val="24"/>
          <w:szCs w:val="24"/>
        </w:rPr>
        <w:t>），厂房及构建筑物规划总建筑面积</w:t>
      </w:r>
      <w:r>
        <w:rPr>
          <w:rFonts w:hint="eastAsia" w:ascii="Times New Roman" w:hAnsi="Times New Roman" w:cs="Times New Roman"/>
          <w:sz w:val="24"/>
          <w:szCs w:val="24"/>
          <w:lang w:eastAsia="zh-CN"/>
        </w:rPr>
        <w:t>13741.81</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，其中</w:t>
      </w:r>
      <w:r>
        <w:rPr>
          <w:rFonts w:hint="default" w:ascii="Times New Roman" w:hAnsi="Times New Roman" w:eastAsia="宋体" w:cs="Times New Roman"/>
          <w:sz w:val="24"/>
          <w:szCs w:val="24"/>
          <w:lang w:val="en-US" w:eastAsia="zh-CN"/>
        </w:rPr>
        <w:t>危险</w:t>
      </w:r>
      <w:r>
        <w:rPr>
          <w:rFonts w:hint="default" w:ascii="Times New Roman" w:hAnsi="Times New Roman" w:eastAsia="宋体" w:cs="Times New Roman"/>
          <w:sz w:val="24"/>
          <w:szCs w:val="24"/>
        </w:rPr>
        <w:t>废物综合</w:t>
      </w:r>
      <w:r>
        <w:rPr>
          <w:rFonts w:hint="default" w:ascii="Times New Roman" w:hAnsi="Times New Roman" w:eastAsia="宋体" w:cs="Times New Roman"/>
          <w:sz w:val="24"/>
          <w:szCs w:val="24"/>
          <w:lang w:val="en-US" w:eastAsia="zh-CN"/>
        </w:rPr>
        <w:t>处置</w:t>
      </w:r>
      <w:r>
        <w:rPr>
          <w:rFonts w:hint="default" w:ascii="Times New Roman" w:hAnsi="Times New Roman" w:eastAsia="宋体" w:cs="Times New Roman"/>
          <w:sz w:val="24"/>
          <w:szCs w:val="24"/>
        </w:rPr>
        <w:t>车间（A#栋）</w:t>
      </w:r>
      <w:r>
        <w:rPr>
          <w:rFonts w:hint="default" w:ascii="Times New Roman" w:hAnsi="Times New Roman" w:eastAsia="宋体" w:cs="Times New Roman"/>
          <w:sz w:val="24"/>
          <w:szCs w:val="24"/>
          <w:lang w:eastAsia="zh-CN"/>
        </w:rPr>
        <w:t>6169.84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r>
        <w:rPr>
          <w:rFonts w:hint="default" w:ascii="Times New Roman" w:hAnsi="Times New Roman" w:eastAsia="宋体" w:cs="Times New Roman"/>
          <w:sz w:val="24"/>
          <w:szCs w:val="24"/>
          <w:lang w:val="en-US" w:eastAsia="zh-CN"/>
        </w:rPr>
        <w:t>预留二期车间</w:t>
      </w:r>
      <w:r>
        <w:rPr>
          <w:rFonts w:hint="default" w:ascii="Times New Roman" w:hAnsi="Times New Roman" w:eastAsia="宋体" w:cs="Times New Roman"/>
          <w:sz w:val="24"/>
          <w:szCs w:val="24"/>
        </w:rPr>
        <w:t>（B#栋）</w:t>
      </w:r>
      <w:r>
        <w:rPr>
          <w:rFonts w:hint="default" w:ascii="Times New Roman" w:hAnsi="Times New Roman" w:eastAsia="宋体" w:cs="Times New Roman"/>
          <w:sz w:val="24"/>
          <w:szCs w:val="24"/>
          <w:lang w:eastAsia="zh-CN"/>
        </w:rPr>
        <w:t>5051.44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，污水处理站</w:t>
      </w:r>
      <w:r>
        <w:rPr>
          <w:rFonts w:hint="default" w:ascii="Times New Roman" w:hAnsi="Times New Roman" w:eastAsia="宋体" w:cs="Times New Roman"/>
          <w:sz w:val="24"/>
          <w:szCs w:val="24"/>
          <w:lang w:val="en-US" w:eastAsia="zh-CN"/>
        </w:rPr>
        <w:t>606.86</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，综合办公楼</w:t>
      </w:r>
      <w:r>
        <w:rPr>
          <w:rFonts w:hint="eastAsia" w:ascii="Times New Roman" w:hAnsi="Times New Roman" w:cs="Times New Roman"/>
          <w:sz w:val="24"/>
          <w:szCs w:val="24"/>
          <w:lang w:eastAsia="zh-CN"/>
        </w:rPr>
        <w:t>2492.53</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，传达室</w:t>
      </w:r>
      <w:r>
        <w:rPr>
          <w:rFonts w:hint="default" w:ascii="Times New Roman" w:hAnsi="Times New Roman" w:eastAsia="宋体" w:cs="Times New Roman"/>
          <w:sz w:val="24"/>
          <w:szCs w:val="24"/>
          <w:lang w:val="en-US" w:eastAsia="zh-CN"/>
        </w:rPr>
        <w:t>及配电房</w:t>
      </w:r>
      <w:r>
        <w:rPr>
          <w:rFonts w:hint="eastAsia" w:ascii="Times New Roman" w:hAnsi="Times New Roman" w:cs="Times New Roman"/>
          <w:sz w:val="24"/>
          <w:szCs w:val="24"/>
          <w:lang w:val="en-US" w:eastAsia="zh-CN"/>
        </w:rPr>
        <w:t>28</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15FAC63C">
      <w:pPr>
        <w:spacing w:line="360" w:lineRule="auto"/>
        <w:ind w:firstLine="480" w:firstLineChars="200"/>
        <w:rPr>
          <w:rFonts w:hint="default" w:ascii="Times New Roman" w:hAnsi="Times New Roman" w:eastAsia="宋体" w:cs="Times New Roman"/>
          <w:sz w:val="24"/>
        </w:rPr>
      </w:pPr>
      <w:bookmarkStart w:id="259" w:name="_Hlk127451042"/>
      <w:r>
        <w:rPr>
          <w:rFonts w:hint="default" w:ascii="Times New Roman" w:hAnsi="Times New Roman" w:eastAsia="宋体" w:cs="Times New Roman"/>
          <w:sz w:val="24"/>
          <w:szCs w:val="24"/>
          <w:lang w:eastAsia="zh-CN"/>
        </w:rPr>
        <w:t>危险废物综合处置车间</w:t>
      </w:r>
      <w:r>
        <w:rPr>
          <w:rFonts w:hint="default" w:ascii="Times New Roman" w:hAnsi="Times New Roman" w:eastAsia="宋体" w:cs="Times New Roman"/>
          <w:sz w:val="24"/>
          <w:szCs w:val="24"/>
        </w:rPr>
        <w:t>（A#栋）用于布置本次扩建新增的危险废物再生利用生产线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A#栋北区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以及</w:t>
      </w:r>
      <w:r>
        <w:rPr>
          <w:rFonts w:hint="default" w:ascii="Times New Roman" w:hAnsi="Times New Roman" w:eastAsia="宋体" w:cs="Times New Roman"/>
          <w:sz w:val="24"/>
          <w:szCs w:val="24"/>
        </w:rPr>
        <w:t>本次整体搬迁并扩建的</w:t>
      </w:r>
      <w:r>
        <w:rPr>
          <w:rFonts w:hint="default" w:ascii="Times New Roman" w:hAnsi="Times New Roman" w:eastAsia="宋体" w:cs="Times New Roman"/>
          <w:color w:val="000000"/>
          <w:sz w:val="24"/>
          <w:szCs w:val="24"/>
        </w:rPr>
        <w:t>“年收集贮存9800吨危险废物项目”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A#栋北区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rPr>
        <w:t>，整体搬迁后的贮存库布置拟参照搬迁前的布置方案进行（具体见“3.3.2现有工程总平面布置”）</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lang w:val="en-US" w:eastAsia="zh-CN"/>
        </w:rPr>
        <w:t>预留二期车间</w:t>
      </w:r>
      <w:r>
        <w:rPr>
          <w:rFonts w:hint="default" w:ascii="Times New Roman" w:hAnsi="Times New Roman" w:eastAsia="宋体" w:cs="Times New Roman"/>
          <w:sz w:val="24"/>
          <w:szCs w:val="24"/>
        </w:rPr>
        <w:t>（B#栋）</w:t>
      </w:r>
      <w:r>
        <w:rPr>
          <w:rFonts w:hint="default" w:ascii="Times New Roman" w:hAnsi="Times New Roman" w:eastAsia="宋体" w:cs="Times New Roman"/>
          <w:sz w:val="24"/>
          <w:szCs w:val="24"/>
          <w:lang w:val="en-US" w:eastAsia="zh-CN"/>
        </w:rPr>
        <w:t>仅作为后续项目预留，不设置相关生产内容</w:t>
      </w:r>
      <w:r>
        <w:rPr>
          <w:rFonts w:hint="default" w:ascii="Times New Roman" w:hAnsi="Times New Roman" w:eastAsia="宋体" w:cs="Times New Roman"/>
          <w:color w:val="000000"/>
          <w:sz w:val="24"/>
          <w:szCs w:val="24"/>
        </w:rPr>
        <w:t>。</w:t>
      </w:r>
    </w:p>
    <w:p w14:paraId="282EFED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rPr>
        <w:t>项目扩建部分</w:t>
      </w:r>
      <w:r>
        <w:rPr>
          <w:rFonts w:hint="default" w:ascii="Times New Roman" w:hAnsi="Times New Roman" w:eastAsia="宋体" w:cs="Times New Roman"/>
          <w:sz w:val="24"/>
          <w:szCs w:val="24"/>
        </w:rPr>
        <w:t>拟建设废包装桶整形清洗翻新生产线1条、废金属包装容器破碎清洗生产线1条、废塑料包装物破碎清洗生产线1条，可实现年回收利用废旧金属塑料危险废物20000</w:t>
      </w:r>
      <w:bookmarkEnd w:id="259"/>
      <w:r>
        <w:rPr>
          <w:rFonts w:hint="default" w:ascii="Times New Roman" w:hAnsi="Times New Roman" w:eastAsia="宋体" w:cs="Times New Roman"/>
          <w:sz w:val="24"/>
          <w:szCs w:val="24"/>
        </w:rPr>
        <w:t>t（利用其他企业废弃金属包装桶、塑料包装桶等作为原材料，加工成金属颗粒和塑料碎片，实现危险废物资循环利用）。</w:t>
      </w:r>
    </w:p>
    <w:p w14:paraId="5F49D6D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项目建成投产后，通过对危险废物的综合利用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20000t/a</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，可实现年产金属颗粒约11875t、塑料碎片约4725t、翻新金属桶</w:t>
      </w: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00t、翻新塑料桶500t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铁皮500t</w:t>
      </w:r>
      <w:r>
        <w:rPr>
          <w:rFonts w:hint="default" w:ascii="Times New Roman" w:hAnsi="Times New Roman" w:eastAsia="宋体" w:cs="Times New Roman"/>
          <w:sz w:val="24"/>
          <w:szCs w:val="24"/>
        </w:rPr>
        <w:t>；同时将现有的</w:t>
      </w:r>
      <w:r>
        <w:rPr>
          <w:rFonts w:hint="default" w:ascii="Times New Roman" w:hAnsi="Times New Roman" w:eastAsia="宋体" w:cs="Times New Roman"/>
          <w:color w:val="000000"/>
          <w:sz w:val="24"/>
          <w:szCs w:val="24"/>
        </w:rPr>
        <w:t>收集贮存危险废物能力由9800t/a提升至</w:t>
      </w:r>
      <w:r>
        <w:rPr>
          <w:rFonts w:hint="default" w:ascii="Times New Roman" w:hAnsi="Times New Roman" w:eastAsia="宋体" w:cs="Times New Roman"/>
          <w:color w:val="000000"/>
          <w:sz w:val="24"/>
          <w:szCs w:val="24"/>
          <w:lang w:eastAsia="zh-CN"/>
        </w:rPr>
        <w:t>14400</w:t>
      </w:r>
      <w:r>
        <w:rPr>
          <w:rFonts w:hint="default" w:ascii="Times New Roman" w:hAnsi="Times New Roman" w:eastAsia="宋体" w:cs="Times New Roman"/>
          <w:color w:val="000000"/>
          <w:sz w:val="24"/>
          <w:szCs w:val="24"/>
        </w:rPr>
        <w:t>t/a</w:t>
      </w:r>
      <w:r>
        <w:rPr>
          <w:rFonts w:hint="default" w:ascii="Times New Roman" w:hAnsi="Times New Roman" w:eastAsia="宋体" w:cs="Times New Roman"/>
          <w:sz w:val="24"/>
          <w:szCs w:val="24"/>
        </w:rPr>
        <w:t>。</w:t>
      </w:r>
    </w:p>
    <w:p w14:paraId="628DC8F8">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sz w:val="24"/>
          <w:szCs w:val="24"/>
        </w:rPr>
        <w:t>根据本项目的总平面布置方案和产品方案，</w:t>
      </w:r>
      <w:r>
        <w:rPr>
          <w:rFonts w:hint="default" w:ascii="Times New Roman" w:hAnsi="Times New Roman" w:eastAsia="宋体" w:cs="Times New Roman"/>
          <w:color w:val="000000"/>
          <w:sz w:val="24"/>
          <w:szCs w:val="24"/>
        </w:rPr>
        <w:t>项目组成内容见表4.2-1。</w:t>
      </w:r>
    </w:p>
    <w:p w14:paraId="2206716F">
      <w:pPr>
        <w:tabs>
          <w:tab w:val="left" w:pos="1021"/>
        </w:tabs>
        <w:spacing w:line="360" w:lineRule="auto"/>
        <w:jc w:val="center"/>
        <w:rPr>
          <w:rFonts w:hint="default" w:ascii="Times New Roman" w:hAnsi="Times New Roman" w:eastAsia="宋体" w:cs="Times New Roman"/>
          <w:b/>
          <w:color w:val="000000"/>
        </w:rPr>
      </w:pPr>
      <w:r>
        <w:rPr>
          <w:rFonts w:hint="default" w:ascii="Times New Roman" w:hAnsi="Times New Roman" w:eastAsia="宋体" w:cs="Times New Roman"/>
          <w:b/>
          <w:bCs/>
          <w:color w:val="000000"/>
        </w:rPr>
        <w:t>表4.2-1  本</w:t>
      </w:r>
      <w:r>
        <w:rPr>
          <w:rFonts w:hint="default" w:ascii="Times New Roman" w:hAnsi="Times New Roman" w:eastAsia="宋体" w:cs="Times New Roman"/>
          <w:b/>
          <w:color w:val="000000"/>
        </w:rPr>
        <w:t>项目工程组成一览表</w:t>
      </w:r>
    </w:p>
    <w:tbl>
      <w:tblPr>
        <w:tblStyle w:val="59"/>
        <w:tblW w:w="5054"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37"/>
        <w:gridCol w:w="1446"/>
        <w:gridCol w:w="4973"/>
        <w:gridCol w:w="1370"/>
      </w:tblGrid>
      <w:tr w14:paraId="0FB47BE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Align w:val="center"/>
          </w:tcPr>
          <w:p w14:paraId="7848AB41">
            <w:pPr>
              <w:pStyle w:val="60"/>
              <w:adjustRightInd w:val="0"/>
              <w:snapToGrid w:val="0"/>
              <w:rPr>
                <w:rFonts w:hint="default" w:ascii="Times New Roman" w:hAnsi="Times New Roman" w:eastAsia="宋体" w:cs="Times New Roman"/>
                <w:b/>
                <w:sz w:val="21"/>
                <w:lang w:eastAsia="en-US"/>
              </w:rPr>
            </w:pPr>
            <w:r>
              <w:rPr>
                <w:rFonts w:hint="default" w:ascii="Times New Roman" w:hAnsi="Times New Roman" w:eastAsia="宋体" w:cs="Times New Roman"/>
                <w:b/>
                <w:sz w:val="21"/>
                <w:lang w:eastAsia="en-US"/>
              </w:rPr>
              <w:t>工程</w:t>
            </w:r>
          </w:p>
          <w:p w14:paraId="04F0243C">
            <w:pPr>
              <w:pStyle w:val="60"/>
              <w:adjustRightInd w:val="0"/>
              <w:snapToGrid w:val="0"/>
              <w:rPr>
                <w:rFonts w:hint="default" w:ascii="Times New Roman" w:hAnsi="Times New Roman" w:eastAsia="宋体" w:cs="Times New Roman"/>
                <w:b/>
                <w:sz w:val="21"/>
                <w:lang w:eastAsia="en-US"/>
              </w:rPr>
            </w:pPr>
            <w:r>
              <w:rPr>
                <w:rFonts w:hint="default" w:ascii="Times New Roman" w:hAnsi="Times New Roman" w:eastAsia="宋体" w:cs="Times New Roman"/>
                <w:b/>
                <w:sz w:val="21"/>
                <w:lang w:eastAsia="en-US"/>
              </w:rPr>
              <w:t>类型</w:t>
            </w:r>
          </w:p>
        </w:tc>
        <w:tc>
          <w:tcPr>
            <w:tcW w:w="858" w:type="pct"/>
            <w:vAlign w:val="center"/>
          </w:tcPr>
          <w:p w14:paraId="0FB9E597">
            <w:pPr>
              <w:pStyle w:val="60"/>
              <w:adjustRightInd w:val="0"/>
              <w:snapToGrid w:val="0"/>
              <w:rPr>
                <w:rFonts w:hint="default" w:ascii="Times New Roman" w:hAnsi="Times New Roman" w:eastAsia="宋体" w:cs="Times New Roman"/>
                <w:b/>
                <w:sz w:val="21"/>
                <w:lang w:eastAsia="en-US"/>
              </w:rPr>
            </w:pPr>
            <w:r>
              <w:rPr>
                <w:rFonts w:hint="default" w:ascii="Times New Roman" w:hAnsi="Times New Roman" w:eastAsia="宋体" w:cs="Times New Roman"/>
                <w:b/>
                <w:sz w:val="21"/>
                <w:lang w:eastAsia="en-US"/>
              </w:rPr>
              <w:t>工程名称</w:t>
            </w:r>
          </w:p>
        </w:tc>
        <w:tc>
          <w:tcPr>
            <w:tcW w:w="2950" w:type="pct"/>
            <w:vAlign w:val="center"/>
          </w:tcPr>
          <w:p w14:paraId="443800C4">
            <w:pPr>
              <w:pStyle w:val="60"/>
              <w:adjustRightInd w:val="0"/>
              <w:snapToGrid w:val="0"/>
              <w:rPr>
                <w:rFonts w:hint="default" w:ascii="Times New Roman" w:hAnsi="Times New Roman" w:eastAsia="宋体" w:cs="Times New Roman"/>
                <w:b/>
                <w:sz w:val="21"/>
                <w:lang w:eastAsia="en-US"/>
              </w:rPr>
            </w:pPr>
            <w:r>
              <w:rPr>
                <w:rFonts w:hint="default" w:ascii="Times New Roman" w:hAnsi="Times New Roman" w:eastAsia="宋体" w:cs="Times New Roman"/>
                <w:b/>
                <w:sz w:val="21"/>
                <w:lang w:eastAsia="zh-CN"/>
              </w:rPr>
              <w:t>主要</w:t>
            </w:r>
            <w:r>
              <w:rPr>
                <w:rFonts w:hint="default" w:ascii="Times New Roman" w:hAnsi="Times New Roman" w:eastAsia="宋体" w:cs="Times New Roman"/>
                <w:b/>
                <w:sz w:val="21"/>
                <w:lang w:eastAsia="en-US"/>
              </w:rPr>
              <w:t>建设内容及规模</w:t>
            </w:r>
          </w:p>
        </w:tc>
        <w:tc>
          <w:tcPr>
            <w:tcW w:w="812" w:type="pct"/>
            <w:vAlign w:val="center"/>
          </w:tcPr>
          <w:p w14:paraId="7B8E25CB">
            <w:pPr>
              <w:pStyle w:val="60"/>
              <w:adjustRightInd w:val="0"/>
              <w:snapToGrid w:val="0"/>
              <w:rPr>
                <w:rFonts w:hint="default" w:ascii="Times New Roman" w:hAnsi="Times New Roman" w:eastAsia="宋体" w:cs="Times New Roman"/>
                <w:b/>
                <w:sz w:val="21"/>
                <w:lang w:eastAsia="en-US"/>
              </w:rPr>
            </w:pPr>
            <w:r>
              <w:rPr>
                <w:rFonts w:hint="default" w:ascii="Times New Roman" w:hAnsi="Times New Roman" w:eastAsia="宋体" w:cs="Times New Roman"/>
                <w:b/>
                <w:sz w:val="21"/>
                <w:lang w:eastAsia="en-US"/>
              </w:rPr>
              <w:t>备注</w:t>
            </w:r>
          </w:p>
        </w:tc>
      </w:tr>
      <w:tr w14:paraId="32D98C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restart"/>
            <w:vAlign w:val="center"/>
          </w:tcPr>
          <w:p w14:paraId="0A2E55C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主体工程</w:t>
            </w:r>
          </w:p>
        </w:tc>
        <w:tc>
          <w:tcPr>
            <w:tcW w:w="858" w:type="pct"/>
            <w:vMerge w:val="restart"/>
            <w:vAlign w:val="center"/>
          </w:tcPr>
          <w:p w14:paraId="79C52107">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危险废物综合处置车间</w:t>
            </w:r>
          </w:p>
          <w:p w14:paraId="3E224D9F">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（A#栋）</w:t>
            </w:r>
          </w:p>
        </w:tc>
        <w:tc>
          <w:tcPr>
            <w:tcW w:w="2950" w:type="pct"/>
            <w:vAlign w:val="center"/>
          </w:tcPr>
          <w:p w14:paraId="2D422CD7">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危险废物再生利用区；北区</w:t>
            </w:r>
            <w:r>
              <w:rPr>
                <w:rFonts w:hint="default" w:ascii="Times New Roman" w:hAnsi="Times New Roman" w:eastAsia="宋体" w:cs="Times New Roman"/>
                <w:sz w:val="21"/>
                <w:lang w:eastAsia="zh-CN"/>
              </w:rPr>
              <w:t>建筑面积</w:t>
            </w:r>
            <w:r>
              <w:rPr>
                <w:rFonts w:hint="default" w:ascii="Times New Roman" w:hAnsi="Times New Roman" w:eastAsia="宋体" w:cs="Times New Roman"/>
                <w:sz w:val="21"/>
                <w:lang w:val="en-US" w:eastAsia="zh-CN"/>
              </w:rPr>
              <w:t>4110.12</w:t>
            </w:r>
            <w:r>
              <w:rPr>
                <w:rFonts w:hint="default" w:ascii="Times New Roman" w:hAnsi="Times New Roman" w:eastAsia="宋体" w:cs="Times New Roman"/>
                <w:sz w:val="21"/>
                <w:lang w:eastAsia="zh-CN"/>
              </w:rPr>
              <w:t>m</w:t>
            </w:r>
            <w:r>
              <w:rPr>
                <w:rFonts w:hint="default" w:ascii="Times New Roman" w:hAnsi="Times New Roman" w:eastAsia="宋体" w:cs="Times New Roman"/>
                <w:sz w:val="21"/>
                <w:vertAlign w:val="superscript"/>
                <w:lang w:eastAsia="zh-CN"/>
              </w:rPr>
              <w:t>2</w:t>
            </w:r>
            <w:r>
              <w:rPr>
                <w:rFonts w:hint="default" w:ascii="Times New Roman" w:hAnsi="Times New Roman" w:eastAsia="宋体" w:cs="Times New Roman"/>
                <w:sz w:val="21"/>
                <w:lang w:eastAsia="zh-CN"/>
              </w:rPr>
              <w:t>，设置为危险废物循环利用区（含分拣</w:t>
            </w:r>
            <w:r>
              <w:rPr>
                <w:rFonts w:hint="default" w:ascii="Times New Roman" w:hAnsi="Times New Roman" w:eastAsia="宋体" w:cs="Times New Roman"/>
                <w:sz w:val="21"/>
                <w:lang w:val="en-US" w:eastAsia="zh-CN"/>
              </w:rPr>
              <w:t>贮存</w:t>
            </w:r>
            <w:r>
              <w:rPr>
                <w:rFonts w:hint="default" w:ascii="Times New Roman" w:hAnsi="Times New Roman" w:eastAsia="宋体" w:cs="Times New Roman"/>
                <w:sz w:val="21"/>
                <w:lang w:eastAsia="zh-CN"/>
              </w:rPr>
              <w:t>区、加工区、产品存放区）；</w:t>
            </w:r>
          </w:p>
          <w:p w14:paraId="26B42AB0">
            <w:pPr>
              <w:pStyle w:val="60"/>
              <w:adjustRightInd w:val="0"/>
              <w:snapToGrid w:val="0"/>
              <w:rPr>
                <w:rFonts w:hint="default" w:ascii="Times New Roman" w:hAnsi="Times New Roman" w:eastAsia="宋体" w:cs="Times New Roman"/>
                <w:sz w:val="21"/>
                <w:lang w:eastAsia="zh-CN"/>
              </w:rPr>
            </w:pPr>
            <w:bookmarkStart w:id="260" w:name="_Hlk129210603"/>
            <w:r>
              <w:rPr>
                <w:rFonts w:hint="default" w:ascii="Times New Roman" w:hAnsi="Times New Roman" w:eastAsia="宋体" w:cs="Times New Roman"/>
                <w:sz w:val="21"/>
                <w:lang w:eastAsia="zh-CN"/>
              </w:rPr>
              <w:t>中部由北往南依次设置废包装桶自动化包装容器循环再生生产线1条、废塑料包装物破碎清洗线1条、废金属包装容器破碎清洗生产线1条</w:t>
            </w:r>
            <w:bookmarkEnd w:id="260"/>
          </w:p>
        </w:tc>
        <w:tc>
          <w:tcPr>
            <w:tcW w:w="812" w:type="pct"/>
            <w:vMerge w:val="restart"/>
            <w:vAlign w:val="center"/>
          </w:tcPr>
          <w:p w14:paraId="3E5957C2">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1F，</w:t>
            </w:r>
            <w:r>
              <w:rPr>
                <w:rFonts w:hint="default" w:ascii="Times New Roman" w:hAnsi="Times New Roman" w:eastAsia="宋体" w:cs="Times New Roman"/>
                <w:sz w:val="21"/>
                <w:lang w:eastAsia="en-US"/>
              </w:rPr>
              <w:t>新建</w:t>
            </w:r>
          </w:p>
          <w:p w14:paraId="749DA701">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框架结构</w:t>
            </w:r>
            <w:r>
              <w:rPr>
                <w:rFonts w:hint="eastAsia" w:ascii="Times New Roman" w:hAnsi="Times New Roman" w:cs="Times New Roman"/>
                <w:sz w:val="21"/>
                <w:lang w:eastAsia="zh-CN"/>
              </w:rPr>
              <w:t>；</w:t>
            </w:r>
          </w:p>
          <w:p w14:paraId="157AB3AF">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u w:val="single"/>
                <w:lang w:eastAsia="zh-CN"/>
              </w:rPr>
              <w:t>项目“年收集贮存9800吨危险废物项目”整体搬迁扩建后</w:t>
            </w:r>
            <w:r>
              <w:rPr>
                <w:rFonts w:hint="eastAsia" w:ascii="Times New Roman" w:hAnsi="Times New Roman" w:cs="Times New Roman"/>
                <w:sz w:val="21"/>
                <w:u w:val="single"/>
                <w:lang w:val="en-US" w:eastAsia="zh-CN"/>
              </w:rPr>
              <w:t>的</w:t>
            </w:r>
            <w:r>
              <w:rPr>
                <w:rFonts w:hint="default" w:ascii="Times New Roman" w:hAnsi="Times New Roman" w:eastAsia="宋体" w:cs="Times New Roman"/>
                <w:sz w:val="21"/>
                <w:u w:val="single"/>
                <w:lang w:eastAsia="zh-CN"/>
              </w:rPr>
              <w:t>危险废物收集贮存单元和危险废物再生利用区的临时收集贮存的单元为分隔开的独立不同区域</w:t>
            </w:r>
          </w:p>
        </w:tc>
      </w:tr>
      <w:tr w14:paraId="3D35FD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7168996E">
            <w:pPr>
              <w:pStyle w:val="60"/>
              <w:adjustRightInd w:val="0"/>
              <w:snapToGrid w:val="0"/>
              <w:rPr>
                <w:rFonts w:hint="default" w:ascii="Times New Roman" w:hAnsi="Times New Roman" w:eastAsia="宋体" w:cs="Times New Roman"/>
                <w:sz w:val="21"/>
                <w:szCs w:val="21"/>
                <w:lang w:eastAsia="en-US"/>
              </w:rPr>
            </w:pPr>
          </w:p>
        </w:tc>
        <w:tc>
          <w:tcPr>
            <w:tcW w:w="858" w:type="pct"/>
            <w:vMerge w:val="continue"/>
            <w:vAlign w:val="center"/>
          </w:tcPr>
          <w:p w14:paraId="4A7AC68B">
            <w:pPr>
              <w:pStyle w:val="60"/>
              <w:adjustRightInd w:val="0"/>
              <w:snapToGrid w:val="0"/>
              <w:rPr>
                <w:rFonts w:hint="default" w:ascii="Times New Roman" w:hAnsi="Times New Roman" w:eastAsia="宋体" w:cs="Times New Roman"/>
                <w:sz w:val="21"/>
                <w:lang w:eastAsia="zh-CN"/>
              </w:rPr>
            </w:pPr>
          </w:p>
        </w:tc>
        <w:tc>
          <w:tcPr>
            <w:tcW w:w="2950" w:type="pct"/>
            <w:vAlign w:val="center"/>
          </w:tcPr>
          <w:p w14:paraId="777CEB10">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危险废物贮存区；</w:t>
            </w:r>
            <w:r>
              <w:rPr>
                <w:rFonts w:hint="default" w:ascii="Times New Roman" w:hAnsi="Times New Roman" w:eastAsia="宋体" w:cs="Times New Roman"/>
                <w:sz w:val="21"/>
                <w:lang w:eastAsia="zh-CN"/>
              </w:rPr>
              <w:t>建筑面积</w:t>
            </w:r>
            <w:r>
              <w:rPr>
                <w:rFonts w:hint="default" w:ascii="Times New Roman" w:hAnsi="Times New Roman" w:eastAsia="宋体" w:cs="Times New Roman"/>
                <w:sz w:val="21"/>
                <w:lang w:val="en-US" w:eastAsia="zh-CN"/>
              </w:rPr>
              <w:t>5051.44</w:t>
            </w:r>
            <w:r>
              <w:rPr>
                <w:rFonts w:hint="default" w:ascii="Times New Roman" w:hAnsi="Times New Roman" w:eastAsia="宋体" w:cs="Times New Roman"/>
                <w:sz w:val="21"/>
                <w:lang w:eastAsia="zh-CN"/>
              </w:rPr>
              <w:t>m</w:t>
            </w:r>
            <w:r>
              <w:rPr>
                <w:rFonts w:hint="default" w:ascii="Times New Roman" w:hAnsi="Times New Roman" w:eastAsia="宋体" w:cs="Times New Roman"/>
                <w:sz w:val="21"/>
                <w:vertAlign w:val="superscript"/>
                <w:lang w:eastAsia="zh-CN"/>
              </w:rPr>
              <w:t>2</w:t>
            </w:r>
            <w:r>
              <w:rPr>
                <w:rFonts w:hint="default" w:ascii="Times New Roman" w:hAnsi="Times New Roman" w:eastAsia="宋体" w:cs="Times New Roman"/>
                <w:sz w:val="21"/>
                <w:lang w:eastAsia="zh-CN"/>
              </w:rPr>
              <w:t>，作为现有“年收集贮存9800吨危险废物项目”整体搬迁扩建后的危废收集贮存场所</w:t>
            </w:r>
          </w:p>
        </w:tc>
        <w:tc>
          <w:tcPr>
            <w:tcW w:w="812" w:type="pct"/>
            <w:vMerge w:val="continue"/>
            <w:vAlign w:val="center"/>
          </w:tcPr>
          <w:p w14:paraId="771FF7FC">
            <w:pPr>
              <w:pStyle w:val="60"/>
              <w:adjustRightInd w:val="0"/>
              <w:snapToGrid w:val="0"/>
              <w:rPr>
                <w:rFonts w:hint="default" w:ascii="Times New Roman" w:hAnsi="Times New Roman" w:eastAsia="宋体" w:cs="Times New Roman"/>
                <w:sz w:val="21"/>
                <w:lang w:eastAsia="zh-CN"/>
              </w:rPr>
            </w:pPr>
          </w:p>
        </w:tc>
      </w:tr>
      <w:tr w14:paraId="4D742DE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477D5B93">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858" w:type="pct"/>
            <w:vAlign w:val="center"/>
          </w:tcPr>
          <w:p w14:paraId="4ECCC5F7">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预留二期车间（B#栋）</w:t>
            </w:r>
          </w:p>
        </w:tc>
        <w:tc>
          <w:tcPr>
            <w:tcW w:w="2950" w:type="pct"/>
            <w:vAlign w:val="center"/>
          </w:tcPr>
          <w:p w14:paraId="29053993">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建筑面积</w:t>
            </w:r>
            <w:r>
              <w:rPr>
                <w:rFonts w:hint="default" w:ascii="Times New Roman" w:hAnsi="Times New Roman" w:eastAsia="宋体" w:cs="Times New Roman"/>
                <w:sz w:val="21"/>
                <w:lang w:eastAsia="zh-CN"/>
              </w:rPr>
              <w:t>5051.44m</w:t>
            </w:r>
            <w:r>
              <w:rPr>
                <w:rFonts w:hint="default" w:ascii="Times New Roman" w:hAnsi="Times New Roman" w:eastAsia="宋体" w:cs="Times New Roman"/>
                <w:sz w:val="21"/>
                <w:vertAlign w:val="superscript"/>
                <w:lang w:eastAsia="zh-CN"/>
              </w:rPr>
              <w:t>2</w:t>
            </w:r>
            <w:r>
              <w:rPr>
                <w:rFonts w:hint="default" w:ascii="Times New Roman" w:hAnsi="Times New Roman" w:eastAsia="宋体" w:cs="Times New Roman"/>
                <w:sz w:val="21"/>
                <w:lang w:eastAsia="zh-CN"/>
              </w:rPr>
              <w:t>，仅作为后续项目预留，</w:t>
            </w:r>
            <w:r>
              <w:rPr>
                <w:rFonts w:hint="default" w:ascii="Times New Roman" w:hAnsi="Times New Roman" w:eastAsia="宋体" w:cs="Times New Roman"/>
                <w:sz w:val="21"/>
                <w:lang w:val="en-US" w:eastAsia="zh-CN"/>
              </w:rPr>
              <w:t>本次</w:t>
            </w:r>
            <w:r>
              <w:rPr>
                <w:rFonts w:hint="default" w:ascii="Times New Roman" w:hAnsi="Times New Roman" w:eastAsia="宋体" w:cs="Times New Roman"/>
                <w:sz w:val="21"/>
                <w:lang w:eastAsia="zh-CN"/>
              </w:rPr>
              <w:t>不设置相关生产内容</w:t>
            </w:r>
          </w:p>
        </w:tc>
        <w:tc>
          <w:tcPr>
            <w:tcW w:w="812" w:type="pct"/>
            <w:vAlign w:val="center"/>
          </w:tcPr>
          <w:p w14:paraId="0C767295">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1F，</w:t>
            </w:r>
            <w:r>
              <w:rPr>
                <w:rFonts w:hint="default" w:ascii="Times New Roman" w:hAnsi="Times New Roman" w:eastAsia="宋体" w:cs="Times New Roman"/>
                <w:sz w:val="21"/>
                <w:lang w:eastAsia="en-US"/>
              </w:rPr>
              <w:t>新建</w:t>
            </w:r>
          </w:p>
        </w:tc>
      </w:tr>
      <w:tr w14:paraId="018B0AE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restart"/>
            <w:vAlign w:val="center"/>
          </w:tcPr>
          <w:p w14:paraId="7BFDAB51">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辅助工程</w:t>
            </w:r>
          </w:p>
        </w:tc>
        <w:tc>
          <w:tcPr>
            <w:tcW w:w="858" w:type="pct"/>
            <w:vAlign w:val="center"/>
          </w:tcPr>
          <w:p w14:paraId="58AEAE6C">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危险废物</w:t>
            </w:r>
            <w:r>
              <w:rPr>
                <w:rFonts w:hint="default" w:ascii="Times New Roman" w:hAnsi="Times New Roman" w:eastAsia="宋体" w:cs="Times New Roman"/>
                <w:sz w:val="21"/>
                <w:lang w:eastAsia="en-US"/>
              </w:rPr>
              <w:t>来料</w:t>
            </w:r>
          </w:p>
          <w:p w14:paraId="216DA004">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val="en-US" w:eastAsia="zh-CN"/>
              </w:rPr>
              <w:t>分拣贮存</w:t>
            </w:r>
            <w:r>
              <w:rPr>
                <w:rFonts w:hint="default" w:ascii="Times New Roman" w:hAnsi="Times New Roman" w:eastAsia="宋体" w:cs="Times New Roman"/>
                <w:sz w:val="21"/>
                <w:lang w:eastAsia="en-US"/>
              </w:rPr>
              <w:t>区</w:t>
            </w:r>
          </w:p>
        </w:tc>
        <w:tc>
          <w:tcPr>
            <w:tcW w:w="2950" w:type="pct"/>
            <w:vAlign w:val="center"/>
          </w:tcPr>
          <w:p w14:paraId="6B4072B9">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设置</w:t>
            </w:r>
            <w:r>
              <w:rPr>
                <w:rFonts w:hint="default" w:ascii="Times New Roman" w:hAnsi="Times New Roman" w:eastAsia="宋体" w:cs="Times New Roman"/>
                <w:sz w:val="21"/>
                <w:lang w:val="en-US" w:eastAsia="zh-CN"/>
              </w:rPr>
              <w:t>A#栋危险废物再生利用区东侧</w:t>
            </w:r>
            <w:r>
              <w:rPr>
                <w:rFonts w:hint="default" w:ascii="Times New Roman" w:hAnsi="Times New Roman" w:eastAsia="宋体" w:cs="Times New Roman"/>
                <w:sz w:val="21"/>
                <w:lang w:eastAsia="zh-CN"/>
              </w:rPr>
              <w:t>，建筑面积200m</w:t>
            </w:r>
            <w:r>
              <w:rPr>
                <w:rFonts w:hint="default" w:ascii="Times New Roman" w:hAnsi="Times New Roman" w:eastAsia="宋体" w:cs="Times New Roman"/>
                <w:sz w:val="21"/>
                <w:vertAlign w:val="superscript"/>
                <w:lang w:eastAsia="zh-CN"/>
              </w:rPr>
              <w:t>2</w:t>
            </w:r>
          </w:p>
        </w:tc>
        <w:tc>
          <w:tcPr>
            <w:tcW w:w="812" w:type="pct"/>
            <w:vAlign w:val="center"/>
          </w:tcPr>
          <w:p w14:paraId="40BD25F8">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新建</w:t>
            </w:r>
          </w:p>
          <w:p w14:paraId="112C0B39">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按照危废贮存场的要求建设</w:t>
            </w:r>
          </w:p>
        </w:tc>
      </w:tr>
      <w:tr w14:paraId="46B7A6F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5E06446C">
            <w:pPr>
              <w:autoSpaceDE w:val="0"/>
              <w:autoSpaceDN w:val="0"/>
              <w:adjustRightInd w:val="0"/>
              <w:snapToGrid w:val="0"/>
              <w:jc w:val="center"/>
              <w:rPr>
                <w:rFonts w:hint="default" w:ascii="Times New Roman" w:hAnsi="Times New Roman" w:eastAsia="宋体" w:cs="Times New Roman"/>
                <w:kern w:val="0"/>
                <w:sz w:val="2"/>
                <w:szCs w:val="2"/>
                <w:lang w:eastAsia="zh-CN"/>
              </w:rPr>
            </w:pPr>
          </w:p>
        </w:tc>
        <w:tc>
          <w:tcPr>
            <w:tcW w:w="858" w:type="pct"/>
            <w:vAlign w:val="center"/>
          </w:tcPr>
          <w:p w14:paraId="65E77F73">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成品区</w:t>
            </w:r>
          </w:p>
          <w:p w14:paraId="3491382B">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（铁桶、铁块、塑料片）</w:t>
            </w:r>
          </w:p>
        </w:tc>
        <w:tc>
          <w:tcPr>
            <w:tcW w:w="2950" w:type="pct"/>
            <w:vAlign w:val="center"/>
          </w:tcPr>
          <w:p w14:paraId="6A38BD29">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设置在A#栋</w:t>
            </w:r>
            <w:r>
              <w:rPr>
                <w:rFonts w:hint="default" w:ascii="Times New Roman" w:hAnsi="Times New Roman" w:eastAsia="宋体" w:cs="Times New Roman"/>
                <w:sz w:val="21"/>
                <w:lang w:val="en-US" w:eastAsia="zh-CN"/>
              </w:rPr>
              <w:t>危险废物再生利用区南侧</w:t>
            </w:r>
            <w:r>
              <w:rPr>
                <w:rFonts w:hint="default" w:ascii="Times New Roman" w:hAnsi="Times New Roman" w:eastAsia="宋体" w:cs="Times New Roman"/>
                <w:sz w:val="21"/>
                <w:lang w:eastAsia="zh-CN"/>
              </w:rPr>
              <w:t>，面积约</w:t>
            </w:r>
            <w:r>
              <w:rPr>
                <w:rFonts w:hint="default" w:ascii="Times New Roman" w:hAnsi="Times New Roman" w:eastAsia="宋体" w:cs="Times New Roman"/>
                <w:sz w:val="21"/>
                <w:lang w:val="en-US" w:eastAsia="zh-CN"/>
              </w:rPr>
              <w:t>3</w:t>
            </w:r>
            <w:r>
              <w:rPr>
                <w:rFonts w:hint="default" w:ascii="Times New Roman" w:hAnsi="Times New Roman" w:eastAsia="宋体" w:cs="Times New Roman"/>
                <w:sz w:val="21"/>
                <w:lang w:eastAsia="zh-CN"/>
              </w:rPr>
              <w:t>00m</w:t>
            </w:r>
            <w:r>
              <w:rPr>
                <w:rFonts w:hint="default" w:ascii="Times New Roman" w:hAnsi="Times New Roman" w:eastAsia="宋体" w:cs="Times New Roman"/>
                <w:sz w:val="21"/>
                <w:vertAlign w:val="superscript"/>
                <w:lang w:eastAsia="zh-CN"/>
              </w:rPr>
              <w:t>2</w:t>
            </w:r>
          </w:p>
        </w:tc>
        <w:tc>
          <w:tcPr>
            <w:tcW w:w="812" w:type="pct"/>
            <w:vAlign w:val="center"/>
          </w:tcPr>
          <w:p w14:paraId="2D94D56C">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新建，</w:t>
            </w:r>
          </w:p>
          <w:p w14:paraId="476794C9">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按照危废贮存场的要求建设</w:t>
            </w:r>
          </w:p>
        </w:tc>
      </w:tr>
      <w:tr w14:paraId="624E79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Align w:val="center"/>
          </w:tcPr>
          <w:p w14:paraId="3BC81C78">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配套工程</w:t>
            </w:r>
          </w:p>
        </w:tc>
        <w:tc>
          <w:tcPr>
            <w:tcW w:w="858" w:type="pct"/>
            <w:vAlign w:val="center"/>
          </w:tcPr>
          <w:p w14:paraId="3A7164F2">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办公楼</w:t>
            </w:r>
          </w:p>
        </w:tc>
        <w:tc>
          <w:tcPr>
            <w:tcW w:w="2950" w:type="pct"/>
            <w:vAlign w:val="center"/>
          </w:tcPr>
          <w:p w14:paraId="34CF4519">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建筑面积约为</w:t>
            </w:r>
            <w:r>
              <w:rPr>
                <w:rFonts w:hint="eastAsia" w:ascii="Times New Roman" w:hAnsi="Times New Roman" w:cs="Times New Roman"/>
                <w:sz w:val="21"/>
                <w:lang w:eastAsia="zh-CN"/>
              </w:rPr>
              <w:t>2492.53</w:t>
            </w:r>
            <w:r>
              <w:rPr>
                <w:rFonts w:hint="default" w:ascii="Times New Roman" w:hAnsi="Times New Roman" w:eastAsia="宋体" w:cs="Times New Roman"/>
                <w:sz w:val="21"/>
                <w:lang w:eastAsia="zh-CN"/>
              </w:rPr>
              <w:t>m</w:t>
            </w:r>
            <w:r>
              <w:rPr>
                <w:rFonts w:hint="default" w:ascii="Times New Roman" w:hAnsi="Times New Roman" w:eastAsia="宋体" w:cs="Times New Roman"/>
                <w:sz w:val="21"/>
                <w:vertAlign w:val="superscript"/>
                <w:lang w:eastAsia="zh-CN"/>
              </w:rPr>
              <w:t>2</w:t>
            </w:r>
            <w:r>
              <w:rPr>
                <w:rFonts w:hint="default" w:ascii="Times New Roman" w:hAnsi="Times New Roman" w:eastAsia="宋体" w:cs="Times New Roman"/>
                <w:sz w:val="21"/>
                <w:lang w:eastAsia="zh-CN"/>
              </w:rPr>
              <w:t>，内设有办公室、接待室、员工食堂等</w:t>
            </w:r>
          </w:p>
        </w:tc>
        <w:tc>
          <w:tcPr>
            <w:tcW w:w="812" w:type="pct"/>
            <w:vAlign w:val="center"/>
          </w:tcPr>
          <w:p w14:paraId="68EA6578">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新建</w:t>
            </w:r>
          </w:p>
        </w:tc>
      </w:tr>
      <w:tr w14:paraId="186E932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restart"/>
            <w:vAlign w:val="center"/>
          </w:tcPr>
          <w:p w14:paraId="1DBD9C0F">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公用工程</w:t>
            </w:r>
          </w:p>
        </w:tc>
        <w:tc>
          <w:tcPr>
            <w:tcW w:w="858" w:type="pct"/>
            <w:vAlign w:val="center"/>
          </w:tcPr>
          <w:p w14:paraId="706819E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污水</w:t>
            </w:r>
            <w:r>
              <w:rPr>
                <w:rFonts w:hint="default" w:ascii="Times New Roman" w:hAnsi="Times New Roman" w:eastAsia="宋体" w:cs="Times New Roman"/>
                <w:sz w:val="21"/>
                <w:lang w:eastAsia="en-US"/>
              </w:rPr>
              <w:t>管网</w:t>
            </w:r>
          </w:p>
        </w:tc>
        <w:tc>
          <w:tcPr>
            <w:tcW w:w="2950" w:type="pct"/>
            <w:vAlign w:val="center"/>
          </w:tcPr>
          <w:p w14:paraId="76481694">
            <w:pPr>
              <w:pStyle w:val="60"/>
              <w:adjustRightInd w:val="0"/>
              <w:snapToGrid w:val="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eastAsia="zh-CN"/>
              </w:rPr>
              <w:t>将生产废水</w:t>
            </w:r>
            <w:r>
              <w:rPr>
                <w:rFonts w:hint="default" w:ascii="Times New Roman" w:hAnsi="Times New Roman" w:eastAsia="宋体" w:cs="Times New Roman"/>
                <w:sz w:val="21"/>
                <w:lang w:val="en-US" w:eastAsia="zh-CN"/>
              </w:rPr>
              <w:t>经自建的</w:t>
            </w:r>
            <w:r>
              <w:rPr>
                <w:rFonts w:hint="default" w:ascii="Times New Roman" w:hAnsi="Times New Roman" w:eastAsia="宋体" w:cs="Times New Roman"/>
                <w:sz w:val="21"/>
                <w:lang w:eastAsia="zh-CN"/>
              </w:rPr>
              <w:t>污水处理站处理达标</w:t>
            </w:r>
            <w:r>
              <w:rPr>
                <w:rFonts w:hint="default" w:ascii="Times New Roman" w:hAnsi="Times New Roman" w:eastAsia="宋体" w:cs="Times New Roman"/>
                <w:sz w:val="21"/>
                <w:lang w:val="en-US" w:eastAsia="zh-CN"/>
              </w:rPr>
              <w:t>后通过自设管道引至污水储存池，全部回用于生产；</w:t>
            </w:r>
          </w:p>
          <w:p w14:paraId="73295BEE">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生活污水经化粪池处理后</w:t>
            </w:r>
            <w:r>
              <w:rPr>
                <w:rFonts w:hint="default" w:ascii="Times New Roman" w:hAnsi="Times New Roman" w:eastAsia="宋体" w:cs="Times New Roman"/>
                <w:sz w:val="21"/>
                <w:lang w:eastAsia="zh-CN"/>
              </w:rPr>
              <w:t>外排接入园区污水管网</w:t>
            </w:r>
          </w:p>
        </w:tc>
        <w:tc>
          <w:tcPr>
            <w:tcW w:w="812" w:type="pct"/>
            <w:vAlign w:val="center"/>
          </w:tcPr>
          <w:p w14:paraId="69F12DE7">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生产废水</w:t>
            </w:r>
            <w:r>
              <w:rPr>
                <w:rFonts w:hint="eastAsia" w:ascii="Times New Roman" w:hAnsi="Times New Roman" w:cs="Times New Roman"/>
                <w:sz w:val="21"/>
                <w:lang w:val="en-US" w:eastAsia="zh-CN"/>
              </w:rPr>
              <w:t>明管明渠</w:t>
            </w:r>
            <w:r>
              <w:rPr>
                <w:rFonts w:hint="default" w:ascii="Times New Roman" w:hAnsi="Times New Roman" w:eastAsia="宋体" w:cs="Times New Roman"/>
                <w:sz w:val="21"/>
                <w:lang w:eastAsia="en-US"/>
              </w:rPr>
              <w:t>布设</w:t>
            </w:r>
          </w:p>
        </w:tc>
      </w:tr>
      <w:tr w14:paraId="41F615C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24E6ECEE">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858" w:type="pct"/>
            <w:vAlign w:val="center"/>
          </w:tcPr>
          <w:p w14:paraId="7133CEBC">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雨水管网</w:t>
            </w:r>
          </w:p>
        </w:tc>
        <w:tc>
          <w:tcPr>
            <w:tcW w:w="2950" w:type="pct"/>
            <w:vAlign w:val="center"/>
          </w:tcPr>
          <w:p w14:paraId="42C78ACC">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排走雨水，保持厂房、通路干燥</w:t>
            </w:r>
          </w:p>
        </w:tc>
        <w:tc>
          <w:tcPr>
            <w:tcW w:w="812" w:type="pct"/>
            <w:vAlign w:val="center"/>
          </w:tcPr>
          <w:p w14:paraId="47E18FDD">
            <w:pPr>
              <w:pStyle w:val="60"/>
              <w:adjustRightInd w:val="0"/>
              <w:snapToGrid w:val="0"/>
              <w:rPr>
                <w:rFonts w:hint="default" w:ascii="Times New Roman" w:hAnsi="Times New Roman" w:eastAsia="宋体" w:cs="Times New Roman"/>
                <w:sz w:val="21"/>
                <w:lang w:eastAsia="en-US"/>
              </w:rPr>
            </w:pPr>
            <w:r>
              <w:rPr>
                <w:rFonts w:hint="eastAsia" w:ascii="Times New Roman" w:hAnsi="Times New Roman" w:cs="Times New Roman"/>
                <w:sz w:val="21"/>
                <w:lang w:val="en-US" w:eastAsia="zh-CN"/>
              </w:rPr>
              <w:t>明管明渠</w:t>
            </w:r>
            <w:r>
              <w:rPr>
                <w:rFonts w:hint="default" w:ascii="Times New Roman" w:hAnsi="Times New Roman" w:eastAsia="宋体" w:cs="Times New Roman"/>
                <w:sz w:val="21"/>
                <w:lang w:eastAsia="en-US"/>
              </w:rPr>
              <w:t>布设</w:t>
            </w:r>
          </w:p>
        </w:tc>
      </w:tr>
      <w:tr w14:paraId="2B2231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76DC0EE8">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858" w:type="pct"/>
            <w:vAlign w:val="center"/>
          </w:tcPr>
          <w:p w14:paraId="5BC66578">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供水管网</w:t>
            </w:r>
          </w:p>
        </w:tc>
        <w:tc>
          <w:tcPr>
            <w:tcW w:w="2950" w:type="pct"/>
            <w:vAlign w:val="center"/>
          </w:tcPr>
          <w:p w14:paraId="4DBE393F">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用于厂区内供水</w:t>
            </w:r>
          </w:p>
        </w:tc>
        <w:tc>
          <w:tcPr>
            <w:tcW w:w="812" w:type="pct"/>
            <w:vAlign w:val="center"/>
          </w:tcPr>
          <w:p w14:paraId="553EB199">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69D6DA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29D32821">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858" w:type="pct"/>
            <w:vAlign w:val="center"/>
          </w:tcPr>
          <w:p w14:paraId="49C0DF67">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供电系统</w:t>
            </w:r>
          </w:p>
        </w:tc>
        <w:tc>
          <w:tcPr>
            <w:tcW w:w="2950" w:type="pct"/>
            <w:vAlign w:val="center"/>
          </w:tcPr>
          <w:p w14:paraId="67570189">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从园区市政电网接入，用于全厂区的供电</w:t>
            </w:r>
          </w:p>
        </w:tc>
        <w:tc>
          <w:tcPr>
            <w:tcW w:w="812" w:type="pct"/>
            <w:vAlign w:val="center"/>
          </w:tcPr>
          <w:p w14:paraId="6D3B1B81">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35E98B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008C354E">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858" w:type="pct"/>
            <w:vAlign w:val="center"/>
          </w:tcPr>
          <w:p w14:paraId="40EF758F">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厂区道路</w:t>
            </w:r>
          </w:p>
        </w:tc>
        <w:tc>
          <w:tcPr>
            <w:tcW w:w="2950" w:type="pct"/>
            <w:vAlign w:val="center"/>
          </w:tcPr>
          <w:p w14:paraId="7A22FCD1">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用于成品及原材料的运输车辆通过</w:t>
            </w:r>
          </w:p>
        </w:tc>
        <w:tc>
          <w:tcPr>
            <w:tcW w:w="812" w:type="pct"/>
            <w:vAlign w:val="center"/>
          </w:tcPr>
          <w:p w14:paraId="26333AF3">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水泥硬底化</w:t>
            </w:r>
          </w:p>
        </w:tc>
      </w:tr>
      <w:tr w14:paraId="1B540A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restart"/>
            <w:vAlign w:val="center"/>
          </w:tcPr>
          <w:p w14:paraId="5D725D19">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环保工程</w:t>
            </w:r>
          </w:p>
        </w:tc>
        <w:tc>
          <w:tcPr>
            <w:tcW w:w="858" w:type="pct"/>
            <w:vAlign w:val="center"/>
          </w:tcPr>
          <w:p w14:paraId="7DE52D26">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废水</w:t>
            </w:r>
          </w:p>
        </w:tc>
        <w:tc>
          <w:tcPr>
            <w:tcW w:w="2950" w:type="pct"/>
            <w:vAlign w:val="center"/>
          </w:tcPr>
          <w:p w14:paraId="7176E537">
            <w:pPr>
              <w:pStyle w:val="60"/>
              <w:adjustRightInd w:val="0"/>
              <w:snapToGrid w:val="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eastAsia="zh-CN"/>
              </w:rPr>
              <w:t>新建1座</w:t>
            </w:r>
            <w:r>
              <w:rPr>
                <w:rFonts w:hint="default" w:ascii="Times New Roman" w:hAnsi="Times New Roman" w:eastAsia="宋体" w:cs="Times New Roman"/>
                <w:sz w:val="21"/>
                <w:lang w:val="en-US" w:eastAsia="zh-CN"/>
              </w:rPr>
              <w:t>污水处理站，</w:t>
            </w:r>
            <w:r>
              <w:rPr>
                <w:rFonts w:hint="default" w:ascii="Times New Roman" w:hAnsi="Times New Roman" w:eastAsia="宋体" w:cs="Times New Roman"/>
                <w:sz w:val="21"/>
                <w:lang w:eastAsia="zh-CN"/>
              </w:rPr>
              <w:t>设计规模</w:t>
            </w:r>
            <w:r>
              <w:rPr>
                <w:rFonts w:hint="default" w:ascii="Times New Roman" w:hAnsi="Times New Roman" w:eastAsia="宋体" w:cs="Times New Roman"/>
                <w:sz w:val="21"/>
                <w:lang w:val="en-US" w:eastAsia="zh-CN"/>
              </w:rPr>
              <w:t>3</w:t>
            </w:r>
            <w:r>
              <w:rPr>
                <w:rFonts w:hint="default" w:ascii="Times New Roman" w:hAnsi="Times New Roman" w:eastAsia="宋体" w:cs="Times New Roman"/>
                <w:sz w:val="21"/>
                <w:lang w:eastAsia="zh-CN"/>
              </w:rPr>
              <w:t>0m</w:t>
            </w:r>
            <w:r>
              <w:rPr>
                <w:rFonts w:hint="default" w:ascii="Times New Roman" w:hAnsi="Times New Roman" w:eastAsia="宋体" w:cs="Times New Roman"/>
                <w:sz w:val="21"/>
                <w:vertAlign w:val="superscript"/>
                <w:lang w:eastAsia="zh-CN"/>
              </w:rPr>
              <w:t>3</w:t>
            </w:r>
            <w:r>
              <w:rPr>
                <w:rFonts w:hint="default" w:ascii="Times New Roman" w:hAnsi="Times New Roman" w:eastAsia="宋体" w:cs="Times New Roman"/>
                <w:sz w:val="21"/>
                <w:lang w:eastAsia="zh-CN"/>
              </w:rPr>
              <w:t>/d，采用工艺为“pH调节+絮凝+气浮+芬顿氧化+水解酸化+AO处理+沉淀”，</w:t>
            </w:r>
            <w:r>
              <w:rPr>
                <w:rFonts w:hint="default" w:ascii="Times New Roman" w:hAnsi="Times New Roman" w:eastAsia="宋体" w:cs="Times New Roman"/>
                <w:sz w:val="21"/>
                <w:lang w:val="en-US" w:eastAsia="zh-CN"/>
              </w:rPr>
              <w:t>生产</w:t>
            </w:r>
            <w:r>
              <w:rPr>
                <w:rFonts w:hint="default" w:ascii="Times New Roman" w:hAnsi="Times New Roman" w:eastAsia="宋体" w:cs="Times New Roman"/>
                <w:sz w:val="21"/>
                <w:lang w:eastAsia="zh-CN"/>
              </w:rPr>
              <w:t>废水</w:t>
            </w:r>
            <w:r>
              <w:rPr>
                <w:rFonts w:hint="default" w:ascii="Times New Roman" w:hAnsi="Times New Roman" w:eastAsia="宋体" w:cs="Times New Roman"/>
                <w:sz w:val="21"/>
                <w:lang w:val="en-US" w:eastAsia="zh-CN"/>
              </w:rPr>
              <w:t>经自建的</w:t>
            </w:r>
            <w:r>
              <w:rPr>
                <w:rFonts w:hint="default" w:ascii="Times New Roman" w:hAnsi="Times New Roman" w:eastAsia="宋体" w:cs="Times New Roman"/>
                <w:sz w:val="21"/>
                <w:lang w:eastAsia="zh-CN"/>
              </w:rPr>
              <w:t>污水处理站处理达标</w:t>
            </w:r>
            <w:r>
              <w:rPr>
                <w:rFonts w:hint="default" w:ascii="Times New Roman" w:hAnsi="Times New Roman" w:eastAsia="宋体" w:cs="Times New Roman"/>
                <w:sz w:val="21"/>
                <w:lang w:val="en-US" w:eastAsia="zh-CN"/>
              </w:rPr>
              <w:t>后通过自设管道引至污水储存池，回用于生产（一次）后，处理达标排入</w:t>
            </w:r>
            <w:r>
              <w:rPr>
                <w:rFonts w:hint="default" w:ascii="Times New Roman" w:hAnsi="Times New Roman" w:eastAsia="宋体" w:cs="Times New Roman"/>
                <w:sz w:val="21"/>
                <w:lang w:eastAsia="zh-CN"/>
              </w:rPr>
              <w:t>园区污水管网</w:t>
            </w:r>
            <w:r>
              <w:rPr>
                <w:rFonts w:hint="default" w:ascii="Times New Roman" w:hAnsi="Times New Roman" w:eastAsia="宋体" w:cs="Times New Roman"/>
                <w:sz w:val="21"/>
                <w:lang w:val="en-US" w:eastAsia="zh-CN"/>
              </w:rPr>
              <w:t>；</w:t>
            </w:r>
          </w:p>
          <w:p w14:paraId="1DE79228">
            <w:pPr>
              <w:pStyle w:val="60"/>
              <w:adjustRightInd w:val="0"/>
              <w:snapToGrid w:val="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生活污水经化粪池处理后</w:t>
            </w:r>
            <w:r>
              <w:rPr>
                <w:rFonts w:hint="default" w:ascii="Times New Roman" w:hAnsi="Times New Roman" w:eastAsia="宋体" w:cs="Times New Roman"/>
                <w:sz w:val="21"/>
                <w:lang w:eastAsia="zh-CN"/>
              </w:rPr>
              <w:t>外排接入园区污水管网</w:t>
            </w:r>
          </w:p>
        </w:tc>
        <w:tc>
          <w:tcPr>
            <w:tcW w:w="812" w:type="pct"/>
            <w:vAlign w:val="center"/>
          </w:tcPr>
          <w:p w14:paraId="066CBDC0">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新建</w:t>
            </w:r>
          </w:p>
        </w:tc>
      </w:tr>
      <w:tr w14:paraId="45CDF19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235752B6">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858" w:type="pct"/>
            <w:vMerge w:val="restart"/>
            <w:vAlign w:val="center"/>
          </w:tcPr>
          <w:p w14:paraId="1E4D4A5C">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废气</w:t>
            </w:r>
          </w:p>
        </w:tc>
        <w:tc>
          <w:tcPr>
            <w:tcW w:w="2950" w:type="pct"/>
            <w:vAlign w:val="center"/>
          </w:tcPr>
          <w:p w14:paraId="6CA89645">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①对危废综合利用生产线产生的VOCs，收集后采用“RCO催化燃烧装置”处理后由15m高排气筒（DA001）排放</w:t>
            </w:r>
          </w:p>
        </w:tc>
        <w:tc>
          <w:tcPr>
            <w:tcW w:w="812" w:type="pct"/>
            <w:vAlign w:val="center"/>
          </w:tcPr>
          <w:p w14:paraId="563831F7">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新建</w:t>
            </w:r>
          </w:p>
        </w:tc>
      </w:tr>
      <w:tr w14:paraId="33A7C4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5A34027E">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858" w:type="pct"/>
            <w:vMerge w:val="continue"/>
            <w:vAlign w:val="center"/>
          </w:tcPr>
          <w:p w14:paraId="2A84E58E">
            <w:pPr>
              <w:pStyle w:val="60"/>
              <w:adjustRightInd w:val="0"/>
              <w:snapToGrid w:val="0"/>
              <w:rPr>
                <w:rFonts w:hint="default" w:ascii="Times New Roman" w:hAnsi="Times New Roman" w:eastAsia="宋体" w:cs="Times New Roman"/>
                <w:sz w:val="21"/>
                <w:lang w:eastAsia="en-US"/>
              </w:rPr>
            </w:pPr>
          </w:p>
        </w:tc>
        <w:tc>
          <w:tcPr>
            <w:tcW w:w="2950" w:type="pct"/>
            <w:vAlign w:val="center"/>
          </w:tcPr>
          <w:p w14:paraId="7679D048">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②对于现有整体搬迁后的危废贮存库废气，收集后经UV光解+活性炭吸附装置处理后有15m高排气筒（DA002）排放</w:t>
            </w:r>
          </w:p>
        </w:tc>
        <w:tc>
          <w:tcPr>
            <w:tcW w:w="812" w:type="pct"/>
            <w:vAlign w:val="center"/>
          </w:tcPr>
          <w:p w14:paraId="26E66ED2">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新建</w:t>
            </w:r>
          </w:p>
        </w:tc>
      </w:tr>
      <w:tr w14:paraId="3CC4E4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3398B35B">
            <w:pPr>
              <w:autoSpaceDE w:val="0"/>
              <w:autoSpaceDN w:val="0"/>
              <w:adjustRightInd w:val="0"/>
              <w:snapToGrid w:val="0"/>
              <w:jc w:val="center"/>
              <w:rPr>
                <w:rFonts w:hint="default" w:ascii="Times New Roman" w:hAnsi="Times New Roman" w:eastAsia="宋体" w:cs="Times New Roman"/>
                <w:kern w:val="0"/>
                <w:sz w:val="2"/>
                <w:szCs w:val="2"/>
                <w:lang w:eastAsia="zh-CN"/>
              </w:rPr>
            </w:pPr>
          </w:p>
        </w:tc>
        <w:tc>
          <w:tcPr>
            <w:tcW w:w="858" w:type="pct"/>
            <w:vAlign w:val="center"/>
          </w:tcPr>
          <w:p w14:paraId="6AACA34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噪声</w:t>
            </w:r>
          </w:p>
        </w:tc>
        <w:tc>
          <w:tcPr>
            <w:tcW w:w="2950" w:type="pct"/>
            <w:vAlign w:val="center"/>
          </w:tcPr>
          <w:p w14:paraId="50E15B0E">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采用基础减震、厂房隔声及绿色等措施降噪</w:t>
            </w:r>
          </w:p>
        </w:tc>
        <w:tc>
          <w:tcPr>
            <w:tcW w:w="812" w:type="pct"/>
            <w:vAlign w:val="center"/>
          </w:tcPr>
          <w:p w14:paraId="3966F347">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新建</w:t>
            </w:r>
          </w:p>
        </w:tc>
      </w:tr>
      <w:tr w14:paraId="42D955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378" w:type="pct"/>
            <w:vMerge w:val="continue"/>
            <w:vAlign w:val="center"/>
          </w:tcPr>
          <w:p w14:paraId="457755E2">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858" w:type="pct"/>
            <w:vAlign w:val="center"/>
          </w:tcPr>
          <w:p w14:paraId="52A245E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固废</w:t>
            </w:r>
          </w:p>
        </w:tc>
        <w:tc>
          <w:tcPr>
            <w:tcW w:w="2950" w:type="pct"/>
            <w:vAlign w:val="center"/>
          </w:tcPr>
          <w:p w14:paraId="303468F7">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危险废物：设置危险废物暂存区</w:t>
            </w:r>
          </w:p>
        </w:tc>
        <w:tc>
          <w:tcPr>
            <w:tcW w:w="812" w:type="pct"/>
            <w:vAlign w:val="center"/>
          </w:tcPr>
          <w:p w14:paraId="10521054">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en-US"/>
              </w:rPr>
              <w:t>新建</w:t>
            </w:r>
          </w:p>
        </w:tc>
      </w:tr>
      <w:tr w14:paraId="0DB7448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596EFD2D">
            <w:pPr>
              <w:pStyle w:val="60"/>
              <w:adjustRightInd w:val="0"/>
              <w:snapToGrid w:val="0"/>
              <w:rPr>
                <w:rFonts w:hint="default" w:ascii="Times New Roman" w:hAnsi="Times New Roman" w:eastAsia="宋体" w:cs="Times New Roman"/>
                <w:sz w:val="20"/>
                <w:lang w:eastAsia="en-US"/>
              </w:rPr>
            </w:pPr>
          </w:p>
        </w:tc>
        <w:tc>
          <w:tcPr>
            <w:tcW w:w="858" w:type="pct"/>
            <w:vAlign w:val="center"/>
          </w:tcPr>
          <w:p w14:paraId="0030D12D">
            <w:pPr>
              <w:pStyle w:val="60"/>
              <w:adjustRightInd w:val="0"/>
              <w:snapToGrid w:val="0"/>
              <w:rPr>
                <w:rFonts w:hint="default" w:ascii="Times New Roman" w:hAnsi="Times New Roman" w:eastAsia="宋体" w:cs="Times New Roman"/>
                <w:sz w:val="20"/>
                <w:lang w:eastAsia="en-US"/>
              </w:rPr>
            </w:pPr>
            <w:r>
              <w:rPr>
                <w:rFonts w:hint="default" w:ascii="Times New Roman" w:hAnsi="Times New Roman" w:eastAsia="宋体" w:cs="Times New Roman"/>
                <w:szCs w:val="28"/>
                <w:lang w:eastAsia="zh-CN"/>
              </w:rPr>
              <w:t>地下水</w:t>
            </w:r>
          </w:p>
        </w:tc>
        <w:tc>
          <w:tcPr>
            <w:tcW w:w="2950" w:type="pct"/>
            <w:vAlign w:val="center"/>
          </w:tcPr>
          <w:p w14:paraId="0FE3C8BE">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车间分区防渗</w:t>
            </w:r>
          </w:p>
        </w:tc>
        <w:tc>
          <w:tcPr>
            <w:tcW w:w="812" w:type="pct"/>
            <w:vAlign w:val="center"/>
          </w:tcPr>
          <w:p w14:paraId="0F59813F">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新建</w:t>
            </w:r>
          </w:p>
        </w:tc>
      </w:tr>
      <w:tr w14:paraId="062E7F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378" w:type="pct"/>
            <w:vMerge w:val="continue"/>
            <w:vAlign w:val="center"/>
          </w:tcPr>
          <w:p w14:paraId="548165D0">
            <w:pPr>
              <w:autoSpaceDE w:val="0"/>
              <w:autoSpaceDN w:val="0"/>
              <w:adjustRightInd w:val="0"/>
              <w:snapToGrid w:val="0"/>
              <w:jc w:val="center"/>
              <w:rPr>
                <w:rFonts w:hint="default" w:ascii="Times New Roman" w:hAnsi="Times New Roman" w:eastAsia="宋体" w:cs="Times New Roman"/>
                <w:kern w:val="0"/>
                <w:sz w:val="2"/>
                <w:szCs w:val="2"/>
                <w:lang w:eastAsia="zh-CN"/>
              </w:rPr>
            </w:pPr>
          </w:p>
        </w:tc>
        <w:tc>
          <w:tcPr>
            <w:tcW w:w="858" w:type="pct"/>
            <w:vAlign w:val="center"/>
          </w:tcPr>
          <w:p w14:paraId="3E76C2DE">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风险防范</w:t>
            </w:r>
          </w:p>
        </w:tc>
        <w:tc>
          <w:tcPr>
            <w:tcW w:w="2950" w:type="pct"/>
            <w:vAlign w:val="center"/>
          </w:tcPr>
          <w:p w14:paraId="4316EF69">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本项目厂区设置1个事故应急池，收集事故时产生的事故废水；</w:t>
            </w:r>
          </w:p>
          <w:p w14:paraId="64C55A39">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重点防渗区采取防渗措施后重点防渗区渗透系数小于1.0×10</w:t>
            </w:r>
            <w:r>
              <w:rPr>
                <w:rFonts w:hint="default" w:ascii="Times New Roman" w:hAnsi="Times New Roman" w:eastAsia="宋体" w:cs="Times New Roman"/>
                <w:sz w:val="21"/>
                <w:vertAlign w:val="superscript"/>
                <w:lang w:eastAsia="zh-CN"/>
              </w:rPr>
              <w:t>-7</w:t>
            </w:r>
            <w:r>
              <w:rPr>
                <w:rFonts w:hint="default" w:ascii="Times New Roman" w:hAnsi="Times New Roman" w:eastAsia="宋体" w:cs="Times New Roman"/>
                <w:sz w:val="21"/>
                <w:lang w:eastAsia="zh-CN"/>
              </w:rPr>
              <w:t>cm/s；一般防渗区采取防渗措施后渗透系数小于1.0×10</w:t>
            </w:r>
            <w:r>
              <w:rPr>
                <w:rFonts w:hint="default" w:ascii="Times New Roman" w:hAnsi="Times New Roman" w:eastAsia="宋体" w:cs="Times New Roman"/>
                <w:sz w:val="21"/>
                <w:vertAlign w:val="superscript"/>
                <w:lang w:eastAsia="zh-CN"/>
              </w:rPr>
              <w:t>-10</w:t>
            </w:r>
            <w:r>
              <w:rPr>
                <w:rFonts w:hint="default" w:ascii="Times New Roman" w:hAnsi="Times New Roman" w:eastAsia="宋体" w:cs="Times New Roman"/>
                <w:sz w:val="21"/>
                <w:lang w:eastAsia="zh-CN"/>
              </w:rPr>
              <w:t>cm/s。</w:t>
            </w:r>
          </w:p>
        </w:tc>
        <w:tc>
          <w:tcPr>
            <w:tcW w:w="812" w:type="pct"/>
            <w:vAlign w:val="center"/>
          </w:tcPr>
          <w:p w14:paraId="34C8ECAA">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新建</w:t>
            </w:r>
          </w:p>
        </w:tc>
      </w:tr>
    </w:tbl>
    <w:p w14:paraId="04473D7C">
      <w:pPr>
        <w:bidi w:val="0"/>
        <w:ind w:firstLine="422" w:firstLineChars="200"/>
        <w:rPr>
          <w:rFonts w:hint="eastAsia" w:ascii="Times New Roman" w:hAnsi="Times New Roman" w:eastAsia="宋体" w:cs="Times New Roman"/>
          <w:sz w:val="21"/>
          <w:szCs w:val="21"/>
          <w:u w:val="singl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eastAsia" w:ascii="Times New Roman" w:hAnsi="Times New Roman" w:cs="Times New Roman"/>
          <w:b/>
          <w:bCs/>
          <w:sz w:val="21"/>
          <w:szCs w:val="21"/>
          <w:u w:val="single"/>
          <w:lang w:val="en-US" w:eastAsia="zh-CN"/>
        </w:rPr>
        <w:t>备注：</w:t>
      </w:r>
      <w:r>
        <w:rPr>
          <w:rFonts w:hint="eastAsia" w:ascii="Times New Roman" w:hAnsi="Times New Roman" w:cs="Times New Roman"/>
          <w:b w:val="0"/>
          <w:bCs w:val="0"/>
          <w:sz w:val="21"/>
          <w:szCs w:val="21"/>
          <w:u w:val="single"/>
          <w:lang w:val="en-US" w:eastAsia="zh-CN"/>
        </w:rPr>
        <w:t>项目“年收集贮存9800吨危险废物项目”整体搬迁扩建后的危险废物收集贮存单元和危险废物再生利用区的临时收集贮存的单元为分隔开的独立不同区域。</w:t>
      </w:r>
    </w:p>
    <w:p w14:paraId="5A6D775A">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4.2.2主要经济技术指标</w:t>
      </w:r>
    </w:p>
    <w:p w14:paraId="0BDD3EB6">
      <w:pPr>
        <w:autoSpaceDE w:val="0"/>
        <w:autoSpaceDN w:val="0"/>
        <w:spacing w:line="360" w:lineRule="auto"/>
        <w:jc w:val="center"/>
        <w:rPr>
          <w:rFonts w:hint="default" w:ascii="Times New Roman" w:hAnsi="Times New Roman" w:eastAsia="宋体" w:cs="Times New Roman"/>
          <w:b/>
          <w:bCs/>
          <w:kern w:val="0"/>
          <w:sz w:val="24"/>
          <w:szCs w:val="24"/>
        </w:rPr>
      </w:pPr>
      <w:r>
        <w:rPr>
          <w:rFonts w:hint="default" w:ascii="Times New Roman" w:hAnsi="Times New Roman" w:eastAsia="宋体" w:cs="Times New Roman"/>
          <w:b/>
          <w:bCs/>
        </w:rPr>
        <w:t>表4.2-2 主要技术经济指标一览表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63"/>
        <w:gridCol w:w="2816"/>
        <w:gridCol w:w="940"/>
        <w:gridCol w:w="809"/>
        <w:gridCol w:w="3108"/>
      </w:tblGrid>
      <w:tr w14:paraId="0623F9F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8" w:type="pct"/>
            <w:vAlign w:val="center"/>
          </w:tcPr>
          <w:p w14:paraId="79333F95">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序号</w:t>
            </w:r>
          </w:p>
        </w:tc>
        <w:tc>
          <w:tcPr>
            <w:tcW w:w="1689" w:type="pct"/>
            <w:vAlign w:val="center"/>
          </w:tcPr>
          <w:p w14:paraId="6D7E374E">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项目名称</w:t>
            </w:r>
          </w:p>
        </w:tc>
        <w:tc>
          <w:tcPr>
            <w:tcW w:w="564" w:type="pct"/>
            <w:vAlign w:val="center"/>
          </w:tcPr>
          <w:p w14:paraId="5638B285">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单位</w:t>
            </w:r>
          </w:p>
        </w:tc>
        <w:tc>
          <w:tcPr>
            <w:tcW w:w="485" w:type="pct"/>
            <w:vAlign w:val="center"/>
          </w:tcPr>
          <w:p w14:paraId="45CC4F68">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数量</w:t>
            </w:r>
          </w:p>
        </w:tc>
        <w:tc>
          <w:tcPr>
            <w:tcW w:w="1864" w:type="pct"/>
            <w:vAlign w:val="center"/>
          </w:tcPr>
          <w:p w14:paraId="21AFDFBE">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备注</w:t>
            </w:r>
          </w:p>
        </w:tc>
      </w:tr>
      <w:tr w14:paraId="0D5F6A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98" w:type="pct"/>
            <w:vAlign w:val="center"/>
          </w:tcPr>
          <w:p w14:paraId="6246E4C0">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一</w:t>
            </w:r>
          </w:p>
        </w:tc>
        <w:tc>
          <w:tcPr>
            <w:tcW w:w="4602" w:type="pct"/>
            <w:gridSpan w:val="4"/>
            <w:vAlign w:val="center"/>
          </w:tcPr>
          <w:p w14:paraId="219F395D">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处理规模</w:t>
            </w:r>
          </w:p>
        </w:tc>
      </w:tr>
      <w:tr w14:paraId="24C91D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8" w:type="pct"/>
            <w:vAlign w:val="center"/>
          </w:tcPr>
          <w:p w14:paraId="4DCAF9B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w:t>
            </w:r>
          </w:p>
        </w:tc>
        <w:tc>
          <w:tcPr>
            <w:tcW w:w="1689" w:type="pct"/>
            <w:vAlign w:val="center"/>
          </w:tcPr>
          <w:p w14:paraId="67416548">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危险废物资源化综合利用能力</w:t>
            </w:r>
          </w:p>
        </w:tc>
        <w:tc>
          <w:tcPr>
            <w:tcW w:w="564" w:type="pct"/>
            <w:vAlign w:val="center"/>
          </w:tcPr>
          <w:p w14:paraId="2615777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t/a</w:t>
            </w:r>
          </w:p>
        </w:tc>
        <w:tc>
          <w:tcPr>
            <w:tcW w:w="485" w:type="pct"/>
            <w:vAlign w:val="center"/>
          </w:tcPr>
          <w:p w14:paraId="21BDB99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20000</w:t>
            </w:r>
          </w:p>
        </w:tc>
        <w:tc>
          <w:tcPr>
            <w:tcW w:w="1864" w:type="pct"/>
            <w:vAlign w:val="center"/>
          </w:tcPr>
          <w:p w14:paraId="34D3D961">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w:t>
            </w:r>
          </w:p>
        </w:tc>
      </w:tr>
      <w:tr w14:paraId="13026E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8" w:type="pct"/>
            <w:vAlign w:val="center"/>
          </w:tcPr>
          <w:p w14:paraId="27BAB05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2</w:t>
            </w:r>
          </w:p>
        </w:tc>
        <w:tc>
          <w:tcPr>
            <w:tcW w:w="1689" w:type="pct"/>
            <w:vAlign w:val="center"/>
          </w:tcPr>
          <w:p w14:paraId="3525A45E">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危险废物收集、贮存能力</w:t>
            </w:r>
          </w:p>
        </w:tc>
        <w:tc>
          <w:tcPr>
            <w:tcW w:w="564" w:type="pct"/>
            <w:vAlign w:val="center"/>
          </w:tcPr>
          <w:p w14:paraId="267966A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t</w:t>
            </w:r>
            <w:r>
              <w:rPr>
                <w:rFonts w:hint="default" w:ascii="Times New Roman" w:hAnsi="Times New Roman" w:eastAsia="宋体" w:cs="Times New Roman"/>
                <w:sz w:val="21"/>
                <w:lang w:eastAsia="en-US"/>
              </w:rPr>
              <w:t>/a</w:t>
            </w:r>
          </w:p>
        </w:tc>
        <w:tc>
          <w:tcPr>
            <w:tcW w:w="485" w:type="pct"/>
            <w:vAlign w:val="center"/>
          </w:tcPr>
          <w:p w14:paraId="519041FE">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14400</w:t>
            </w:r>
          </w:p>
        </w:tc>
        <w:tc>
          <w:tcPr>
            <w:tcW w:w="1864" w:type="pct"/>
            <w:vAlign w:val="center"/>
          </w:tcPr>
          <w:p w14:paraId="30F8A77B">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在现有“年收集贮存9800吨危险废物项目”搬迁的基础上扩建</w:t>
            </w:r>
          </w:p>
        </w:tc>
      </w:tr>
      <w:tr w14:paraId="378C3B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98" w:type="pct"/>
            <w:vAlign w:val="center"/>
          </w:tcPr>
          <w:p w14:paraId="09802F10">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二</w:t>
            </w:r>
          </w:p>
        </w:tc>
        <w:tc>
          <w:tcPr>
            <w:tcW w:w="4602" w:type="pct"/>
            <w:gridSpan w:val="4"/>
            <w:vAlign w:val="center"/>
          </w:tcPr>
          <w:p w14:paraId="7D450820">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主要原辅材料消耗</w:t>
            </w:r>
          </w:p>
        </w:tc>
      </w:tr>
      <w:tr w14:paraId="7000506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73" w:hRule="atLeast"/>
        </w:trPr>
        <w:tc>
          <w:tcPr>
            <w:tcW w:w="398" w:type="pct"/>
            <w:vAlign w:val="center"/>
          </w:tcPr>
          <w:p w14:paraId="1598B7E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w:t>
            </w:r>
          </w:p>
        </w:tc>
        <w:tc>
          <w:tcPr>
            <w:tcW w:w="1689" w:type="pct"/>
            <w:vAlign w:val="center"/>
          </w:tcPr>
          <w:p w14:paraId="7DC1450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废金属包装容器</w:t>
            </w:r>
          </w:p>
        </w:tc>
        <w:tc>
          <w:tcPr>
            <w:tcW w:w="564" w:type="pct"/>
            <w:vAlign w:val="center"/>
          </w:tcPr>
          <w:p w14:paraId="2B7AED2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t/a</w:t>
            </w:r>
          </w:p>
        </w:tc>
        <w:tc>
          <w:tcPr>
            <w:tcW w:w="485" w:type="pct"/>
            <w:vAlign w:val="center"/>
          </w:tcPr>
          <w:p w14:paraId="338A3B0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10000</w:t>
            </w:r>
          </w:p>
        </w:tc>
        <w:tc>
          <w:tcPr>
            <w:tcW w:w="1864" w:type="pct"/>
            <w:vMerge w:val="restart"/>
            <w:vAlign w:val="center"/>
          </w:tcPr>
          <w:p w14:paraId="1F555094">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HW08（900-249-08限沾染矿物油的废弃塑料和金属包装容器）、HW49（900-041-49限废弃包装物、容器和废金属机油滤芯）</w:t>
            </w:r>
            <w:r>
              <w:rPr>
                <w:rFonts w:hint="default" w:ascii="Times New Roman" w:hAnsi="Times New Roman" w:eastAsia="宋体" w:cs="Times New Roman"/>
                <w:b/>
                <w:bCs/>
                <w:sz w:val="21"/>
                <w:lang w:eastAsia="zh-CN"/>
              </w:rPr>
              <w:t>（限省内；不得接收含氰化物等剧毒类物质废包装容器、含爆炸性物质包装容器、感染性废弃包装物、含</w:t>
            </w:r>
            <w:r>
              <w:rPr>
                <w:rFonts w:hint="default" w:ascii="Times New Roman" w:hAnsi="Times New Roman" w:eastAsia="宋体" w:cs="Times New Roman"/>
                <w:b/>
                <w:bCs/>
                <w:sz w:val="21"/>
                <w:lang w:val="en-US" w:eastAsia="zh-CN"/>
              </w:rPr>
              <w:t>/沾染</w:t>
            </w:r>
            <w:r>
              <w:rPr>
                <w:rFonts w:hint="default" w:ascii="Times New Roman" w:hAnsi="Times New Roman" w:eastAsia="宋体" w:cs="Times New Roman"/>
                <w:b/>
                <w:bCs/>
                <w:sz w:val="21"/>
                <w:lang w:eastAsia="zh-CN"/>
              </w:rPr>
              <w:t>重金属包装容器、</w:t>
            </w:r>
            <w:r>
              <w:rPr>
                <w:rFonts w:hint="default" w:ascii="Times New Roman" w:hAnsi="Times New Roman" w:eastAsia="宋体" w:cs="Times New Roman"/>
                <w:b/>
                <w:bCs/>
                <w:sz w:val="21"/>
                <w:lang w:val="en-US" w:eastAsia="zh-CN"/>
              </w:rPr>
              <w:t>含/沾染一类污染物的包装物</w:t>
            </w:r>
            <w:r>
              <w:rPr>
                <w:rFonts w:hint="default" w:ascii="Times New Roman" w:hAnsi="Times New Roman" w:eastAsia="宋体" w:cs="Times New Roman"/>
                <w:b/>
                <w:bCs/>
                <w:sz w:val="21"/>
                <w:lang w:eastAsia="zh-CN"/>
              </w:rPr>
              <w:t>）</w:t>
            </w:r>
          </w:p>
        </w:tc>
      </w:tr>
      <w:tr w14:paraId="3D01EBA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68" w:hRule="atLeast"/>
        </w:trPr>
        <w:tc>
          <w:tcPr>
            <w:tcW w:w="398" w:type="pct"/>
            <w:vAlign w:val="center"/>
          </w:tcPr>
          <w:p w14:paraId="19C51A7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2</w:t>
            </w:r>
          </w:p>
        </w:tc>
        <w:tc>
          <w:tcPr>
            <w:tcW w:w="1689" w:type="pct"/>
            <w:vAlign w:val="center"/>
          </w:tcPr>
          <w:p w14:paraId="1213C2E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废金属机油滤芯</w:t>
            </w:r>
          </w:p>
        </w:tc>
        <w:tc>
          <w:tcPr>
            <w:tcW w:w="564" w:type="pct"/>
            <w:vAlign w:val="center"/>
          </w:tcPr>
          <w:p w14:paraId="231A76E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t/a</w:t>
            </w:r>
          </w:p>
        </w:tc>
        <w:tc>
          <w:tcPr>
            <w:tcW w:w="485" w:type="pct"/>
            <w:vAlign w:val="center"/>
          </w:tcPr>
          <w:p w14:paraId="18592C1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5000</w:t>
            </w:r>
          </w:p>
        </w:tc>
        <w:tc>
          <w:tcPr>
            <w:tcW w:w="1864" w:type="pct"/>
            <w:vMerge w:val="continue"/>
            <w:vAlign w:val="center"/>
          </w:tcPr>
          <w:p w14:paraId="471C4370">
            <w:pPr>
              <w:pStyle w:val="60"/>
              <w:rPr>
                <w:rFonts w:hint="default" w:ascii="Times New Roman" w:hAnsi="Times New Roman" w:eastAsia="宋体" w:cs="Times New Roman"/>
                <w:sz w:val="2"/>
                <w:szCs w:val="2"/>
                <w:lang w:eastAsia="en-US"/>
              </w:rPr>
            </w:pPr>
          </w:p>
        </w:tc>
      </w:tr>
      <w:tr w14:paraId="386860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98" w:type="pct"/>
            <w:vAlign w:val="center"/>
          </w:tcPr>
          <w:p w14:paraId="03457DE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3</w:t>
            </w:r>
          </w:p>
        </w:tc>
        <w:tc>
          <w:tcPr>
            <w:tcW w:w="1689" w:type="pct"/>
            <w:vAlign w:val="center"/>
          </w:tcPr>
          <w:p w14:paraId="6AD6198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废塑料包装容器</w:t>
            </w:r>
          </w:p>
        </w:tc>
        <w:tc>
          <w:tcPr>
            <w:tcW w:w="564" w:type="pct"/>
            <w:vAlign w:val="center"/>
          </w:tcPr>
          <w:p w14:paraId="615D2DC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t/a</w:t>
            </w:r>
          </w:p>
        </w:tc>
        <w:tc>
          <w:tcPr>
            <w:tcW w:w="485" w:type="pct"/>
            <w:vAlign w:val="center"/>
          </w:tcPr>
          <w:p w14:paraId="74C2A80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5000</w:t>
            </w:r>
          </w:p>
        </w:tc>
        <w:tc>
          <w:tcPr>
            <w:tcW w:w="1864" w:type="pct"/>
            <w:vMerge w:val="continue"/>
            <w:vAlign w:val="center"/>
          </w:tcPr>
          <w:p w14:paraId="23258D5E">
            <w:pPr>
              <w:pStyle w:val="60"/>
              <w:rPr>
                <w:rFonts w:hint="default" w:ascii="Times New Roman" w:hAnsi="Times New Roman" w:eastAsia="宋体" w:cs="Times New Roman"/>
                <w:sz w:val="2"/>
                <w:szCs w:val="2"/>
                <w:lang w:eastAsia="en-US"/>
              </w:rPr>
            </w:pPr>
          </w:p>
        </w:tc>
      </w:tr>
      <w:tr w14:paraId="647260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98" w:type="pct"/>
            <w:vAlign w:val="center"/>
          </w:tcPr>
          <w:p w14:paraId="3715D869">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三</w:t>
            </w:r>
          </w:p>
        </w:tc>
        <w:tc>
          <w:tcPr>
            <w:tcW w:w="4602" w:type="pct"/>
            <w:gridSpan w:val="4"/>
            <w:vAlign w:val="center"/>
          </w:tcPr>
          <w:p w14:paraId="4CC330BF">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产品</w:t>
            </w:r>
          </w:p>
        </w:tc>
      </w:tr>
      <w:tr w14:paraId="2B6CBE5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62" w:hRule="atLeast"/>
        </w:trPr>
        <w:tc>
          <w:tcPr>
            <w:tcW w:w="398" w:type="pct"/>
            <w:vAlign w:val="center"/>
          </w:tcPr>
          <w:p w14:paraId="294638C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w:t>
            </w:r>
          </w:p>
        </w:tc>
        <w:tc>
          <w:tcPr>
            <w:tcW w:w="1689" w:type="pct"/>
            <w:vAlign w:val="center"/>
          </w:tcPr>
          <w:p w14:paraId="634E138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翻新金属桶</w:t>
            </w:r>
          </w:p>
        </w:tc>
        <w:tc>
          <w:tcPr>
            <w:tcW w:w="564" w:type="pct"/>
            <w:vAlign w:val="center"/>
          </w:tcPr>
          <w:p w14:paraId="71E9EC9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t/a</w:t>
            </w:r>
          </w:p>
        </w:tc>
        <w:tc>
          <w:tcPr>
            <w:tcW w:w="485" w:type="pct"/>
            <w:vAlign w:val="center"/>
          </w:tcPr>
          <w:p w14:paraId="73B354C1">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15</w:t>
            </w:r>
            <w:r>
              <w:rPr>
                <w:rFonts w:hint="default" w:ascii="Times New Roman" w:hAnsi="Times New Roman" w:eastAsia="宋体" w:cs="Times New Roman"/>
                <w:sz w:val="21"/>
                <w:lang w:eastAsia="zh-CN"/>
              </w:rPr>
              <w:t>00</w:t>
            </w:r>
          </w:p>
        </w:tc>
        <w:tc>
          <w:tcPr>
            <w:tcW w:w="1864" w:type="pct"/>
            <w:vAlign w:val="center"/>
          </w:tcPr>
          <w:p w14:paraId="09BF2D6A">
            <w:pPr>
              <w:pStyle w:val="6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作为</w:t>
            </w:r>
            <w:r>
              <w:rPr>
                <w:rFonts w:hint="default" w:ascii="Times New Roman" w:hAnsi="Times New Roman" w:eastAsia="宋体" w:cs="Times New Roman"/>
                <w:sz w:val="21"/>
                <w:lang w:eastAsia="zh-CN"/>
              </w:rPr>
              <w:t>容器</w:t>
            </w:r>
            <w:r>
              <w:rPr>
                <w:rFonts w:hint="default" w:ascii="Times New Roman" w:hAnsi="Times New Roman" w:eastAsia="宋体" w:cs="Times New Roman"/>
                <w:sz w:val="21"/>
                <w:lang w:val="en-US" w:eastAsia="zh-CN"/>
              </w:rPr>
              <w:t>外售</w:t>
            </w:r>
          </w:p>
        </w:tc>
      </w:tr>
      <w:tr w14:paraId="5146D1A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398" w:type="pct"/>
            <w:vAlign w:val="center"/>
          </w:tcPr>
          <w:p w14:paraId="6D91F8CE">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2</w:t>
            </w:r>
          </w:p>
        </w:tc>
        <w:tc>
          <w:tcPr>
            <w:tcW w:w="1689" w:type="pct"/>
            <w:vAlign w:val="center"/>
          </w:tcPr>
          <w:p w14:paraId="614F3C8C">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翻新塑料桶（IBC吨桶为主）</w:t>
            </w:r>
          </w:p>
        </w:tc>
        <w:tc>
          <w:tcPr>
            <w:tcW w:w="564" w:type="pct"/>
            <w:vAlign w:val="center"/>
          </w:tcPr>
          <w:p w14:paraId="0F6B45B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t/a</w:t>
            </w:r>
          </w:p>
        </w:tc>
        <w:tc>
          <w:tcPr>
            <w:tcW w:w="485" w:type="pct"/>
            <w:vAlign w:val="center"/>
          </w:tcPr>
          <w:p w14:paraId="566EA0EE">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500</w:t>
            </w:r>
          </w:p>
        </w:tc>
        <w:tc>
          <w:tcPr>
            <w:tcW w:w="1864" w:type="pct"/>
            <w:vAlign w:val="center"/>
          </w:tcPr>
          <w:p w14:paraId="35C786BC">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作为</w:t>
            </w:r>
            <w:r>
              <w:rPr>
                <w:rFonts w:hint="default" w:ascii="Times New Roman" w:hAnsi="Times New Roman" w:eastAsia="宋体" w:cs="Times New Roman"/>
                <w:sz w:val="21"/>
                <w:lang w:eastAsia="zh-CN"/>
              </w:rPr>
              <w:t>容器</w:t>
            </w:r>
            <w:r>
              <w:rPr>
                <w:rFonts w:hint="default" w:ascii="Times New Roman" w:hAnsi="Times New Roman" w:eastAsia="宋体" w:cs="Times New Roman"/>
                <w:sz w:val="21"/>
                <w:lang w:val="en-US" w:eastAsia="zh-CN"/>
              </w:rPr>
              <w:t>外售</w:t>
            </w:r>
          </w:p>
        </w:tc>
      </w:tr>
      <w:tr w14:paraId="795DC65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26" w:hRule="atLeast"/>
        </w:trPr>
        <w:tc>
          <w:tcPr>
            <w:tcW w:w="398" w:type="pct"/>
            <w:vAlign w:val="center"/>
          </w:tcPr>
          <w:p w14:paraId="779722A3">
            <w:pPr>
              <w:pStyle w:val="6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3</w:t>
            </w:r>
          </w:p>
        </w:tc>
        <w:tc>
          <w:tcPr>
            <w:tcW w:w="1689" w:type="pct"/>
            <w:vAlign w:val="center"/>
          </w:tcPr>
          <w:p w14:paraId="0E9B1460">
            <w:pPr>
              <w:pStyle w:val="6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铁皮</w:t>
            </w:r>
          </w:p>
        </w:tc>
        <w:tc>
          <w:tcPr>
            <w:tcW w:w="564" w:type="pct"/>
            <w:vAlign w:val="center"/>
          </w:tcPr>
          <w:p w14:paraId="12F56D02">
            <w:pPr>
              <w:pStyle w:val="6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T/a</w:t>
            </w:r>
          </w:p>
        </w:tc>
        <w:tc>
          <w:tcPr>
            <w:tcW w:w="485" w:type="pct"/>
            <w:vAlign w:val="center"/>
          </w:tcPr>
          <w:p w14:paraId="0500899F">
            <w:pPr>
              <w:pStyle w:val="6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500</w:t>
            </w:r>
          </w:p>
        </w:tc>
        <w:tc>
          <w:tcPr>
            <w:tcW w:w="1864" w:type="pct"/>
            <w:vAlign w:val="center"/>
          </w:tcPr>
          <w:p w14:paraId="5297D641">
            <w:pPr>
              <w:pStyle w:val="6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外售给金属再生企业</w:t>
            </w:r>
          </w:p>
        </w:tc>
      </w:tr>
      <w:tr w14:paraId="02098C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98" w:type="pct"/>
            <w:vAlign w:val="center"/>
          </w:tcPr>
          <w:p w14:paraId="50ABE757">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4</w:t>
            </w:r>
          </w:p>
        </w:tc>
        <w:tc>
          <w:tcPr>
            <w:tcW w:w="1689" w:type="pct"/>
            <w:vAlign w:val="center"/>
          </w:tcPr>
          <w:p w14:paraId="1CEC0AA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金属颗粒</w:t>
            </w:r>
          </w:p>
        </w:tc>
        <w:tc>
          <w:tcPr>
            <w:tcW w:w="564" w:type="pct"/>
            <w:vAlign w:val="center"/>
          </w:tcPr>
          <w:p w14:paraId="43634C6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t/a</w:t>
            </w:r>
          </w:p>
        </w:tc>
        <w:tc>
          <w:tcPr>
            <w:tcW w:w="485" w:type="pct"/>
            <w:vAlign w:val="center"/>
          </w:tcPr>
          <w:p w14:paraId="0A0A441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11875</w:t>
            </w:r>
          </w:p>
        </w:tc>
        <w:tc>
          <w:tcPr>
            <w:tcW w:w="1864" w:type="pct"/>
            <w:vAlign w:val="center"/>
          </w:tcPr>
          <w:p w14:paraId="3BE9E13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外售</w:t>
            </w:r>
            <w:r>
              <w:rPr>
                <w:rFonts w:hint="default" w:ascii="Times New Roman" w:hAnsi="Times New Roman" w:eastAsia="宋体" w:cs="Times New Roman"/>
                <w:sz w:val="21"/>
                <w:lang w:val="en-US" w:eastAsia="zh-CN"/>
              </w:rPr>
              <w:t>给金属再生</w:t>
            </w:r>
            <w:r>
              <w:rPr>
                <w:rFonts w:hint="default" w:ascii="Times New Roman" w:hAnsi="Times New Roman" w:eastAsia="宋体" w:cs="Times New Roman"/>
                <w:sz w:val="21"/>
                <w:lang w:eastAsia="en-US"/>
              </w:rPr>
              <w:t>企业</w:t>
            </w:r>
          </w:p>
        </w:tc>
      </w:tr>
      <w:tr w14:paraId="425643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4" w:hRule="atLeast"/>
        </w:trPr>
        <w:tc>
          <w:tcPr>
            <w:tcW w:w="398" w:type="pct"/>
            <w:vAlign w:val="center"/>
          </w:tcPr>
          <w:p w14:paraId="7AD698E2">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5</w:t>
            </w:r>
          </w:p>
        </w:tc>
        <w:tc>
          <w:tcPr>
            <w:tcW w:w="1689" w:type="pct"/>
            <w:vAlign w:val="center"/>
          </w:tcPr>
          <w:p w14:paraId="05F0B8C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塑料碎片</w:t>
            </w:r>
          </w:p>
        </w:tc>
        <w:tc>
          <w:tcPr>
            <w:tcW w:w="564" w:type="pct"/>
            <w:vAlign w:val="center"/>
          </w:tcPr>
          <w:p w14:paraId="7E17693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t/a</w:t>
            </w:r>
          </w:p>
        </w:tc>
        <w:tc>
          <w:tcPr>
            <w:tcW w:w="485" w:type="pct"/>
            <w:vAlign w:val="center"/>
          </w:tcPr>
          <w:p w14:paraId="61845D6C">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4725</w:t>
            </w:r>
          </w:p>
        </w:tc>
        <w:tc>
          <w:tcPr>
            <w:tcW w:w="1864" w:type="pct"/>
            <w:vAlign w:val="center"/>
          </w:tcPr>
          <w:p w14:paraId="50844EE2">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外售再生企业，不得作为食品、饮用水等容器的制作原料使用</w:t>
            </w:r>
          </w:p>
        </w:tc>
      </w:tr>
      <w:tr w14:paraId="7C9C08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8" w:type="pct"/>
            <w:vAlign w:val="center"/>
          </w:tcPr>
          <w:p w14:paraId="0D350903">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四</w:t>
            </w:r>
          </w:p>
        </w:tc>
        <w:tc>
          <w:tcPr>
            <w:tcW w:w="4602" w:type="pct"/>
            <w:gridSpan w:val="4"/>
            <w:vAlign w:val="center"/>
          </w:tcPr>
          <w:p w14:paraId="401098E7">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用地指标</w:t>
            </w:r>
          </w:p>
        </w:tc>
      </w:tr>
      <w:tr w14:paraId="71ADB52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8" w:type="pct"/>
            <w:vAlign w:val="center"/>
          </w:tcPr>
          <w:p w14:paraId="6FE834F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w:t>
            </w:r>
          </w:p>
        </w:tc>
        <w:tc>
          <w:tcPr>
            <w:tcW w:w="1689" w:type="pct"/>
            <w:vAlign w:val="center"/>
          </w:tcPr>
          <w:p w14:paraId="1C6B3FF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用地面积</w:t>
            </w:r>
          </w:p>
        </w:tc>
        <w:tc>
          <w:tcPr>
            <w:tcW w:w="564" w:type="pct"/>
            <w:vAlign w:val="center"/>
          </w:tcPr>
          <w:p w14:paraId="2F97AC41">
            <w:pPr>
              <w:pStyle w:val="60"/>
              <w:rPr>
                <w:rFonts w:hint="default" w:ascii="Times New Roman" w:hAnsi="Times New Roman" w:eastAsia="宋体" w:cs="Times New Roman"/>
                <w:sz w:val="14"/>
                <w:lang w:eastAsia="en-US"/>
              </w:rPr>
            </w:pPr>
            <w:r>
              <w:rPr>
                <w:rFonts w:hint="default" w:ascii="Times New Roman" w:hAnsi="Times New Roman" w:eastAsia="宋体" w:cs="Times New Roman"/>
                <w:sz w:val="21"/>
                <w:lang w:eastAsia="zh-CN"/>
              </w:rPr>
              <w:t>m</w:t>
            </w:r>
            <w:r>
              <w:rPr>
                <w:rFonts w:hint="default" w:ascii="Times New Roman" w:hAnsi="Times New Roman" w:eastAsia="宋体" w:cs="Times New Roman"/>
                <w:sz w:val="21"/>
                <w:vertAlign w:val="superscript"/>
                <w:lang w:eastAsia="en-US"/>
              </w:rPr>
              <w:t>2</w:t>
            </w:r>
          </w:p>
        </w:tc>
        <w:tc>
          <w:tcPr>
            <w:tcW w:w="485" w:type="pct"/>
            <w:vAlign w:val="center"/>
          </w:tcPr>
          <w:p w14:paraId="295FEAFE">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20000</w:t>
            </w:r>
          </w:p>
        </w:tc>
        <w:tc>
          <w:tcPr>
            <w:tcW w:w="1864" w:type="pct"/>
            <w:vAlign w:val="center"/>
          </w:tcPr>
          <w:p w14:paraId="414A8E0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6EADAC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98" w:type="pct"/>
            <w:vAlign w:val="center"/>
          </w:tcPr>
          <w:p w14:paraId="27C35B5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2</w:t>
            </w:r>
          </w:p>
        </w:tc>
        <w:tc>
          <w:tcPr>
            <w:tcW w:w="1689" w:type="pct"/>
            <w:vAlign w:val="center"/>
          </w:tcPr>
          <w:p w14:paraId="5247B76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总</w:t>
            </w:r>
            <w:r>
              <w:rPr>
                <w:rFonts w:hint="default" w:ascii="Times New Roman" w:hAnsi="Times New Roman" w:eastAsia="宋体" w:cs="Times New Roman"/>
                <w:sz w:val="21"/>
                <w:lang w:eastAsia="en-US"/>
              </w:rPr>
              <w:t>建筑面积</w:t>
            </w:r>
          </w:p>
        </w:tc>
        <w:tc>
          <w:tcPr>
            <w:tcW w:w="564" w:type="pct"/>
            <w:vAlign w:val="center"/>
          </w:tcPr>
          <w:p w14:paraId="2A0A020B">
            <w:pPr>
              <w:pStyle w:val="60"/>
              <w:rPr>
                <w:rFonts w:hint="default" w:ascii="Times New Roman" w:hAnsi="Times New Roman" w:eastAsia="宋体" w:cs="Times New Roman"/>
                <w:sz w:val="14"/>
                <w:lang w:eastAsia="en-US"/>
              </w:rPr>
            </w:pPr>
            <w:r>
              <w:rPr>
                <w:rFonts w:hint="default" w:ascii="Times New Roman" w:hAnsi="Times New Roman" w:eastAsia="宋体" w:cs="Times New Roman"/>
                <w:sz w:val="21"/>
                <w:lang w:eastAsia="zh-CN"/>
              </w:rPr>
              <w:t>m</w:t>
            </w:r>
            <w:r>
              <w:rPr>
                <w:rFonts w:hint="default" w:ascii="Times New Roman" w:hAnsi="Times New Roman" w:eastAsia="宋体" w:cs="Times New Roman"/>
                <w:sz w:val="21"/>
                <w:vertAlign w:val="superscript"/>
                <w:lang w:eastAsia="en-US"/>
              </w:rPr>
              <w:t>2</w:t>
            </w:r>
          </w:p>
        </w:tc>
        <w:tc>
          <w:tcPr>
            <w:tcW w:w="485" w:type="pct"/>
            <w:vAlign w:val="center"/>
          </w:tcPr>
          <w:p w14:paraId="4F7015B0">
            <w:pPr>
              <w:pStyle w:val="60"/>
              <w:rPr>
                <w:rFonts w:hint="eastAsia" w:ascii="Times New Roman" w:hAnsi="Times New Roman" w:eastAsia="宋体" w:cs="Times New Roman"/>
                <w:sz w:val="21"/>
                <w:lang w:val="en-US" w:eastAsia="zh-CN"/>
              </w:rPr>
            </w:pPr>
            <w:r>
              <w:rPr>
                <w:rFonts w:hint="eastAsia" w:ascii="Times New Roman" w:hAnsi="Times New Roman" w:cs="Times New Roman"/>
                <w:sz w:val="21"/>
                <w:lang w:eastAsia="zh-CN"/>
              </w:rPr>
              <w:t>13741.81</w:t>
            </w:r>
          </w:p>
        </w:tc>
        <w:tc>
          <w:tcPr>
            <w:tcW w:w="1864" w:type="pct"/>
            <w:vAlign w:val="center"/>
          </w:tcPr>
          <w:p w14:paraId="62E85C1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1E060E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98" w:type="pct"/>
            <w:vAlign w:val="center"/>
          </w:tcPr>
          <w:p w14:paraId="117FDA31">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zh-CN"/>
              </w:rPr>
              <w:t>五</w:t>
            </w:r>
          </w:p>
        </w:tc>
        <w:tc>
          <w:tcPr>
            <w:tcW w:w="1689" w:type="pct"/>
            <w:vAlign w:val="center"/>
          </w:tcPr>
          <w:p w14:paraId="16DDED3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年生产时间</w:t>
            </w:r>
          </w:p>
        </w:tc>
        <w:tc>
          <w:tcPr>
            <w:tcW w:w="564" w:type="pct"/>
            <w:vAlign w:val="center"/>
          </w:tcPr>
          <w:p w14:paraId="34CE5F1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天</w:t>
            </w:r>
          </w:p>
        </w:tc>
        <w:tc>
          <w:tcPr>
            <w:tcW w:w="485" w:type="pct"/>
            <w:vAlign w:val="center"/>
          </w:tcPr>
          <w:p w14:paraId="441F8EA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330</w:t>
            </w:r>
          </w:p>
        </w:tc>
        <w:tc>
          <w:tcPr>
            <w:tcW w:w="1864" w:type="pct"/>
            <w:vAlign w:val="center"/>
          </w:tcPr>
          <w:p w14:paraId="31B1DC8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每天</w:t>
            </w:r>
            <w:r>
              <w:rPr>
                <w:rFonts w:hint="default" w:ascii="Times New Roman" w:hAnsi="Times New Roman" w:eastAsia="宋体" w:cs="Times New Roman"/>
                <w:sz w:val="21"/>
                <w:lang w:val="en-US" w:eastAsia="zh-CN"/>
              </w:rPr>
              <w:t>2</w:t>
            </w:r>
            <w:r>
              <w:rPr>
                <w:rFonts w:hint="default" w:ascii="Times New Roman" w:hAnsi="Times New Roman" w:eastAsia="宋体" w:cs="Times New Roman"/>
                <w:sz w:val="21"/>
                <w:lang w:eastAsia="en-US"/>
              </w:rPr>
              <w:t>班、每班8小时</w:t>
            </w:r>
          </w:p>
        </w:tc>
      </w:tr>
      <w:tr w14:paraId="3E1C02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8" w:type="pct"/>
            <w:vAlign w:val="center"/>
          </w:tcPr>
          <w:p w14:paraId="18317BD4">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zh-CN"/>
              </w:rPr>
              <w:t>六</w:t>
            </w:r>
          </w:p>
        </w:tc>
        <w:tc>
          <w:tcPr>
            <w:tcW w:w="1689" w:type="pct"/>
            <w:vAlign w:val="center"/>
          </w:tcPr>
          <w:p w14:paraId="693FBA5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总定员</w:t>
            </w:r>
          </w:p>
        </w:tc>
        <w:tc>
          <w:tcPr>
            <w:tcW w:w="564" w:type="pct"/>
            <w:vAlign w:val="center"/>
          </w:tcPr>
          <w:p w14:paraId="527FACF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人</w:t>
            </w:r>
          </w:p>
        </w:tc>
        <w:tc>
          <w:tcPr>
            <w:tcW w:w="485" w:type="pct"/>
            <w:vAlign w:val="center"/>
          </w:tcPr>
          <w:p w14:paraId="0D82021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50</w:t>
            </w:r>
          </w:p>
        </w:tc>
        <w:tc>
          <w:tcPr>
            <w:tcW w:w="1864" w:type="pct"/>
            <w:vAlign w:val="center"/>
          </w:tcPr>
          <w:p w14:paraId="7CE1FAB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不在厂区住宿</w:t>
            </w:r>
          </w:p>
        </w:tc>
      </w:tr>
      <w:tr w14:paraId="3A46DD0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98" w:type="pct"/>
            <w:vAlign w:val="center"/>
          </w:tcPr>
          <w:p w14:paraId="41F84CAC">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zh-CN"/>
              </w:rPr>
              <w:t>七</w:t>
            </w:r>
          </w:p>
        </w:tc>
        <w:tc>
          <w:tcPr>
            <w:tcW w:w="1689" w:type="pct"/>
            <w:vAlign w:val="center"/>
          </w:tcPr>
          <w:p w14:paraId="211CCAC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总投资</w:t>
            </w:r>
          </w:p>
        </w:tc>
        <w:tc>
          <w:tcPr>
            <w:tcW w:w="564" w:type="pct"/>
            <w:vAlign w:val="center"/>
          </w:tcPr>
          <w:p w14:paraId="2967C80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万元</w:t>
            </w:r>
          </w:p>
        </w:tc>
        <w:tc>
          <w:tcPr>
            <w:tcW w:w="485" w:type="pct"/>
            <w:vAlign w:val="center"/>
          </w:tcPr>
          <w:p w14:paraId="30892EA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9800</w:t>
            </w:r>
          </w:p>
        </w:tc>
        <w:tc>
          <w:tcPr>
            <w:tcW w:w="1864" w:type="pct"/>
            <w:vAlign w:val="center"/>
          </w:tcPr>
          <w:p w14:paraId="7B47968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bl>
    <w:p w14:paraId="29BFEB90">
      <w:pPr>
        <w:pStyle w:val="3"/>
        <w:spacing w:before="0" w:after="0" w:line="360" w:lineRule="auto"/>
        <w:jc w:val="left"/>
        <w:rPr>
          <w:rFonts w:hint="default" w:ascii="Times New Roman" w:hAnsi="Times New Roman" w:eastAsia="宋体" w:cs="Times New Roman"/>
        </w:rPr>
      </w:pPr>
      <w:bookmarkStart w:id="261" w:name="_Toc3939"/>
      <w:r>
        <w:rPr>
          <w:rFonts w:hint="default" w:ascii="Times New Roman" w:hAnsi="Times New Roman" w:eastAsia="宋体" w:cs="Times New Roman"/>
          <w:kern w:val="0"/>
          <w:sz w:val="30"/>
          <w:szCs w:val="28"/>
        </w:rPr>
        <w:t>4.3</w:t>
      </w:r>
      <w:r>
        <w:rPr>
          <w:rFonts w:hint="default" w:ascii="Times New Roman" w:hAnsi="Times New Roman" w:eastAsia="宋体" w:cs="Times New Roman"/>
          <w:kern w:val="0"/>
        </w:rPr>
        <w:t>扩建后</w:t>
      </w:r>
      <w:r>
        <w:rPr>
          <w:rFonts w:hint="default" w:ascii="Times New Roman" w:hAnsi="Times New Roman" w:eastAsia="宋体" w:cs="Times New Roman"/>
        </w:rPr>
        <w:t>项目综合利用方案及产品方案</w:t>
      </w:r>
      <w:bookmarkEnd w:id="261"/>
    </w:p>
    <w:p w14:paraId="1504DA3D">
      <w:pPr>
        <w:pStyle w:val="4"/>
        <w:spacing w:before="0" w:after="0" w:line="360" w:lineRule="auto"/>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4.3.1危险废物收集、贮存方案</w:t>
      </w:r>
    </w:p>
    <w:p w14:paraId="0E21BEB7">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sz w:val="24"/>
          <w:szCs w:val="28"/>
          <w:u w:val="single"/>
        </w:rPr>
        <w:t>本项目搬迁部分系将现有的“年收集贮存9800吨危险废物项目”整体搬迁至本次新建的危险废物暂存库内，并将收集贮存能力提升至</w:t>
      </w:r>
      <w:r>
        <w:rPr>
          <w:rFonts w:hint="default" w:ascii="Times New Roman" w:hAnsi="Times New Roman" w:eastAsia="宋体" w:cs="Times New Roman"/>
          <w:sz w:val="24"/>
          <w:szCs w:val="28"/>
          <w:u w:val="single"/>
          <w:lang w:eastAsia="zh-CN"/>
        </w:rPr>
        <w:t>14400</w:t>
      </w:r>
      <w:r>
        <w:rPr>
          <w:rFonts w:hint="default" w:ascii="Times New Roman" w:hAnsi="Times New Roman" w:eastAsia="宋体" w:cs="Times New Roman"/>
          <w:sz w:val="24"/>
          <w:szCs w:val="28"/>
          <w:u w:val="single"/>
        </w:rPr>
        <w:t>t/a，</w:t>
      </w:r>
      <w:r>
        <w:rPr>
          <w:rFonts w:hint="default" w:ascii="Times New Roman" w:hAnsi="Times New Roman" w:eastAsia="宋体" w:cs="Times New Roman"/>
          <w:color w:val="000000"/>
          <w:sz w:val="24"/>
          <w:szCs w:val="24"/>
          <w:u w:val="single"/>
        </w:rPr>
        <w:t>根据《国家危险废物名录》（2021年版），项目搬迁后，危险废物收集类别由现有的12个大类、42个小类，增加为1</w:t>
      </w:r>
      <w:r>
        <w:rPr>
          <w:rFonts w:hint="default" w:ascii="Times New Roman" w:hAnsi="Times New Roman" w:eastAsia="宋体" w:cs="Times New Roman"/>
          <w:color w:val="000000"/>
          <w:sz w:val="24"/>
          <w:szCs w:val="24"/>
          <w:u w:val="single"/>
          <w:lang w:val="en-US" w:eastAsia="zh-CN"/>
        </w:rPr>
        <w:t>9</w:t>
      </w:r>
      <w:r>
        <w:rPr>
          <w:rFonts w:hint="default" w:ascii="Times New Roman" w:hAnsi="Times New Roman" w:eastAsia="宋体" w:cs="Times New Roman"/>
          <w:color w:val="000000"/>
          <w:sz w:val="24"/>
          <w:szCs w:val="24"/>
          <w:u w:val="single"/>
        </w:rPr>
        <w:t>个大类、</w:t>
      </w:r>
      <w:r>
        <w:rPr>
          <w:rFonts w:hint="eastAsia" w:ascii="Times New Roman" w:hAnsi="Times New Roman" w:cs="Times New Roman"/>
          <w:color w:val="000000"/>
          <w:sz w:val="24"/>
          <w:szCs w:val="24"/>
          <w:u w:val="single"/>
          <w:lang w:val="en-US" w:eastAsia="zh-CN"/>
        </w:rPr>
        <w:t>96</w:t>
      </w:r>
      <w:r>
        <w:rPr>
          <w:rFonts w:hint="default" w:ascii="Times New Roman" w:hAnsi="Times New Roman" w:eastAsia="宋体" w:cs="Times New Roman"/>
          <w:color w:val="000000"/>
          <w:sz w:val="24"/>
          <w:szCs w:val="24"/>
          <w:u w:val="single"/>
        </w:rPr>
        <w:t>个小类，项目搬迁后收集、贮存的危险废具体物种类和特性详见表4.3-</w:t>
      </w:r>
      <w:r>
        <w:rPr>
          <w:rFonts w:hint="default" w:ascii="Times New Roman" w:hAnsi="Times New Roman" w:eastAsia="宋体" w:cs="Times New Roman"/>
          <w:color w:val="000000"/>
          <w:sz w:val="24"/>
          <w:szCs w:val="24"/>
          <w:u w:val="single"/>
          <w:lang w:val="en-US" w:eastAsia="zh-CN"/>
        </w:rPr>
        <w:t>1</w:t>
      </w:r>
      <w:r>
        <w:rPr>
          <w:rFonts w:hint="default" w:ascii="Times New Roman" w:hAnsi="Times New Roman" w:eastAsia="宋体" w:cs="Times New Roman"/>
          <w:color w:val="000000"/>
          <w:sz w:val="24"/>
          <w:szCs w:val="24"/>
          <w:u w:val="single"/>
        </w:rPr>
        <w:t>。</w:t>
      </w:r>
    </w:p>
    <w:p w14:paraId="1700AA75">
      <w:pPr>
        <w:spacing w:line="360" w:lineRule="auto"/>
        <w:jc w:val="center"/>
        <w:rPr>
          <w:rFonts w:hint="default" w:ascii="Times New Roman" w:hAnsi="Times New Roman" w:eastAsia="宋体" w:cs="Times New Roman"/>
          <w:b/>
          <w:bCs/>
          <w:color w:val="000000"/>
          <w:szCs w:val="21"/>
          <w:u w:val="single"/>
        </w:rPr>
      </w:pPr>
      <w:r>
        <w:rPr>
          <w:rFonts w:hint="default" w:ascii="Times New Roman" w:hAnsi="Times New Roman" w:eastAsia="宋体" w:cs="Times New Roman"/>
          <w:b/>
          <w:bCs/>
          <w:color w:val="000000"/>
          <w:szCs w:val="21"/>
          <w:u w:val="single"/>
        </w:rPr>
        <w:t>表4.3-</w:t>
      </w:r>
      <w:r>
        <w:rPr>
          <w:rFonts w:hint="default" w:ascii="Times New Roman" w:hAnsi="Times New Roman" w:eastAsia="宋体" w:cs="Times New Roman"/>
          <w:b/>
          <w:bCs/>
          <w:color w:val="000000"/>
          <w:szCs w:val="21"/>
          <w:u w:val="single"/>
          <w:lang w:val="en-US" w:eastAsia="zh-CN"/>
        </w:rPr>
        <w:t>1</w:t>
      </w:r>
      <w:r>
        <w:rPr>
          <w:rFonts w:hint="default" w:ascii="Times New Roman" w:hAnsi="Times New Roman" w:eastAsia="宋体" w:cs="Times New Roman"/>
          <w:b/>
          <w:bCs/>
          <w:color w:val="000000"/>
          <w:szCs w:val="21"/>
          <w:u w:val="single"/>
        </w:rPr>
        <w:t xml:space="preserve">  项目搬迁后收集、贮存的危险废物种类和特性</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92"/>
        <w:gridCol w:w="1279"/>
        <w:gridCol w:w="4160"/>
        <w:gridCol w:w="1103"/>
        <w:gridCol w:w="1088"/>
      </w:tblGrid>
      <w:tr w14:paraId="7A7045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Align w:val="center"/>
          </w:tcPr>
          <w:p w14:paraId="10EEBBF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single"/>
              </w:rPr>
            </w:pPr>
            <w:r>
              <w:rPr>
                <w:rFonts w:hint="default" w:ascii="Times New Roman" w:hAnsi="Times New Roman" w:eastAsia="宋体" w:cs="Times New Roman"/>
                <w:b/>
                <w:bCs/>
                <w:color w:val="auto"/>
                <w:kern w:val="0"/>
                <w:sz w:val="21"/>
                <w:szCs w:val="21"/>
                <w:highlight w:val="none"/>
                <w:u w:val="single"/>
              </w:rPr>
              <w:t>类别</w:t>
            </w:r>
          </w:p>
        </w:tc>
        <w:tc>
          <w:tcPr>
            <w:tcW w:w="750" w:type="pct"/>
            <w:vAlign w:val="center"/>
          </w:tcPr>
          <w:p w14:paraId="1DAE7D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single"/>
              </w:rPr>
            </w:pPr>
            <w:r>
              <w:rPr>
                <w:rFonts w:hint="default" w:ascii="Times New Roman" w:hAnsi="Times New Roman" w:eastAsia="宋体" w:cs="Times New Roman"/>
                <w:b/>
                <w:bCs/>
                <w:color w:val="auto"/>
                <w:kern w:val="0"/>
                <w:sz w:val="21"/>
                <w:szCs w:val="21"/>
                <w:highlight w:val="none"/>
                <w:u w:val="single"/>
              </w:rPr>
              <w:t>废物</w:t>
            </w:r>
          </w:p>
          <w:p w14:paraId="708100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single"/>
              </w:rPr>
            </w:pPr>
            <w:r>
              <w:rPr>
                <w:rFonts w:hint="default" w:ascii="Times New Roman" w:hAnsi="Times New Roman" w:eastAsia="宋体" w:cs="Times New Roman"/>
                <w:b/>
                <w:bCs/>
                <w:color w:val="auto"/>
                <w:kern w:val="0"/>
                <w:sz w:val="21"/>
                <w:szCs w:val="21"/>
                <w:highlight w:val="none"/>
                <w:u w:val="single"/>
              </w:rPr>
              <w:t>代码</w:t>
            </w:r>
          </w:p>
        </w:tc>
        <w:tc>
          <w:tcPr>
            <w:tcW w:w="2440" w:type="pct"/>
            <w:vAlign w:val="center"/>
          </w:tcPr>
          <w:p w14:paraId="43C49E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single"/>
              </w:rPr>
            </w:pPr>
            <w:r>
              <w:rPr>
                <w:rFonts w:hint="default" w:ascii="Times New Roman" w:hAnsi="Times New Roman" w:eastAsia="宋体" w:cs="Times New Roman"/>
                <w:b/>
                <w:bCs/>
                <w:color w:val="auto"/>
                <w:kern w:val="0"/>
                <w:sz w:val="21"/>
                <w:szCs w:val="21"/>
                <w:highlight w:val="none"/>
                <w:u w:val="single"/>
              </w:rPr>
              <w:t>危险废物</w:t>
            </w:r>
          </w:p>
        </w:tc>
        <w:tc>
          <w:tcPr>
            <w:tcW w:w="647" w:type="pct"/>
            <w:vAlign w:val="center"/>
          </w:tcPr>
          <w:p w14:paraId="492DBC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single"/>
              </w:rPr>
            </w:pPr>
            <w:r>
              <w:rPr>
                <w:rFonts w:hint="default" w:ascii="Times New Roman" w:hAnsi="Times New Roman" w:eastAsia="宋体" w:cs="Times New Roman"/>
                <w:b/>
                <w:bCs/>
                <w:color w:val="auto"/>
                <w:kern w:val="0"/>
                <w:sz w:val="21"/>
                <w:szCs w:val="21"/>
                <w:highlight w:val="none"/>
                <w:u w:val="single"/>
              </w:rPr>
              <w:t>危险</w:t>
            </w:r>
          </w:p>
          <w:p w14:paraId="29991A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single"/>
              </w:rPr>
            </w:pPr>
            <w:r>
              <w:rPr>
                <w:rFonts w:hint="default" w:ascii="Times New Roman" w:hAnsi="Times New Roman" w:eastAsia="宋体" w:cs="Times New Roman"/>
                <w:b/>
                <w:bCs/>
                <w:color w:val="auto"/>
                <w:kern w:val="0"/>
                <w:sz w:val="21"/>
                <w:szCs w:val="21"/>
                <w:highlight w:val="none"/>
                <w:u w:val="single"/>
              </w:rPr>
              <w:t>特性</w:t>
            </w:r>
          </w:p>
        </w:tc>
        <w:tc>
          <w:tcPr>
            <w:tcW w:w="638" w:type="pct"/>
            <w:vAlign w:val="center"/>
          </w:tcPr>
          <w:p w14:paraId="7F518A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kern w:val="0"/>
                <w:sz w:val="21"/>
                <w:szCs w:val="21"/>
                <w:highlight w:val="none"/>
                <w:u w:val="single"/>
              </w:rPr>
            </w:pPr>
            <w:r>
              <w:rPr>
                <w:rFonts w:hint="default" w:ascii="Times New Roman" w:hAnsi="Times New Roman" w:eastAsia="宋体" w:cs="Times New Roman"/>
                <w:b/>
                <w:bCs/>
                <w:color w:val="auto"/>
                <w:kern w:val="0"/>
                <w:sz w:val="21"/>
                <w:szCs w:val="21"/>
                <w:highlight w:val="none"/>
                <w:u w:val="single"/>
              </w:rPr>
              <w:t>备注</w:t>
            </w:r>
          </w:p>
        </w:tc>
      </w:tr>
      <w:tr w14:paraId="38E510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restart"/>
            <w:vAlign w:val="center"/>
          </w:tcPr>
          <w:p w14:paraId="150594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lang w:val="en-US"/>
              </w:rPr>
              <w:t>HW02</w:t>
            </w:r>
            <w:r>
              <w:rPr>
                <w:rFonts w:hint="default" w:ascii="Times New Roman" w:hAnsi="Times New Roman" w:eastAsia="宋体" w:cs="Times New Roman"/>
                <w:b w:val="0"/>
                <w:bCs w:val="0"/>
                <w:color w:val="auto"/>
                <w:sz w:val="21"/>
                <w:szCs w:val="21"/>
                <w:highlight w:val="none"/>
                <w:u w:val="single"/>
              </w:rPr>
              <w:t>医药废物</w:t>
            </w:r>
          </w:p>
        </w:tc>
        <w:tc>
          <w:tcPr>
            <w:tcW w:w="750" w:type="pct"/>
            <w:vAlign w:val="center"/>
          </w:tcPr>
          <w:p w14:paraId="7F2514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271-001-02</w:t>
            </w:r>
          </w:p>
        </w:tc>
        <w:tc>
          <w:tcPr>
            <w:tcW w:w="2440" w:type="pct"/>
            <w:vAlign w:val="center"/>
          </w:tcPr>
          <w:p w14:paraId="52BAC0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化学药品制剂生产过程中原料药提纯精制、再加工产生的蒸馏及反应残余物</w:t>
            </w:r>
          </w:p>
        </w:tc>
        <w:tc>
          <w:tcPr>
            <w:tcW w:w="647" w:type="pct"/>
            <w:vAlign w:val="center"/>
          </w:tcPr>
          <w:p w14:paraId="48A66C3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T</w:t>
            </w:r>
          </w:p>
        </w:tc>
        <w:tc>
          <w:tcPr>
            <w:tcW w:w="638" w:type="pct"/>
            <w:vAlign w:val="center"/>
          </w:tcPr>
          <w:p w14:paraId="10FD47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0ECA9B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388E41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u w:val="single"/>
                <w:lang w:val="en-US"/>
              </w:rPr>
            </w:pPr>
          </w:p>
        </w:tc>
        <w:tc>
          <w:tcPr>
            <w:tcW w:w="750" w:type="pct"/>
            <w:vAlign w:val="center"/>
          </w:tcPr>
          <w:p w14:paraId="73CAF1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271-004-02</w:t>
            </w:r>
          </w:p>
        </w:tc>
        <w:tc>
          <w:tcPr>
            <w:tcW w:w="2440" w:type="pct"/>
            <w:vAlign w:val="center"/>
          </w:tcPr>
          <w:p w14:paraId="3668D9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 xml:space="preserve">化学合成原料药生产过程中产生的废吸附剂 </w:t>
            </w:r>
          </w:p>
        </w:tc>
        <w:tc>
          <w:tcPr>
            <w:tcW w:w="647" w:type="pct"/>
            <w:vAlign w:val="center"/>
          </w:tcPr>
          <w:p w14:paraId="2A5C9A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T</w:t>
            </w:r>
          </w:p>
        </w:tc>
        <w:tc>
          <w:tcPr>
            <w:tcW w:w="638" w:type="pct"/>
            <w:vAlign w:val="center"/>
          </w:tcPr>
          <w:p w14:paraId="02673C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63C8EA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592DE6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u w:val="single"/>
                <w:lang w:val="en-US"/>
              </w:rPr>
            </w:pPr>
          </w:p>
        </w:tc>
        <w:tc>
          <w:tcPr>
            <w:tcW w:w="750" w:type="pct"/>
            <w:vAlign w:val="center"/>
          </w:tcPr>
          <w:p w14:paraId="37905F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271-005-02</w:t>
            </w:r>
          </w:p>
        </w:tc>
        <w:tc>
          <w:tcPr>
            <w:tcW w:w="2440" w:type="pct"/>
            <w:vAlign w:val="center"/>
          </w:tcPr>
          <w:p w14:paraId="619467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化学合成原料药生产过程中的废弃产品及中间体</w:t>
            </w:r>
          </w:p>
        </w:tc>
        <w:tc>
          <w:tcPr>
            <w:tcW w:w="647" w:type="pct"/>
            <w:vAlign w:val="center"/>
          </w:tcPr>
          <w:p w14:paraId="4503AC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T</w:t>
            </w:r>
          </w:p>
        </w:tc>
        <w:tc>
          <w:tcPr>
            <w:tcW w:w="638" w:type="pct"/>
            <w:vAlign w:val="center"/>
          </w:tcPr>
          <w:p w14:paraId="177E3E0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20268A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76E712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u w:val="single"/>
                <w:lang w:val="en-US"/>
              </w:rPr>
            </w:pPr>
          </w:p>
        </w:tc>
        <w:tc>
          <w:tcPr>
            <w:tcW w:w="750" w:type="pct"/>
            <w:vAlign w:val="center"/>
          </w:tcPr>
          <w:p w14:paraId="7AFD69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272-003-02</w:t>
            </w:r>
          </w:p>
        </w:tc>
        <w:tc>
          <w:tcPr>
            <w:tcW w:w="2440" w:type="pct"/>
            <w:vAlign w:val="center"/>
          </w:tcPr>
          <w:p w14:paraId="73B6C5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化学药品制剂生产过程中产生的废脱色过滤介质及吸附剂</w:t>
            </w:r>
          </w:p>
        </w:tc>
        <w:tc>
          <w:tcPr>
            <w:tcW w:w="647" w:type="pct"/>
            <w:vAlign w:val="center"/>
          </w:tcPr>
          <w:p w14:paraId="520C202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T</w:t>
            </w:r>
          </w:p>
        </w:tc>
        <w:tc>
          <w:tcPr>
            <w:tcW w:w="638" w:type="pct"/>
            <w:vAlign w:val="center"/>
          </w:tcPr>
          <w:p w14:paraId="16DD9B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54089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6A74DB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u w:val="single"/>
                <w:lang w:val="en-US"/>
              </w:rPr>
            </w:pPr>
          </w:p>
        </w:tc>
        <w:tc>
          <w:tcPr>
            <w:tcW w:w="750" w:type="pct"/>
            <w:vAlign w:val="center"/>
          </w:tcPr>
          <w:p w14:paraId="5D7BF65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272-005-02</w:t>
            </w:r>
          </w:p>
        </w:tc>
        <w:tc>
          <w:tcPr>
            <w:tcW w:w="2440" w:type="pct"/>
            <w:vAlign w:val="center"/>
          </w:tcPr>
          <w:p w14:paraId="662EFB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化学药品制剂生产过程中产生的废弃产品及原料药</w:t>
            </w:r>
          </w:p>
        </w:tc>
        <w:tc>
          <w:tcPr>
            <w:tcW w:w="647" w:type="pct"/>
            <w:vAlign w:val="center"/>
          </w:tcPr>
          <w:p w14:paraId="031341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T</w:t>
            </w:r>
          </w:p>
        </w:tc>
        <w:tc>
          <w:tcPr>
            <w:tcW w:w="638" w:type="pct"/>
            <w:vAlign w:val="center"/>
          </w:tcPr>
          <w:p w14:paraId="150313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7C026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3269A8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sz w:val="21"/>
                <w:szCs w:val="21"/>
                <w:highlight w:val="none"/>
                <w:u w:val="single"/>
                <w:lang w:val="en-US"/>
              </w:rPr>
            </w:pPr>
          </w:p>
        </w:tc>
        <w:tc>
          <w:tcPr>
            <w:tcW w:w="750" w:type="pct"/>
            <w:vAlign w:val="center"/>
          </w:tcPr>
          <w:p w14:paraId="02F1DC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276-003-02</w:t>
            </w:r>
          </w:p>
        </w:tc>
        <w:tc>
          <w:tcPr>
            <w:tcW w:w="2440" w:type="pct"/>
            <w:vAlign w:val="center"/>
          </w:tcPr>
          <w:p w14:paraId="7F1FB5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利用生物技术生产生物化学药品、基因工程</w:t>
            </w:r>
          </w:p>
          <w:p w14:paraId="7B7E49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药物（不包括利用生物技术合成氨基酸、维</w:t>
            </w:r>
          </w:p>
          <w:p w14:paraId="6FCCEA6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生素、他汀类降脂药物、降糖类药物）过程</w:t>
            </w:r>
          </w:p>
          <w:p w14:paraId="48CE68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中产生的废脱色过滤介质</w:t>
            </w:r>
          </w:p>
        </w:tc>
        <w:tc>
          <w:tcPr>
            <w:tcW w:w="647" w:type="pct"/>
            <w:vAlign w:val="center"/>
          </w:tcPr>
          <w:p w14:paraId="0D3766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T</w:t>
            </w:r>
          </w:p>
        </w:tc>
        <w:tc>
          <w:tcPr>
            <w:tcW w:w="638" w:type="pct"/>
            <w:vAlign w:val="center"/>
          </w:tcPr>
          <w:p w14:paraId="43B065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45CA82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Align w:val="center"/>
          </w:tcPr>
          <w:p w14:paraId="4316EDA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Style w:val="95"/>
                <w:rFonts w:hint="default" w:ascii="Times New Roman" w:hAnsi="Times New Roman" w:eastAsia="宋体" w:cs="Times New Roman"/>
                <w:b w:val="0"/>
                <w:bCs w:val="0"/>
                <w:color w:val="auto"/>
                <w:kern w:val="0"/>
                <w:sz w:val="21"/>
                <w:szCs w:val="21"/>
                <w:highlight w:val="none"/>
                <w:u w:val="single"/>
                <w:vertAlign w:val="baseline"/>
                <w:lang w:bidi="ar"/>
              </w:rPr>
              <w:t>HW03废药物、药品</w:t>
            </w:r>
          </w:p>
        </w:tc>
        <w:tc>
          <w:tcPr>
            <w:tcW w:w="750" w:type="pct"/>
            <w:vAlign w:val="center"/>
          </w:tcPr>
          <w:p w14:paraId="017E2C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900-002-03</w:t>
            </w:r>
          </w:p>
        </w:tc>
        <w:tc>
          <w:tcPr>
            <w:tcW w:w="2440" w:type="pct"/>
            <w:vAlign w:val="center"/>
          </w:tcPr>
          <w:p w14:paraId="0CB3EC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销售及使用过程中产生的失效、变质、不合格、淘汰、伪劣的化学药品和生物制品（不包括列入《国家基本药物目录》中的维生素、矿物质类药，调节水、电解质及酸碱平衡药），以及《医疗用毒性药品管理办法》中所列的毒性中药</w:t>
            </w:r>
          </w:p>
        </w:tc>
        <w:tc>
          <w:tcPr>
            <w:tcW w:w="647" w:type="pct"/>
            <w:vAlign w:val="center"/>
          </w:tcPr>
          <w:p w14:paraId="5CCCD4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3461DE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180D32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56" w:hRule="atLeast"/>
          <w:jc w:val="center"/>
        </w:trPr>
        <w:tc>
          <w:tcPr>
            <w:tcW w:w="523" w:type="pct"/>
            <w:vMerge w:val="restart"/>
            <w:vAlign w:val="center"/>
          </w:tcPr>
          <w:p w14:paraId="0F8867C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HW06废有机溶剂与含有机溶剂废物</w:t>
            </w:r>
          </w:p>
        </w:tc>
        <w:tc>
          <w:tcPr>
            <w:tcW w:w="750" w:type="pct"/>
            <w:vAlign w:val="center"/>
          </w:tcPr>
          <w:p w14:paraId="2690498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900-402-06</w:t>
            </w:r>
          </w:p>
        </w:tc>
        <w:tc>
          <w:tcPr>
            <w:tcW w:w="2440" w:type="pct"/>
            <w:vAlign w:val="center"/>
          </w:tcPr>
          <w:p w14:paraId="3FCB7BE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工业生产中作为清洗剂、萃取剂、溶剂或反应介质使用后废弃的其他列入《危险化学品目录》的有机溶剂，以及在使用前混合的含有一种或多种上述溶剂的混合/调和溶剂</w:t>
            </w:r>
          </w:p>
        </w:tc>
        <w:tc>
          <w:tcPr>
            <w:tcW w:w="647" w:type="pct"/>
            <w:vAlign w:val="center"/>
          </w:tcPr>
          <w:p w14:paraId="72AC7E7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T，I，R</w:t>
            </w:r>
          </w:p>
        </w:tc>
        <w:tc>
          <w:tcPr>
            <w:tcW w:w="638" w:type="pct"/>
            <w:vAlign w:val="center"/>
          </w:tcPr>
          <w:p w14:paraId="4081721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3698BA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523" w:type="pct"/>
            <w:vMerge w:val="continue"/>
            <w:vAlign w:val="center"/>
          </w:tcPr>
          <w:p w14:paraId="385E940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p>
        </w:tc>
        <w:tc>
          <w:tcPr>
            <w:tcW w:w="750" w:type="pct"/>
            <w:vAlign w:val="center"/>
          </w:tcPr>
          <w:p w14:paraId="51F1599C">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900-404-06</w:t>
            </w:r>
          </w:p>
        </w:tc>
        <w:tc>
          <w:tcPr>
            <w:tcW w:w="2440" w:type="pct"/>
            <w:vAlign w:val="center"/>
          </w:tcPr>
          <w:p w14:paraId="1824CE1D">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工业生产中作为清洗剂、萃取剂、溶剂或反应介质使用后废弃的其他列入《危险化学品目录》的有机溶剂，以及在使用前混合的含有一种或多种上述溶剂的混合/调和溶剂</w:t>
            </w:r>
          </w:p>
        </w:tc>
        <w:tc>
          <w:tcPr>
            <w:tcW w:w="647" w:type="pct"/>
            <w:vAlign w:val="center"/>
          </w:tcPr>
          <w:p w14:paraId="0626FB57">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T，I，R</w:t>
            </w:r>
          </w:p>
        </w:tc>
        <w:tc>
          <w:tcPr>
            <w:tcW w:w="638" w:type="pct"/>
            <w:vAlign w:val="center"/>
          </w:tcPr>
          <w:p w14:paraId="75F66821">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4E764B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523" w:type="pct"/>
            <w:vMerge w:val="continue"/>
            <w:vAlign w:val="center"/>
          </w:tcPr>
          <w:p w14:paraId="5E22D5A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p>
        </w:tc>
        <w:tc>
          <w:tcPr>
            <w:tcW w:w="750" w:type="pct"/>
            <w:vAlign w:val="center"/>
          </w:tcPr>
          <w:p w14:paraId="51C0FA9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spacing w:val="-1"/>
                <w:sz w:val="21"/>
                <w:szCs w:val="21"/>
                <w:highlight w:val="none"/>
                <w:u w:val="single"/>
                <w:lang w:val="en-US" w:eastAsia="zh-CN"/>
              </w:rPr>
              <w:t>900-405-06</w:t>
            </w:r>
          </w:p>
        </w:tc>
        <w:tc>
          <w:tcPr>
            <w:tcW w:w="2440" w:type="pct"/>
            <w:vAlign w:val="center"/>
          </w:tcPr>
          <w:p w14:paraId="0EF40227">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900-401-06、900-402-06、900-404-06 中所列废有机溶剂再生处理过程中产生的废活性炭及其他过滤吸附介质</w:t>
            </w:r>
          </w:p>
        </w:tc>
        <w:tc>
          <w:tcPr>
            <w:tcW w:w="647" w:type="pct"/>
            <w:vAlign w:val="center"/>
          </w:tcPr>
          <w:p w14:paraId="7FE82AFD">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T，I，R</w:t>
            </w:r>
          </w:p>
        </w:tc>
        <w:tc>
          <w:tcPr>
            <w:tcW w:w="638" w:type="pct"/>
            <w:vAlign w:val="center"/>
          </w:tcPr>
          <w:p w14:paraId="10DC8356">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EB511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7" w:hRule="atLeast"/>
          <w:jc w:val="center"/>
        </w:trPr>
        <w:tc>
          <w:tcPr>
            <w:tcW w:w="523" w:type="pct"/>
            <w:vMerge w:val="continue"/>
            <w:vAlign w:val="center"/>
          </w:tcPr>
          <w:p w14:paraId="725F0E3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p>
        </w:tc>
        <w:tc>
          <w:tcPr>
            <w:tcW w:w="750" w:type="pct"/>
            <w:vAlign w:val="center"/>
          </w:tcPr>
          <w:p w14:paraId="3D8AF3A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spacing w:val="-1"/>
                <w:sz w:val="21"/>
                <w:szCs w:val="21"/>
                <w:highlight w:val="none"/>
                <w:u w:val="single"/>
                <w:lang w:val="en-US" w:eastAsia="zh-CN"/>
              </w:rPr>
              <w:t>900-407-06</w:t>
            </w:r>
          </w:p>
        </w:tc>
        <w:tc>
          <w:tcPr>
            <w:tcW w:w="2440" w:type="pct"/>
            <w:vAlign w:val="center"/>
          </w:tcPr>
          <w:p w14:paraId="614EB091">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900-401-06、900-402-06、900-404-06 中所列废有机溶剂分馏再生过程中产生的高沸物和釜底残渣</w:t>
            </w:r>
          </w:p>
        </w:tc>
        <w:tc>
          <w:tcPr>
            <w:tcW w:w="647" w:type="pct"/>
            <w:vAlign w:val="center"/>
          </w:tcPr>
          <w:p w14:paraId="3EB413BC">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T，I，R</w:t>
            </w:r>
          </w:p>
        </w:tc>
        <w:tc>
          <w:tcPr>
            <w:tcW w:w="638" w:type="pct"/>
            <w:vAlign w:val="center"/>
          </w:tcPr>
          <w:p w14:paraId="52F6F333">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7DDE56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6" w:hRule="atLeast"/>
          <w:jc w:val="center"/>
        </w:trPr>
        <w:tc>
          <w:tcPr>
            <w:tcW w:w="523" w:type="pct"/>
            <w:vMerge w:val="continue"/>
            <w:vAlign w:val="center"/>
          </w:tcPr>
          <w:p w14:paraId="735FC65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p>
        </w:tc>
        <w:tc>
          <w:tcPr>
            <w:tcW w:w="750" w:type="pct"/>
            <w:vAlign w:val="center"/>
          </w:tcPr>
          <w:p w14:paraId="2242AA9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spacing w:val="-1"/>
                <w:sz w:val="21"/>
                <w:szCs w:val="21"/>
                <w:highlight w:val="none"/>
                <w:u w:val="single"/>
                <w:lang w:val="en-US" w:eastAsia="zh-CN"/>
              </w:rPr>
              <w:t>900-409-06</w:t>
            </w:r>
          </w:p>
        </w:tc>
        <w:tc>
          <w:tcPr>
            <w:tcW w:w="2440" w:type="pct"/>
            <w:vAlign w:val="center"/>
          </w:tcPr>
          <w:p w14:paraId="08BF5AB5">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900-401-06、900-402-06、900-404-06 中所列废有机溶剂再生处理过程中产生的废水处理浮渣和污泥（不包括废水生化处理污泥）</w:t>
            </w:r>
          </w:p>
        </w:tc>
        <w:tc>
          <w:tcPr>
            <w:tcW w:w="647" w:type="pct"/>
            <w:vAlign w:val="center"/>
          </w:tcPr>
          <w:p w14:paraId="6F666BE3">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T，I，R</w:t>
            </w:r>
          </w:p>
        </w:tc>
        <w:tc>
          <w:tcPr>
            <w:tcW w:w="638" w:type="pct"/>
            <w:vAlign w:val="center"/>
          </w:tcPr>
          <w:p w14:paraId="1CFA14DA">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CAE96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23" w:type="pct"/>
            <w:vMerge w:val="restart"/>
            <w:vAlign w:val="center"/>
          </w:tcPr>
          <w:p w14:paraId="7DD3CBF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HW09油/水、烃/水混合物或乳化液</w:t>
            </w:r>
          </w:p>
        </w:tc>
        <w:tc>
          <w:tcPr>
            <w:tcW w:w="750" w:type="pct"/>
            <w:vAlign w:val="center"/>
          </w:tcPr>
          <w:p w14:paraId="6A43C36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900-005-09</w:t>
            </w:r>
          </w:p>
        </w:tc>
        <w:tc>
          <w:tcPr>
            <w:tcW w:w="2440" w:type="pct"/>
            <w:vAlign w:val="center"/>
          </w:tcPr>
          <w:p w14:paraId="468E7ED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水压机维护、更换和拆解过程中产生的油/水、烃/水混合物或乳化液</w:t>
            </w:r>
          </w:p>
        </w:tc>
        <w:tc>
          <w:tcPr>
            <w:tcW w:w="647" w:type="pct"/>
            <w:vAlign w:val="center"/>
          </w:tcPr>
          <w:p w14:paraId="6FA1D24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02FEFBD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798886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23" w:type="pct"/>
            <w:vMerge w:val="continue"/>
            <w:vAlign w:val="center"/>
          </w:tcPr>
          <w:p w14:paraId="491C86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4AC9841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900-006-09</w:t>
            </w:r>
          </w:p>
        </w:tc>
        <w:tc>
          <w:tcPr>
            <w:tcW w:w="2440" w:type="pct"/>
            <w:vAlign w:val="center"/>
          </w:tcPr>
          <w:p w14:paraId="65BC2F9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使用切削油或切削液进行机械加工过程中产生的油/水、烃/水混合物或乳化液</w:t>
            </w:r>
          </w:p>
        </w:tc>
        <w:tc>
          <w:tcPr>
            <w:tcW w:w="647" w:type="pct"/>
            <w:vAlign w:val="center"/>
          </w:tcPr>
          <w:p w14:paraId="33E2FE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22DE91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4E1916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23" w:type="pct"/>
            <w:vMerge w:val="continue"/>
            <w:vAlign w:val="center"/>
          </w:tcPr>
          <w:p w14:paraId="536C2C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29118C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900-007-09</w:t>
            </w:r>
          </w:p>
        </w:tc>
        <w:tc>
          <w:tcPr>
            <w:tcW w:w="2440" w:type="pct"/>
            <w:vAlign w:val="center"/>
          </w:tcPr>
          <w:p w14:paraId="78DBDB1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其他工艺过程中产生的油/水、烃/水混合物或乳化液</w:t>
            </w:r>
          </w:p>
        </w:tc>
        <w:tc>
          <w:tcPr>
            <w:tcW w:w="647" w:type="pct"/>
            <w:vAlign w:val="center"/>
          </w:tcPr>
          <w:p w14:paraId="665BAB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35E26C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7017B3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523" w:type="pct"/>
            <w:vAlign w:val="center"/>
          </w:tcPr>
          <w:p w14:paraId="5EF95D8C">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color w:val="000000"/>
                <w:szCs w:val="21"/>
                <w:u w:val="single"/>
              </w:rPr>
              <w:t>HW10多氯（溴）联苯类废物</w:t>
            </w:r>
          </w:p>
        </w:tc>
        <w:tc>
          <w:tcPr>
            <w:tcW w:w="750" w:type="pct"/>
            <w:vAlign w:val="center"/>
          </w:tcPr>
          <w:p w14:paraId="2FFEE6B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color w:val="000000"/>
                <w:kern w:val="0"/>
                <w:szCs w:val="21"/>
                <w:u w:val="single"/>
                <w:lang w:bidi="ar"/>
              </w:rPr>
              <w:t>900-008-10</w:t>
            </w:r>
          </w:p>
        </w:tc>
        <w:tc>
          <w:tcPr>
            <w:tcW w:w="2440" w:type="pct"/>
            <w:vAlign w:val="center"/>
          </w:tcPr>
          <w:p w14:paraId="6B4B0FC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含有多氯联苯（PCBs）、多氯三联苯（PCTs）</w:t>
            </w:r>
          </w:p>
          <w:p w14:paraId="342EE4B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和多溴联苯（PBBs）的废弃电容器、变压器</w:t>
            </w:r>
          </w:p>
        </w:tc>
        <w:tc>
          <w:tcPr>
            <w:tcW w:w="647" w:type="pct"/>
            <w:vAlign w:val="center"/>
          </w:tcPr>
          <w:p w14:paraId="228A3382">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41770D61">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4072DF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523" w:type="pct"/>
            <w:vMerge w:val="restart"/>
            <w:vAlign w:val="center"/>
          </w:tcPr>
          <w:p w14:paraId="67ED5F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HW11</w:t>
            </w:r>
          </w:p>
          <w:p w14:paraId="6E6591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精(蒸)馏残渣</w:t>
            </w:r>
          </w:p>
        </w:tc>
        <w:tc>
          <w:tcPr>
            <w:tcW w:w="750" w:type="pct"/>
            <w:vAlign w:val="center"/>
          </w:tcPr>
          <w:p w14:paraId="175A1EA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252-010-11</w:t>
            </w:r>
          </w:p>
        </w:tc>
        <w:tc>
          <w:tcPr>
            <w:tcW w:w="2440" w:type="pct"/>
            <w:vAlign w:val="center"/>
          </w:tcPr>
          <w:p w14:paraId="0CEF0BB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炼焦、煤焦油加工和苯精制过程中产生的废水处理污泥（不包括废水生化处理污泥）</w:t>
            </w:r>
          </w:p>
        </w:tc>
        <w:tc>
          <w:tcPr>
            <w:tcW w:w="647" w:type="pct"/>
            <w:vAlign w:val="center"/>
          </w:tcPr>
          <w:p w14:paraId="735497B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2D0AE0D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59D910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523" w:type="pct"/>
            <w:vMerge w:val="continue"/>
            <w:vAlign w:val="center"/>
          </w:tcPr>
          <w:p w14:paraId="6C8141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56F60F8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252-011-11</w:t>
            </w:r>
          </w:p>
        </w:tc>
        <w:tc>
          <w:tcPr>
            <w:tcW w:w="2440" w:type="pct"/>
            <w:vAlign w:val="center"/>
          </w:tcPr>
          <w:p w14:paraId="36C5BB2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焦炭生产过程中硫铵工段煤气除酸净化产生的酸焦油</w:t>
            </w:r>
          </w:p>
        </w:tc>
        <w:tc>
          <w:tcPr>
            <w:tcW w:w="647" w:type="pct"/>
            <w:vAlign w:val="center"/>
          </w:tcPr>
          <w:p w14:paraId="032BD8C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197B787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781F30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523" w:type="pct"/>
            <w:vMerge w:val="continue"/>
            <w:vAlign w:val="center"/>
          </w:tcPr>
          <w:p w14:paraId="1A4AF3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7D80260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eastAsia="zh-CN"/>
              </w:rPr>
            </w:pPr>
            <w:r>
              <w:rPr>
                <w:rFonts w:hint="default" w:ascii="Times New Roman" w:hAnsi="Times New Roman" w:eastAsia="宋体" w:cs="Times New Roman"/>
                <w:b w:val="0"/>
                <w:bCs w:val="0"/>
                <w:color w:val="auto"/>
                <w:kern w:val="0"/>
                <w:sz w:val="21"/>
                <w:szCs w:val="21"/>
                <w:highlight w:val="none"/>
                <w:u w:val="single"/>
                <w:lang w:eastAsia="zh-CN"/>
              </w:rPr>
              <w:t>900-013-11</w:t>
            </w:r>
          </w:p>
        </w:tc>
        <w:tc>
          <w:tcPr>
            <w:tcW w:w="2440" w:type="pct"/>
            <w:vAlign w:val="center"/>
          </w:tcPr>
          <w:p w14:paraId="6EBE9B6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其他化工生产过程（不包括以生物质为主要原料的加工过程）中精馏、蒸馏和热解工艺产生的高沸点釜底残余物</w:t>
            </w:r>
          </w:p>
        </w:tc>
        <w:tc>
          <w:tcPr>
            <w:tcW w:w="647" w:type="pct"/>
            <w:vAlign w:val="center"/>
          </w:tcPr>
          <w:p w14:paraId="6178568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595AEA6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1A21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523" w:type="pct"/>
            <w:vMerge w:val="continue"/>
            <w:vAlign w:val="center"/>
          </w:tcPr>
          <w:p w14:paraId="3F3A0E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0D8EDA9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252-016-11</w:t>
            </w:r>
          </w:p>
        </w:tc>
        <w:tc>
          <w:tcPr>
            <w:tcW w:w="2440" w:type="pct"/>
            <w:vAlign w:val="center"/>
          </w:tcPr>
          <w:p w14:paraId="49FE00E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煤沥青改质过程中产生的闪蒸油</w:t>
            </w:r>
          </w:p>
        </w:tc>
        <w:tc>
          <w:tcPr>
            <w:tcW w:w="647" w:type="pct"/>
            <w:vAlign w:val="center"/>
          </w:tcPr>
          <w:p w14:paraId="0F35C42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7EC1924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77AFF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523" w:type="pct"/>
            <w:vMerge w:val="continue"/>
            <w:vAlign w:val="center"/>
          </w:tcPr>
          <w:p w14:paraId="22C46A3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3E049126">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0"/>
                <w:sz w:val="21"/>
                <w:szCs w:val="21"/>
                <w:highlight w:val="none"/>
                <w:u w:val="single"/>
                <w:lang w:val="en-US" w:eastAsia="zh-CN" w:bidi="ar-SA"/>
              </w:rPr>
            </w:pPr>
            <w:r>
              <w:rPr>
                <w:rFonts w:hint="eastAsia" w:ascii="Times New Roman" w:hAnsi="Times New Roman" w:cs="Times New Roman"/>
                <w:b w:val="0"/>
                <w:bCs w:val="0"/>
                <w:color w:val="auto"/>
                <w:kern w:val="0"/>
                <w:sz w:val="21"/>
                <w:szCs w:val="21"/>
                <w:highlight w:val="none"/>
                <w:u w:val="single"/>
                <w:lang w:val="en-US" w:eastAsia="zh-CN"/>
              </w:rPr>
              <w:t>261-026</w:t>
            </w:r>
            <w:r>
              <w:rPr>
                <w:rFonts w:hint="default" w:ascii="Times New Roman" w:hAnsi="Times New Roman" w:eastAsia="宋体" w:cs="Times New Roman"/>
                <w:b w:val="0"/>
                <w:bCs w:val="0"/>
                <w:color w:val="auto"/>
                <w:kern w:val="0"/>
                <w:sz w:val="21"/>
                <w:szCs w:val="21"/>
                <w:highlight w:val="none"/>
                <w:u w:val="single"/>
              </w:rPr>
              <w:t>-11</w:t>
            </w:r>
          </w:p>
        </w:tc>
        <w:tc>
          <w:tcPr>
            <w:tcW w:w="2440" w:type="pct"/>
            <w:vAlign w:val="center"/>
          </w:tcPr>
          <w:p w14:paraId="411F17F6">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0"/>
                <w:sz w:val="21"/>
                <w:szCs w:val="21"/>
                <w:highlight w:val="none"/>
                <w:u w:val="single"/>
                <w:lang w:val="en-US" w:eastAsia="zh-CN" w:bidi="ar"/>
              </w:rPr>
            </w:pPr>
            <w:r>
              <w:rPr>
                <w:rFonts w:hint="eastAsia" w:ascii="Times New Roman" w:hAnsi="Times New Roman" w:cs="Times New Roman"/>
                <w:b w:val="0"/>
                <w:bCs w:val="0"/>
                <w:color w:val="auto"/>
                <w:kern w:val="0"/>
                <w:sz w:val="21"/>
                <w:szCs w:val="21"/>
                <w:highlight w:val="none"/>
                <w:u w:val="single"/>
                <w:lang w:val="en-US" w:eastAsia="zh-CN" w:bidi="ar"/>
              </w:rPr>
              <w:t>氯苯、二氯苯生产过程中的蒸馏及分馏残渣</w:t>
            </w:r>
          </w:p>
        </w:tc>
        <w:tc>
          <w:tcPr>
            <w:tcW w:w="647" w:type="pct"/>
            <w:vAlign w:val="center"/>
          </w:tcPr>
          <w:p w14:paraId="7957B810">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0"/>
                <w:sz w:val="21"/>
                <w:szCs w:val="21"/>
                <w:highlight w:val="none"/>
                <w:u w:val="single"/>
                <w:lang w:val="en-US" w:eastAsia="zh-CN"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0AB9D60C">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0"/>
                <w:sz w:val="21"/>
                <w:szCs w:val="21"/>
                <w:highlight w:val="none"/>
                <w:u w:val="single"/>
                <w:lang w:val="en-US" w:eastAsia="zh-CN"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687239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523" w:type="pct"/>
            <w:vMerge w:val="restart"/>
            <w:vAlign w:val="center"/>
          </w:tcPr>
          <w:p w14:paraId="7BEB1EC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HW12染料、涂料废物</w:t>
            </w:r>
          </w:p>
        </w:tc>
        <w:tc>
          <w:tcPr>
            <w:tcW w:w="750" w:type="pct"/>
            <w:vAlign w:val="center"/>
          </w:tcPr>
          <w:p w14:paraId="294EAE7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900-252-12</w:t>
            </w:r>
          </w:p>
        </w:tc>
        <w:tc>
          <w:tcPr>
            <w:tcW w:w="2440" w:type="pct"/>
            <w:vAlign w:val="center"/>
          </w:tcPr>
          <w:p w14:paraId="7416C1E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使用油漆（不包括水性漆）、有机溶剂进行喷漆、上漆过程中产生的废物</w:t>
            </w:r>
          </w:p>
        </w:tc>
        <w:tc>
          <w:tcPr>
            <w:tcW w:w="647" w:type="pct"/>
            <w:vAlign w:val="center"/>
          </w:tcPr>
          <w:p w14:paraId="4915649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76D4540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67091C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523" w:type="pct"/>
            <w:vMerge w:val="continue"/>
            <w:vAlign w:val="center"/>
          </w:tcPr>
          <w:p w14:paraId="3B63C3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338AA49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900-299-12</w:t>
            </w:r>
          </w:p>
        </w:tc>
        <w:tc>
          <w:tcPr>
            <w:tcW w:w="2440" w:type="pct"/>
            <w:vAlign w:val="center"/>
          </w:tcPr>
          <w:p w14:paraId="20DC666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生产、销售及使用过程中产生的失效、变质、不合格、淘汰、伪劣的油墨、染料、颜料、油漆（不包括水性漆）</w:t>
            </w:r>
          </w:p>
        </w:tc>
        <w:tc>
          <w:tcPr>
            <w:tcW w:w="647" w:type="pct"/>
            <w:vAlign w:val="center"/>
          </w:tcPr>
          <w:p w14:paraId="5FF59A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w:t>
            </w:r>
          </w:p>
        </w:tc>
        <w:tc>
          <w:tcPr>
            <w:tcW w:w="638" w:type="pct"/>
            <w:vAlign w:val="center"/>
          </w:tcPr>
          <w:p w14:paraId="2C9B4F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40275E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523" w:type="pct"/>
            <w:vMerge w:val="continue"/>
            <w:vAlign w:val="center"/>
          </w:tcPr>
          <w:p w14:paraId="0C6500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49BEA97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900-250-12</w:t>
            </w:r>
          </w:p>
        </w:tc>
        <w:tc>
          <w:tcPr>
            <w:tcW w:w="2440" w:type="pct"/>
            <w:vAlign w:val="center"/>
          </w:tcPr>
          <w:p w14:paraId="6466575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使用有机溶剂、光漆进行光漆涂布、喷漆工艺过程中产生的废物</w:t>
            </w:r>
          </w:p>
        </w:tc>
        <w:tc>
          <w:tcPr>
            <w:tcW w:w="647" w:type="pct"/>
            <w:vAlign w:val="center"/>
          </w:tcPr>
          <w:p w14:paraId="6C86A9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7E64A4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57044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523" w:type="pct"/>
            <w:vMerge w:val="continue"/>
            <w:vAlign w:val="center"/>
          </w:tcPr>
          <w:p w14:paraId="21FE5A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5826AE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900-251-12</w:t>
            </w:r>
          </w:p>
        </w:tc>
        <w:tc>
          <w:tcPr>
            <w:tcW w:w="2440" w:type="pct"/>
            <w:vAlign w:val="center"/>
          </w:tcPr>
          <w:p w14:paraId="465BAB7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使用油漆（不包括水性漆）、有机溶剂进行阻挡层涂敷过程中产生的废物</w:t>
            </w:r>
          </w:p>
        </w:tc>
        <w:tc>
          <w:tcPr>
            <w:tcW w:w="647" w:type="pct"/>
            <w:vAlign w:val="center"/>
          </w:tcPr>
          <w:p w14:paraId="573087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44527A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08F2DA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523" w:type="pct"/>
            <w:vMerge w:val="continue"/>
            <w:vAlign w:val="center"/>
          </w:tcPr>
          <w:p w14:paraId="611AAB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1E74BE6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900-253-12</w:t>
            </w:r>
          </w:p>
        </w:tc>
        <w:tc>
          <w:tcPr>
            <w:tcW w:w="2440" w:type="pct"/>
            <w:vAlign w:val="center"/>
          </w:tcPr>
          <w:p w14:paraId="7D47033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使用油墨和有机溶剂进行丝网印刷过程中产生的废物</w:t>
            </w:r>
          </w:p>
        </w:tc>
        <w:tc>
          <w:tcPr>
            <w:tcW w:w="647" w:type="pct"/>
            <w:vAlign w:val="center"/>
          </w:tcPr>
          <w:p w14:paraId="5ED492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792A9C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99D76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523" w:type="pct"/>
            <w:vMerge w:val="continue"/>
            <w:vAlign w:val="center"/>
          </w:tcPr>
          <w:p w14:paraId="6C9BFF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59662C4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900-254-12</w:t>
            </w:r>
          </w:p>
        </w:tc>
        <w:tc>
          <w:tcPr>
            <w:tcW w:w="2440" w:type="pct"/>
            <w:vAlign w:val="center"/>
          </w:tcPr>
          <w:p w14:paraId="468A80D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使用遮盖油、有机溶剂进行遮盖油的涂敷过程中产生的废物</w:t>
            </w:r>
          </w:p>
        </w:tc>
        <w:tc>
          <w:tcPr>
            <w:tcW w:w="647" w:type="pct"/>
            <w:vAlign w:val="center"/>
          </w:tcPr>
          <w:p w14:paraId="440DF1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243B80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637E53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92" w:hRule="atLeast"/>
          <w:jc w:val="center"/>
        </w:trPr>
        <w:tc>
          <w:tcPr>
            <w:tcW w:w="523" w:type="pct"/>
            <w:vMerge w:val="continue"/>
            <w:vAlign w:val="center"/>
          </w:tcPr>
          <w:p w14:paraId="706159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5BEA7C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val="en-US" w:eastAsia="zh-CN"/>
              </w:rPr>
            </w:pPr>
            <w:r>
              <w:rPr>
                <w:rFonts w:hint="eastAsia" w:ascii="Times New Roman" w:hAnsi="Times New Roman" w:cs="Times New Roman"/>
                <w:b w:val="0"/>
                <w:bCs w:val="0"/>
                <w:color w:val="auto"/>
                <w:kern w:val="0"/>
                <w:sz w:val="21"/>
                <w:szCs w:val="21"/>
                <w:highlight w:val="none"/>
                <w:u w:val="single"/>
                <w:lang w:val="en-US" w:eastAsia="zh-CN"/>
              </w:rPr>
              <w:t>900-012-12</w:t>
            </w:r>
          </w:p>
        </w:tc>
        <w:tc>
          <w:tcPr>
            <w:tcW w:w="2440" w:type="pct"/>
            <w:vAlign w:val="center"/>
          </w:tcPr>
          <w:p w14:paraId="0DF1CA23">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u w:val="single"/>
                <w:lang w:eastAsia="zh-CN"/>
              </w:rPr>
            </w:pPr>
            <w:r>
              <w:rPr>
                <w:rFonts w:hint="eastAsia" w:ascii="Times New Roman" w:hAnsi="Times New Roman" w:cs="Times New Roman"/>
                <w:b w:val="0"/>
                <w:bCs w:val="0"/>
                <w:color w:val="auto"/>
                <w:kern w:val="0"/>
                <w:sz w:val="21"/>
                <w:szCs w:val="21"/>
                <w:highlight w:val="none"/>
                <w:u w:val="single"/>
                <w:lang w:eastAsia="zh-CN"/>
              </w:rPr>
              <w:t>其他油墨、染料、颜料、油漆（不包括水性漆）生产过程中产生的废水处理污泥</w:t>
            </w:r>
          </w:p>
        </w:tc>
        <w:tc>
          <w:tcPr>
            <w:tcW w:w="647" w:type="pct"/>
            <w:vAlign w:val="center"/>
          </w:tcPr>
          <w:p w14:paraId="64B989B8">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 w:val="0"/>
                <w:bCs w:val="0"/>
                <w:color w:val="auto"/>
                <w:kern w:val="0"/>
                <w:sz w:val="21"/>
                <w:szCs w:val="21"/>
                <w:highlight w:val="none"/>
                <w:u w:val="single"/>
                <w:lang w:val="en-US" w:eastAsia="zh-CN"/>
              </w:rPr>
            </w:pPr>
            <w:r>
              <w:rPr>
                <w:rFonts w:hint="eastAsia" w:ascii="Times New Roman" w:hAnsi="Times New Roman" w:cs="Times New Roman"/>
                <w:b w:val="0"/>
                <w:bCs w:val="0"/>
                <w:color w:val="auto"/>
                <w:kern w:val="0"/>
                <w:sz w:val="21"/>
                <w:szCs w:val="21"/>
                <w:highlight w:val="none"/>
                <w:u w:val="single"/>
                <w:lang w:val="en-US" w:eastAsia="zh-CN"/>
              </w:rPr>
              <w:t>T</w:t>
            </w:r>
          </w:p>
        </w:tc>
        <w:tc>
          <w:tcPr>
            <w:tcW w:w="638" w:type="pct"/>
            <w:vAlign w:val="center"/>
          </w:tcPr>
          <w:p w14:paraId="0B7377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2AF150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restart"/>
            <w:vAlign w:val="center"/>
          </w:tcPr>
          <w:p w14:paraId="192FFA2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Style w:val="95"/>
                <w:rFonts w:hint="default" w:ascii="Times New Roman" w:hAnsi="Times New Roman" w:eastAsia="宋体" w:cs="Times New Roman"/>
                <w:b w:val="0"/>
                <w:bCs w:val="0"/>
                <w:color w:val="auto"/>
                <w:kern w:val="0"/>
                <w:sz w:val="21"/>
                <w:szCs w:val="21"/>
                <w:highlight w:val="none"/>
                <w:u w:val="single"/>
                <w:vertAlign w:val="baseline"/>
                <w:lang w:bidi="ar"/>
              </w:rPr>
              <w:t>HW13有机树脂类废物</w:t>
            </w:r>
          </w:p>
        </w:tc>
        <w:tc>
          <w:tcPr>
            <w:tcW w:w="750" w:type="pct"/>
            <w:vAlign w:val="center"/>
          </w:tcPr>
          <w:p w14:paraId="40C86FE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265-101-13</w:t>
            </w:r>
          </w:p>
        </w:tc>
        <w:tc>
          <w:tcPr>
            <w:tcW w:w="2440" w:type="pct"/>
            <w:vAlign w:val="center"/>
          </w:tcPr>
          <w:p w14:paraId="2024358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树脂、合成乳胶、增塑剂、胶水/胶合剂合成过程产生的不合格产品（不包括热塑型树脂生产过程中聚合产物经脱除单体、低聚物、溶剂及其他助剂后产生的废料，以及热固型树脂固化后的固化体）</w:t>
            </w:r>
          </w:p>
        </w:tc>
        <w:tc>
          <w:tcPr>
            <w:tcW w:w="647" w:type="pct"/>
            <w:vAlign w:val="center"/>
          </w:tcPr>
          <w:p w14:paraId="77A1709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71AB463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13A633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4DF3F836">
            <w:pPr>
              <w:keepNext w:val="0"/>
              <w:keepLines w:val="0"/>
              <w:widowControl/>
              <w:suppressLineNumbers w:val="0"/>
              <w:adjustRightInd w:val="0"/>
              <w:snapToGrid w:val="0"/>
              <w:spacing w:before="0" w:beforeAutospacing="0" w:after="0" w:afterAutospacing="0"/>
              <w:ind w:left="0" w:right="0"/>
              <w:jc w:val="center"/>
              <w:textAlignment w:val="center"/>
              <w:rPr>
                <w:rStyle w:val="95"/>
                <w:rFonts w:hint="default" w:ascii="Times New Roman" w:hAnsi="Times New Roman" w:eastAsia="宋体" w:cs="Times New Roman"/>
                <w:b w:val="0"/>
                <w:bCs w:val="0"/>
                <w:color w:val="auto"/>
                <w:kern w:val="0"/>
                <w:sz w:val="21"/>
                <w:szCs w:val="21"/>
                <w:highlight w:val="none"/>
                <w:u w:val="single"/>
                <w:vertAlign w:val="baseline"/>
                <w:lang w:bidi="ar"/>
              </w:rPr>
            </w:pPr>
          </w:p>
        </w:tc>
        <w:tc>
          <w:tcPr>
            <w:tcW w:w="750" w:type="pct"/>
            <w:vAlign w:val="center"/>
          </w:tcPr>
          <w:p w14:paraId="36404C9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265-102-13</w:t>
            </w:r>
          </w:p>
        </w:tc>
        <w:tc>
          <w:tcPr>
            <w:tcW w:w="2440" w:type="pct"/>
            <w:vAlign w:val="center"/>
          </w:tcPr>
          <w:p w14:paraId="31B8C08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树脂、合成乳胶、增塑剂、胶水/胶合剂生产过程中合成、酯化、缩合等工序产生的废母液</w:t>
            </w:r>
          </w:p>
        </w:tc>
        <w:tc>
          <w:tcPr>
            <w:tcW w:w="647" w:type="pct"/>
            <w:vAlign w:val="center"/>
          </w:tcPr>
          <w:p w14:paraId="15C4D45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60B5A6D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0CE04A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1878F7B2">
            <w:pPr>
              <w:keepNext w:val="0"/>
              <w:keepLines w:val="0"/>
              <w:widowControl/>
              <w:suppressLineNumbers w:val="0"/>
              <w:adjustRightInd w:val="0"/>
              <w:snapToGrid w:val="0"/>
              <w:spacing w:before="0" w:beforeAutospacing="0" w:after="0" w:afterAutospacing="0"/>
              <w:ind w:left="0" w:right="0"/>
              <w:jc w:val="center"/>
              <w:textAlignment w:val="center"/>
              <w:rPr>
                <w:rStyle w:val="95"/>
                <w:rFonts w:hint="default" w:ascii="Times New Roman" w:hAnsi="Times New Roman" w:eastAsia="宋体" w:cs="Times New Roman"/>
                <w:b w:val="0"/>
                <w:bCs w:val="0"/>
                <w:color w:val="auto"/>
                <w:kern w:val="0"/>
                <w:sz w:val="21"/>
                <w:szCs w:val="21"/>
                <w:highlight w:val="none"/>
                <w:u w:val="single"/>
                <w:vertAlign w:val="baseline"/>
                <w:lang w:bidi="ar"/>
              </w:rPr>
            </w:pPr>
          </w:p>
        </w:tc>
        <w:tc>
          <w:tcPr>
            <w:tcW w:w="750" w:type="pct"/>
            <w:vAlign w:val="center"/>
          </w:tcPr>
          <w:p w14:paraId="33A28F0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265-103-13</w:t>
            </w:r>
          </w:p>
        </w:tc>
        <w:tc>
          <w:tcPr>
            <w:tcW w:w="2440" w:type="pct"/>
            <w:vAlign w:val="center"/>
          </w:tcPr>
          <w:p w14:paraId="73A8A3E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树脂（不包括水性聚氨酯乳液、水性丙烯酸乳液、水性聚氨酯丙烯酸复合乳液）、合成乳胶、增塑剂、胶水/胶合剂生产过程中精馏、分离、精制等工序产生的釜底残液、废过滤介质和残渣</w:t>
            </w:r>
          </w:p>
        </w:tc>
        <w:tc>
          <w:tcPr>
            <w:tcW w:w="647" w:type="pct"/>
            <w:vAlign w:val="center"/>
          </w:tcPr>
          <w:p w14:paraId="7D25C1C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429FD67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649E0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6F66B0B7">
            <w:pPr>
              <w:keepNext w:val="0"/>
              <w:keepLines w:val="0"/>
              <w:widowControl/>
              <w:suppressLineNumbers w:val="0"/>
              <w:adjustRightInd w:val="0"/>
              <w:snapToGrid w:val="0"/>
              <w:spacing w:before="0" w:beforeAutospacing="0" w:after="0" w:afterAutospacing="0"/>
              <w:ind w:left="0" w:right="0"/>
              <w:jc w:val="center"/>
              <w:textAlignment w:val="center"/>
              <w:rPr>
                <w:rStyle w:val="95"/>
                <w:rFonts w:hint="default" w:ascii="Times New Roman" w:hAnsi="Times New Roman" w:eastAsia="宋体" w:cs="Times New Roman"/>
                <w:b w:val="0"/>
                <w:bCs w:val="0"/>
                <w:color w:val="auto"/>
                <w:kern w:val="0"/>
                <w:sz w:val="21"/>
                <w:szCs w:val="21"/>
                <w:highlight w:val="none"/>
                <w:u w:val="single"/>
                <w:vertAlign w:val="baseline"/>
                <w:lang w:bidi="ar"/>
              </w:rPr>
            </w:pPr>
          </w:p>
        </w:tc>
        <w:tc>
          <w:tcPr>
            <w:tcW w:w="750" w:type="pct"/>
            <w:vAlign w:val="center"/>
          </w:tcPr>
          <w:p w14:paraId="38D036E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265-104-13</w:t>
            </w:r>
          </w:p>
        </w:tc>
        <w:tc>
          <w:tcPr>
            <w:tcW w:w="2440" w:type="pct"/>
            <w:vAlign w:val="center"/>
          </w:tcPr>
          <w:p w14:paraId="714CC66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树脂（不包括水性聚氨酯乳液、水性丙烯酸乳液、水性聚氨酯丙烯酸复合乳液）、合成乳胶、增塑剂、胶水/胶合剂合成过程中产生的废水处理污泥（不包括废水生化处理污泥）</w:t>
            </w:r>
          </w:p>
        </w:tc>
        <w:tc>
          <w:tcPr>
            <w:tcW w:w="647" w:type="pct"/>
            <w:vAlign w:val="center"/>
          </w:tcPr>
          <w:p w14:paraId="7DAF759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06FFA34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3B328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600F3378">
            <w:pPr>
              <w:keepNext w:val="0"/>
              <w:keepLines w:val="0"/>
              <w:widowControl/>
              <w:suppressLineNumbers w:val="0"/>
              <w:adjustRightInd w:val="0"/>
              <w:snapToGrid w:val="0"/>
              <w:spacing w:before="0" w:beforeAutospacing="0" w:after="0" w:afterAutospacing="0"/>
              <w:ind w:left="0" w:right="0"/>
              <w:jc w:val="center"/>
              <w:textAlignment w:val="center"/>
              <w:rPr>
                <w:rStyle w:val="95"/>
                <w:rFonts w:hint="default" w:ascii="Times New Roman" w:hAnsi="Times New Roman" w:eastAsia="宋体" w:cs="Times New Roman"/>
                <w:b w:val="0"/>
                <w:bCs w:val="0"/>
                <w:color w:val="auto"/>
                <w:kern w:val="0"/>
                <w:sz w:val="21"/>
                <w:szCs w:val="21"/>
                <w:highlight w:val="none"/>
                <w:u w:val="single"/>
                <w:vertAlign w:val="baseline"/>
                <w:lang w:bidi="ar"/>
              </w:rPr>
            </w:pPr>
          </w:p>
        </w:tc>
        <w:tc>
          <w:tcPr>
            <w:tcW w:w="750" w:type="pct"/>
            <w:vAlign w:val="center"/>
          </w:tcPr>
          <w:p w14:paraId="402A6A2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900-014-13</w:t>
            </w:r>
          </w:p>
        </w:tc>
        <w:tc>
          <w:tcPr>
            <w:tcW w:w="2440" w:type="pct"/>
            <w:vAlign w:val="center"/>
          </w:tcPr>
          <w:p w14:paraId="18ACF60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废弃的粘合剂和密封剂（不包括水基型和热熔型粘合剂和密封剂）</w:t>
            </w:r>
          </w:p>
        </w:tc>
        <w:tc>
          <w:tcPr>
            <w:tcW w:w="647" w:type="pct"/>
            <w:vAlign w:val="center"/>
          </w:tcPr>
          <w:p w14:paraId="7A2982B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4AB4B94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62227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3032826A">
            <w:pPr>
              <w:keepNext w:val="0"/>
              <w:keepLines w:val="0"/>
              <w:widowControl/>
              <w:suppressLineNumbers w:val="0"/>
              <w:adjustRightInd w:val="0"/>
              <w:snapToGrid w:val="0"/>
              <w:spacing w:before="0" w:beforeAutospacing="0" w:after="0" w:afterAutospacing="0"/>
              <w:ind w:left="0" w:right="0"/>
              <w:jc w:val="center"/>
              <w:textAlignment w:val="center"/>
              <w:rPr>
                <w:rStyle w:val="95"/>
                <w:rFonts w:hint="default" w:ascii="Times New Roman" w:hAnsi="Times New Roman" w:eastAsia="宋体" w:cs="Times New Roman"/>
                <w:b w:val="0"/>
                <w:bCs w:val="0"/>
                <w:color w:val="auto"/>
                <w:kern w:val="0"/>
                <w:sz w:val="21"/>
                <w:szCs w:val="21"/>
                <w:highlight w:val="none"/>
                <w:u w:val="single"/>
                <w:vertAlign w:val="baseline"/>
                <w:lang w:bidi="ar"/>
              </w:rPr>
            </w:pPr>
          </w:p>
        </w:tc>
        <w:tc>
          <w:tcPr>
            <w:tcW w:w="750" w:type="pct"/>
            <w:vAlign w:val="center"/>
          </w:tcPr>
          <w:p w14:paraId="777C7A8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900-015-13</w:t>
            </w:r>
          </w:p>
        </w:tc>
        <w:tc>
          <w:tcPr>
            <w:tcW w:w="2440" w:type="pct"/>
            <w:vAlign w:val="center"/>
          </w:tcPr>
          <w:p w14:paraId="243EAA9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湿法冶金、表面处理和制药行业重金属、抗生素提取、分离过程产生的废弃离子交换树脂，以及工业废水处理过程产生的废弃离子交换树脂</w:t>
            </w:r>
          </w:p>
        </w:tc>
        <w:tc>
          <w:tcPr>
            <w:tcW w:w="647" w:type="pct"/>
            <w:vAlign w:val="center"/>
          </w:tcPr>
          <w:p w14:paraId="7605610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4BBFABA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2C995D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3F62BB1E">
            <w:pPr>
              <w:keepNext w:val="0"/>
              <w:keepLines w:val="0"/>
              <w:widowControl/>
              <w:suppressLineNumbers w:val="0"/>
              <w:adjustRightInd w:val="0"/>
              <w:snapToGrid w:val="0"/>
              <w:spacing w:before="0" w:beforeAutospacing="0" w:after="0" w:afterAutospacing="0"/>
              <w:ind w:left="0" w:right="0"/>
              <w:jc w:val="center"/>
              <w:textAlignment w:val="center"/>
              <w:rPr>
                <w:rStyle w:val="95"/>
                <w:rFonts w:hint="default" w:ascii="Times New Roman" w:hAnsi="Times New Roman" w:eastAsia="宋体" w:cs="Times New Roman"/>
                <w:b w:val="0"/>
                <w:bCs w:val="0"/>
                <w:color w:val="auto"/>
                <w:kern w:val="0"/>
                <w:sz w:val="21"/>
                <w:szCs w:val="21"/>
                <w:highlight w:val="none"/>
                <w:u w:val="single"/>
                <w:vertAlign w:val="baseline"/>
                <w:lang w:bidi="ar"/>
              </w:rPr>
            </w:pPr>
          </w:p>
        </w:tc>
        <w:tc>
          <w:tcPr>
            <w:tcW w:w="750" w:type="pct"/>
            <w:vAlign w:val="center"/>
          </w:tcPr>
          <w:p w14:paraId="05E5D36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900-451-13</w:t>
            </w:r>
          </w:p>
        </w:tc>
        <w:tc>
          <w:tcPr>
            <w:tcW w:w="2440" w:type="pct"/>
            <w:vAlign w:val="center"/>
          </w:tcPr>
          <w:p w14:paraId="410A45E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废覆铜板、印刷线路板、电路板破碎分选回收金属后产生的废树脂粉</w:t>
            </w:r>
          </w:p>
        </w:tc>
        <w:tc>
          <w:tcPr>
            <w:tcW w:w="647" w:type="pct"/>
            <w:vAlign w:val="center"/>
          </w:tcPr>
          <w:p w14:paraId="4A4DFBA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6290239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F816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restart"/>
            <w:vAlign w:val="center"/>
          </w:tcPr>
          <w:p w14:paraId="4DB5B08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HW16感光材料废物</w:t>
            </w:r>
          </w:p>
        </w:tc>
        <w:tc>
          <w:tcPr>
            <w:tcW w:w="750" w:type="pct"/>
            <w:vAlign w:val="center"/>
          </w:tcPr>
          <w:p w14:paraId="257A061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231-001-16</w:t>
            </w:r>
          </w:p>
        </w:tc>
        <w:tc>
          <w:tcPr>
            <w:tcW w:w="2440" w:type="pct"/>
            <w:vAlign w:val="center"/>
          </w:tcPr>
          <w:p w14:paraId="346CE03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使用显影剂进行胶卷显影，使用定影剂进行胶卷定影，以及使用铁氰化钾、硫代硫酸盐进行影像减薄（漂白）产生的废显（定）影剂、胶片和废像纸</w:t>
            </w:r>
          </w:p>
        </w:tc>
        <w:tc>
          <w:tcPr>
            <w:tcW w:w="647" w:type="pct"/>
            <w:vAlign w:val="center"/>
          </w:tcPr>
          <w:p w14:paraId="0B1616E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6045815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50B0D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0FA1027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p>
        </w:tc>
        <w:tc>
          <w:tcPr>
            <w:tcW w:w="750" w:type="pct"/>
            <w:vAlign w:val="center"/>
          </w:tcPr>
          <w:p w14:paraId="2DD87C0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231-002-16</w:t>
            </w:r>
          </w:p>
        </w:tc>
        <w:tc>
          <w:tcPr>
            <w:tcW w:w="2440" w:type="pct"/>
            <w:vAlign w:val="center"/>
          </w:tcPr>
          <w:p w14:paraId="00F36C6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使用显影剂进行印刷显影、抗蚀图形显影，以及凸版印刷产生的废显（定）影剂、胶片和废像纸</w:t>
            </w:r>
          </w:p>
        </w:tc>
        <w:tc>
          <w:tcPr>
            <w:tcW w:w="647" w:type="pct"/>
            <w:vAlign w:val="center"/>
          </w:tcPr>
          <w:p w14:paraId="4160E3A8">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1FBBB87A">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 w:val="0"/>
                <w:bCs w:val="0"/>
                <w:color w:val="auto"/>
                <w:kern w:val="0"/>
                <w:sz w:val="21"/>
                <w:szCs w:val="21"/>
                <w:highlight w:val="green"/>
                <w:u w:val="single"/>
                <w:lang w:bidi="ar"/>
              </w:rPr>
            </w:pPr>
            <w:r>
              <w:rPr>
                <w:rFonts w:hint="eastAsia" w:ascii="Times New Roman" w:hAnsi="Times New Roman" w:cs="Times New Roman"/>
                <w:b w:val="0"/>
                <w:bCs w:val="0"/>
                <w:color w:val="auto"/>
                <w:kern w:val="0"/>
                <w:sz w:val="21"/>
                <w:szCs w:val="21"/>
                <w:highlight w:val="none"/>
                <w:u w:val="single"/>
                <w:lang w:eastAsia="zh-CN" w:bidi="ar"/>
              </w:rPr>
              <w:t>现有</w:t>
            </w:r>
            <w:r>
              <w:rPr>
                <w:rFonts w:hint="default" w:ascii="Times New Roman" w:hAnsi="Times New Roman" w:eastAsia="宋体" w:cs="Times New Roman"/>
                <w:b w:val="0"/>
                <w:bCs w:val="0"/>
                <w:color w:val="auto"/>
                <w:kern w:val="0"/>
                <w:sz w:val="21"/>
                <w:szCs w:val="21"/>
                <w:highlight w:val="none"/>
                <w:u w:val="single"/>
                <w:lang w:bidi="ar"/>
              </w:rPr>
              <w:t>种类</w:t>
            </w:r>
          </w:p>
        </w:tc>
      </w:tr>
      <w:tr w14:paraId="38D27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04F763F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eastAsia="zh-CN" w:bidi="ar"/>
              </w:rPr>
            </w:pPr>
            <w:r>
              <w:rPr>
                <w:rFonts w:hint="default" w:ascii="Times New Roman" w:hAnsi="Times New Roman" w:eastAsia="宋体" w:cs="Times New Roman"/>
                <w:b w:val="0"/>
                <w:bCs w:val="0"/>
                <w:color w:val="auto"/>
                <w:kern w:val="0"/>
                <w:sz w:val="21"/>
                <w:szCs w:val="21"/>
                <w:highlight w:val="none"/>
                <w:u w:val="single"/>
                <w:lang w:eastAsia="zh-CN" w:bidi="ar"/>
              </w:rPr>
              <w:t>‘’</w:t>
            </w:r>
          </w:p>
        </w:tc>
        <w:tc>
          <w:tcPr>
            <w:tcW w:w="750" w:type="pct"/>
            <w:vAlign w:val="center"/>
          </w:tcPr>
          <w:p w14:paraId="4C1A342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806-001-16</w:t>
            </w:r>
          </w:p>
        </w:tc>
        <w:tc>
          <w:tcPr>
            <w:tcW w:w="2440" w:type="pct"/>
            <w:vAlign w:val="center"/>
          </w:tcPr>
          <w:p w14:paraId="40427FB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摄影扩印服务行业产生的废显（定）影剂、胶片和废像纸</w:t>
            </w:r>
          </w:p>
        </w:tc>
        <w:tc>
          <w:tcPr>
            <w:tcW w:w="647" w:type="pct"/>
            <w:vAlign w:val="center"/>
          </w:tcPr>
          <w:p w14:paraId="680A109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0A66D4F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6DF4AD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21A437B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p>
        </w:tc>
        <w:tc>
          <w:tcPr>
            <w:tcW w:w="750" w:type="pct"/>
            <w:vAlign w:val="center"/>
          </w:tcPr>
          <w:p w14:paraId="33167CE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266-010-16</w:t>
            </w:r>
          </w:p>
        </w:tc>
        <w:tc>
          <w:tcPr>
            <w:tcW w:w="2440" w:type="pct"/>
            <w:vAlign w:val="center"/>
          </w:tcPr>
          <w:p w14:paraId="5FB6555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显（定）影剂、正负胶片、像纸、感光材料生产过程中产生的残渣和废水处理污泥</w:t>
            </w:r>
          </w:p>
        </w:tc>
        <w:tc>
          <w:tcPr>
            <w:tcW w:w="647" w:type="pct"/>
            <w:vAlign w:val="center"/>
          </w:tcPr>
          <w:p w14:paraId="7C88F7E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240CD68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21FD1F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6EC165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1FA490A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266-009-16</w:t>
            </w:r>
          </w:p>
        </w:tc>
        <w:tc>
          <w:tcPr>
            <w:tcW w:w="2440" w:type="pct"/>
            <w:vAlign w:val="center"/>
          </w:tcPr>
          <w:p w14:paraId="7A3D874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显（定）影剂、正负胶片、像纸、感光材料生产过程中产生的不合格产品和过期产品</w:t>
            </w:r>
          </w:p>
        </w:tc>
        <w:tc>
          <w:tcPr>
            <w:tcW w:w="647" w:type="pct"/>
            <w:vAlign w:val="center"/>
          </w:tcPr>
          <w:p w14:paraId="7EA7D7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6CE61B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65AEB3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6B5D09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76F97CC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900-019-16</w:t>
            </w:r>
          </w:p>
        </w:tc>
        <w:tc>
          <w:tcPr>
            <w:tcW w:w="2440" w:type="pct"/>
            <w:vAlign w:val="center"/>
          </w:tcPr>
          <w:p w14:paraId="12EF427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其他行业产生的废显（定）影剂、胶片和废像纸</w:t>
            </w:r>
          </w:p>
        </w:tc>
        <w:tc>
          <w:tcPr>
            <w:tcW w:w="647" w:type="pct"/>
            <w:vAlign w:val="center"/>
          </w:tcPr>
          <w:p w14:paraId="2A3642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156737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0B60D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restart"/>
            <w:vAlign w:val="center"/>
          </w:tcPr>
          <w:p w14:paraId="5B04E2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HW17</w:t>
            </w:r>
          </w:p>
          <w:p w14:paraId="09170B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表面处理废物</w:t>
            </w:r>
          </w:p>
        </w:tc>
        <w:tc>
          <w:tcPr>
            <w:tcW w:w="750" w:type="pct"/>
            <w:vAlign w:val="center"/>
          </w:tcPr>
          <w:p w14:paraId="56C5267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336-064-17</w:t>
            </w:r>
          </w:p>
        </w:tc>
        <w:tc>
          <w:tcPr>
            <w:tcW w:w="2440" w:type="pct"/>
            <w:vAlign w:val="center"/>
          </w:tcPr>
          <w:p w14:paraId="0DE0D81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金属或塑料表面酸（碱）洗、除油、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w:t>
            </w:r>
          </w:p>
        </w:tc>
        <w:tc>
          <w:tcPr>
            <w:tcW w:w="647" w:type="pct"/>
            <w:vAlign w:val="center"/>
          </w:tcPr>
          <w:p w14:paraId="267D42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T,C</w:t>
            </w:r>
          </w:p>
        </w:tc>
        <w:tc>
          <w:tcPr>
            <w:tcW w:w="638" w:type="pct"/>
            <w:vAlign w:val="center"/>
          </w:tcPr>
          <w:p w14:paraId="392076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50BF06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523" w:type="pct"/>
            <w:vMerge w:val="continue"/>
            <w:vAlign w:val="center"/>
          </w:tcPr>
          <w:p w14:paraId="48B247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9295AB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336-052-17</w:t>
            </w:r>
          </w:p>
        </w:tc>
        <w:tc>
          <w:tcPr>
            <w:tcW w:w="2440" w:type="pct"/>
            <w:vAlign w:val="center"/>
          </w:tcPr>
          <w:p w14:paraId="6F1F32B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使用锌和电镀化学品进行镀锌产生的废槽液、槽渣和废水处理污泥</w:t>
            </w:r>
          </w:p>
        </w:tc>
        <w:tc>
          <w:tcPr>
            <w:tcW w:w="647" w:type="pct"/>
            <w:vAlign w:val="center"/>
          </w:tcPr>
          <w:p w14:paraId="01086D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15A3B2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3022BF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226AFE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52F7B95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336-058-17</w:t>
            </w:r>
          </w:p>
        </w:tc>
        <w:tc>
          <w:tcPr>
            <w:tcW w:w="2440" w:type="pct"/>
            <w:vAlign w:val="center"/>
          </w:tcPr>
          <w:p w14:paraId="3AF2302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使用镀铜液进行化学镀铜产生的废槽液、槽渣和废水处理污泥</w:t>
            </w:r>
          </w:p>
        </w:tc>
        <w:tc>
          <w:tcPr>
            <w:tcW w:w="647" w:type="pct"/>
            <w:vAlign w:val="center"/>
          </w:tcPr>
          <w:p w14:paraId="64B00D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78D1FC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30BDB7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17268C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4A94B7F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336-062-17</w:t>
            </w:r>
          </w:p>
        </w:tc>
        <w:tc>
          <w:tcPr>
            <w:tcW w:w="2440" w:type="pct"/>
            <w:vAlign w:val="center"/>
          </w:tcPr>
          <w:p w14:paraId="3D3FEE3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使用铜和电镀化学品进行镀铜产生的废槽液、槽渣和废水处理污泥</w:t>
            </w:r>
          </w:p>
        </w:tc>
        <w:tc>
          <w:tcPr>
            <w:tcW w:w="647" w:type="pct"/>
            <w:vAlign w:val="center"/>
          </w:tcPr>
          <w:p w14:paraId="79D27C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734D9C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40690E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2607B8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EEA833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pacing w:val="-1"/>
                <w:sz w:val="21"/>
                <w:szCs w:val="21"/>
                <w:highlight w:val="none"/>
                <w:u w:val="single"/>
                <w:lang w:val="en-US" w:eastAsia="zh-CN"/>
              </w:rPr>
              <w:t>336-063-17</w:t>
            </w:r>
          </w:p>
        </w:tc>
        <w:tc>
          <w:tcPr>
            <w:tcW w:w="2440" w:type="pct"/>
            <w:vAlign w:val="center"/>
          </w:tcPr>
          <w:p w14:paraId="0E61B61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其他电镀工艺产生的废槽液、槽渣和废水处理污泥</w:t>
            </w:r>
          </w:p>
        </w:tc>
        <w:tc>
          <w:tcPr>
            <w:tcW w:w="647" w:type="pct"/>
            <w:vAlign w:val="center"/>
          </w:tcPr>
          <w:p w14:paraId="1C900B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7F403C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4493EC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339036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17CC497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z w:val="21"/>
                <w:szCs w:val="21"/>
                <w:highlight w:val="none"/>
                <w:u w:val="single"/>
              </w:rPr>
              <w:t>336-069-17</w:t>
            </w:r>
          </w:p>
        </w:tc>
        <w:tc>
          <w:tcPr>
            <w:tcW w:w="2440" w:type="pct"/>
            <w:vAlign w:val="center"/>
          </w:tcPr>
          <w:p w14:paraId="4AB4CC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使用铬酸镀铬产生的废槽液、槽渣和废水处理污泥</w:t>
            </w:r>
          </w:p>
        </w:tc>
        <w:tc>
          <w:tcPr>
            <w:tcW w:w="647" w:type="pct"/>
            <w:vAlign w:val="center"/>
          </w:tcPr>
          <w:p w14:paraId="0E370B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288A6A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56252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restart"/>
            <w:vAlign w:val="center"/>
          </w:tcPr>
          <w:p w14:paraId="6565AA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HW22</w:t>
            </w:r>
          </w:p>
          <w:p w14:paraId="0F3A59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含铜废物</w:t>
            </w:r>
          </w:p>
        </w:tc>
        <w:tc>
          <w:tcPr>
            <w:tcW w:w="750" w:type="pct"/>
            <w:vAlign w:val="center"/>
          </w:tcPr>
          <w:p w14:paraId="7CD24E6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304-001-22</w:t>
            </w:r>
          </w:p>
        </w:tc>
        <w:tc>
          <w:tcPr>
            <w:tcW w:w="2440" w:type="pct"/>
            <w:vAlign w:val="center"/>
          </w:tcPr>
          <w:p w14:paraId="0086687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使用硫酸铜进行敷金属法镀铜产生的废槽液、槽渣和废水处理污泥</w:t>
            </w:r>
          </w:p>
        </w:tc>
        <w:tc>
          <w:tcPr>
            <w:tcW w:w="647" w:type="pct"/>
            <w:vAlign w:val="center"/>
          </w:tcPr>
          <w:p w14:paraId="01A343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5F2990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560C61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5" w:hRule="atLeast"/>
          <w:jc w:val="center"/>
        </w:trPr>
        <w:tc>
          <w:tcPr>
            <w:tcW w:w="523" w:type="pct"/>
            <w:vMerge w:val="continue"/>
            <w:vAlign w:val="center"/>
          </w:tcPr>
          <w:p w14:paraId="2A2DB09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5828481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398-004-22</w:t>
            </w:r>
          </w:p>
        </w:tc>
        <w:tc>
          <w:tcPr>
            <w:tcW w:w="2440" w:type="pct"/>
            <w:vAlign w:val="center"/>
          </w:tcPr>
          <w:p w14:paraId="4760CCB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线路板生产过程中产生的废蚀铜液</w:t>
            </w:r>
          </w:p>
        </w:tc>
        <w:tc>
          <w:tcPr>
            <w:tcW w:w="647" w:type="pct"/>
            <w:vAlign w:val="center"/>
          </w:tcPr>
          <w:p w14:paraId="55913F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631D34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AD86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restart"/>
            <w:vAlign w:val="center"/>
          </w:tcPr>
          <w:p w14:paraId="4F76EE7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HW29含汞废物</w:t>
            </w:r>
          </w:p>
        </w:tc>
        <w:tc>
          <w:tcPr>
            <w:tcW w:w="750" w:type="pct"/>
            <w:vAlign w:val="center"/>
          </w:tcPr>
          <w:p w14:paraId="3EDEA92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900-023-29</w:t>
            </w:r>
          </w:p>
        </w:tc>
        <w:tc>
          <w:tcPr>
            <w:tcW w:w="2440" w:type="pct"/>
            <w:vAlign w:val="center"/>
          </w:tcPr>
          <w:p w14:paraId="2A1C9B7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包括废含汞荧光灯管和废含汞电光源</w:t>
            </w:r>
          </w:p>
        </w:tc>
        <w:tc>
          <w:tcPr>
            <w:tcW w:w="647" w:type="pct"/>
            <w:vAlign w:val="center"/>
          </w:tcPr>
          <w:p w14:paraId="7963B1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2"/>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582CA3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258B30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2B6102B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13F95E9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900-024-29</w:t>
            </w:r>
          </w:p>
        </w:tc>
        <w:tc>
          <w:tcPr>
            <w:tcW w:w="2440" w:type="pct"/>
            <w:vAlign w:val="center"/>
          </w:tcPr>
          <w:p w14:paraId="655AFEF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生产、销售及使用过程中产生的废含汞温度计、废含汞血压计、废含汞真空表、废含汞压力计、废氧化汞电池和废汞开关</w:t>
            </w:r>
          </w:p>
        </w:tc>
        <w:tc>
          <w:tcPr>
            <w:tcW w:w="647" w:type="pct"/>
            <w:vAlign w:val="center"/>
          </w:tcPr>
          <w:p w14:paraId="590EAB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6DA8DE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284DDA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restart"/>
            <w:vAlign w:val="center"/>
          </w:tcPr>
          <w:p w14:paraId="2D4A4BB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HW31</w:t>
            </w:r>
          </w:p>
          <w:p w14:paraId="56F327B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含铅废物</w:t>
            </w:r>
          </w:p>
        </w:tc>
        <w:tc>
          <w:tcPr>
            <w:tcW w:w="750" w:type="pct"/>
            <w:vAlign w:val="center"/>
          </w:tcPr>
          <w:p w14:paraId="4777BA9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900-052-31</w:t>
            </w:r>
          </w:p>
        </w:tc>
        <w:tc>
          <w:tcPr>
            <w:tcW w:w="2440" w:type="pct"/>
            <w:vAlign w:val="center"/>
          </w:tcPr>
          <w:p w14:paraId="05E06F3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废铅蓄电池及废铅蓄电池拆解过程中产生的废铅板、废铅膏和酸液</w:t>
            </w:r>
          </w:p>
        </w:tc>
        <w:tc>
          <w:tcPr>
            <w:tcW w:w="647" w:type="pct"/>
            <w:vAlign w:val="center"/>
          </w:tcPr>
          <w:p w14:paraId="3D36A1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val="en-US" w:eastAsia="zh-CN" w:bidi="ar"/>
              </w:rPr>
            </w:pPr>
            <w:r>
              <w:rPr>
                <w:rFonts w:hint="default" w:ascii="Times New Roman" w:hAnsi="Times New Roman" w:eastAsia="宋体" w:cs="Times New Roman"/>
                <w:b w:val="0"/>
                <w:bCs w:val="0"/>
                <w:color w:val="auto"/>
                <w:kern w:val="0"/>
                <w:sz w:val="21"/>
                <w:szCs w:val="21"/>
                <w:highlight w:val="none"/>
                <w:u w:val="single"/>
                <w:lang w:bidi="ar"/>
              </w:rPr>
              <w:t>T</w:t>
            </w:r>
            <w:r>
              <w:rPr>
                <w:rFonts w:hint="default" w:ascii="Times New Roman" w:hAnsi="Times New Roman" w:eastAsia="宋体" w:cs="Times New Roman"/>
                <w:b w:val="0"/>
                <w:bCs w:val="0"/>
                <w:color w:val="auto"/>
                <w:kern w:val="0"/>
                <w:sz w:val="21"/>
                <w:szCs w:val="21"/>
                <w:highlight w:val="none"/>
                <w:u w:val="single"/>
                <w:lang w:val="en-US" w:eastAsia="zh-CN" w:bidi="ar"/>
              </w:rPr>
              <w:t>,C</w:t>
            </w:r>
          </w:p>
        </w:tc>
        <w:tc>
          <w:tcPr>
            <w:tcW w:w="638" w:type="pct"/>
            <w:vAlign w:val="center"/>
          </w:tcPr>
          <w:p w14:paraId="397AFF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6FEBA9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387EFB2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F1FF7A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pacing w:val="-1"/>
                <w:sz w:val="21"/>
                <w:szCs w:val="21"/>
                <w:highlight w:val="none"/>
                <w:u w:val="single"/>
                <w:lang w:val="en-US" w:eastAsia="zh-CN"/>
              </w:rPr>
              <w:t>900-025-31</w:t>
            </w:r>
          </w:p>
        </w:tc>
        <w:tc>
          <w:tcPr>
            <w:tcW w:w="2440" w:type="pct"/>
            <w:vAlign w:val="center"/>
          </w:tcPr>
          <w:p w14:paraId="7BD07BD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使用硬脂酸铅进行抗黏涂层过程中产生的废物</w:t>
            </w:r>
          </w:p>
        </w:tc>
        <w:tc>
          <w:tcPr>
            <w:tcW w:w="647" w:type="pct"/>
            <w:vAlign w:val="center"/>
          </w:tcPr>
          <w:p w14:paraId="5575AB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004921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D4A9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59604C5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0F129A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pacing w:val="-1"/>
                <w:sz w:val="21"/>
                <w:szCs w:val="21"/>
                <w:highlight w:val="none"/>
                <w:u w:val="single"/>
                <w:lang w:val="en-US" w:eastAsia="zh-CN"/>
              </w:rPr>
              <w:t>304-002-31</w:t>
            </w:r>
          </w:p>
        </w:tc>
        <w:tc>
          <w:tcPr>
            <w:tcW w:w="2440" w:type="pct"/>
            <w:vAlign w:val="center"/>
          </w:tcPr>
          <w:p w14:paraId="61D7B35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使用铅盐和铅氧化物进行显像管玻璃熔炼过程中产生的废渣</w:t>
            </w:r>
          </w:p>
        </w:tc>
        <w:tc>
          <w:tcPr>
            <w:tcW w:w="647" w:type="pct"/>
            <w:vAlign w:val="center"/>
          </w:tcPr>
          <w:p w14:paraId="10B661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636FBA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001B11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22AC7C0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1CF279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pacing w:val="-1"/>
                <w:sz w:val="21"/>
                <w:szCs w:val="21"/>
                <w:highlight w:val="none"/>
                <w:u w:val="single"/>
                <w:lang w:val="en-US" w:eastAsia="zh-CN"/>
              </w:rPr>
              <w:t>398-052-31</w:t>
            </w:r>
          </w:p>
        </w:tc>
        <w:tc>
          <w:tcPr>
            <w:tcW w:w="2440" w:type="pct"/>
            <w:vAlign w:val="center"/>
          </w:tcPr>
          <w:p w14:paraId="5D0C231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线路板制造过程中电镀铅锡合金产生的废液</w:t>
            </w:r>
          </w:p>
        </w:tc>
        <w:tc>
          <w:tcPr>
            <w:tcW w:w="647" w:type="pct"/>
            <w:vAlign w:val="center"/>
          </w:tcPr>
          <w:p w14:paraId="652A39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7957EB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4DEF3B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restart"/>
            <w:vAlign w:val="center"/>
          </w:tcPr>
          <w:p w14:paraId="7523F20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HW34</w:t>
            </w:r>
          </w:p>
          <w:p w14:paraId="4ED1D2D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废酸</w:t>
            </w:r>
          </w:p>
        </w:tc>
        <w:tc>
          <w:tcPr>
            <w:tcW w:w="750" w:type="pct"/>
            <w:vAlign w:val="center"/>
          </w:tcPr>
          <w:p w14:paraId="7AF3516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900-300-34</w:t>
            </w:r>
          </w:p>
        </w:tc>
        <w:tc>
          <w:tcPr>
            <w:tcW w:w="2440" w:type="pct"/>
            <w:vAlign w:val="center"/>
          </w:tcPr>
          <w:p w14:paraId="5CD595D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使用酸进行清洗产生的废酸液</w:t>
            </w:r>
          </w:p>
        </w:tc>
        <w:tc>
          <w:tcPr>
            <w:tcW w:w="647" w:type="pct"/>
            <w:vAlign w:val="center"/>
          </w:tcPr>
          <w:p w14:paraId="276357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C,T</w:t>
            </w:r>
          </w:p>
        </w:tc>
        <w:tc>
          <w:tcPr>
            <w:tcW w:w="638" w:type="pct"/>
            <w:vAlign w:val="center"/>
          </w:tcPr>
          <w:p w14:paraId="709B00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0084CD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0A01A86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67A964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900-349-34</w:t>
            </w:r>
          </w:p>
        </w:tc>
        <w:tc>
          <w:tcPr>
            <w:tcW w:w="2440" w:type="pct"/>
            <w:vAlign w:val="center"/>
          </w:tcPr>
          <w:p w14:paraId="1E701A3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生产、销售及使用过程中产生的失效、变质、不合格、淘汰、伪劣的强酸性擦洗粉、清洁剂、污迹去除剂以及其他强酸性废酸液和酸渣</w:t>
            </w:r>
          </w:p>
        </w:tc>
        <w:tc>
          <w:tcPr>
            <w:tcW w:w="647" w:type="pct"/>
            <w:vAlign w:val="center"/>
          </w:tcPr>
          <w:p w14:paraId="4E12F3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C,T</w:t>
            </w:r>
          </w:p>
        </w:tc>
        <w:tc>
          <w:tcPr>
            <w:tcW w:w="638" w:type="pct"/>
            <w:vAlign w:val="center"/>
          </w:tcPr>
          <w:p w14:paraId="57335DD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211700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55081E4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2369E11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398-005-34</w:t>
            </w:r>
          </w:p>
        </w:tc>
        <w:tc>
          <w:tcPr>
            <w:tcW w:w="2440" w:type="pct"/>
            <w:vAlign w:val="center"/>
          </w:tcPr>
          <w:p w14:paraId="100DD2A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使用酸进行电解除油、酸蚀、活化前表面敏化、催化、浸亮产生的废酸液</w:t>
            </w:r>
          </w:p>
        </w:tc>
        <w:tc>
          <w:tcPr>
            <w:tcW w:w="647" w:type="pct"/>
            <w:vAlign w:val="center"/>
          </w:tcPr>
          <w:p w14:paraId="5781FD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C,T</w:t>
            </w:r>
          </w:p>
        </w:tc>
        <w:tc>
          <w:tcPr>
            <w:tcW w:w="638" w:type="pct"/>
            <w:vAlign w:val="center"/>
          </w:tcPr>
          <w:p w14:paraId="611296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2B61E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restart"/>
            <w:vAlign w:val="center"/>
          </w:tcPr>
          <w:p w14:paraId="22FF34C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HW35</w:t>
            </w:r>
          </w:p>
          <w:p w14:paraId="5A9107B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废碱</w:t>
            </w:r>
          </w:p>
        </w:tc>
        <w:tc>
          <w:tcPr>
            <w:tcW w:w="750" w:type="pct"/>
            <w:vAlign w:val="center"/>
          </w:tcPr>
          <w:p w14:paraId="0A93867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900-399-35</w:t>
            </w:r>
          </w:p>
        </w:tc>
        <w:tc>
          <w:tcPr>
            <w:tcW w:w="2440" w:type="pct"/>
            <w:vAlign w:val="center"/>
          </w:tcPr>
          <w:p w14:paraId="313C371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生产、销售及使用过程中产生的失效、变质、不合格、淘汰、伪劣的强碱性擦洗粉、清洁剂、污迹去除剂以及其他强碱性废碱液、固态碱和碱渣</w:t>
            </w:r>
          </w:p>
        </w:tc>
        <w:tc>
          <w:tcPr>
            <w:tcW w:w="647" w:type="pct"/>
            <w:vAlign w:val="center"/>
          </w:tcPr>
          <w:p w14:paraId="2F2F70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C,T</w:t>
            </w:r>
          </w:p>
        </w:tc>
        <w:tc>
          <w:tcPr>
            <w:tcW w:w="638" w:type="pct"/>
            <w:vAlign w:val="center"/>
          </w:tcPr>
          <w:p w14:paraId="2744B1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811E3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6444E0B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2238E5F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pacing w:val="-1"/>
                <w:sz w:val="21"/>
                <w:szCs w:val="21"/>
                <w:highlight w:val="none"/>
                <w:u w:val="single"/>
                <w:lang w:val="en-US" w:eastAsia="zh-CN"/>
              </w:rPr>
              <w:t>900-352-35</w:t>
            </w:r>
          </w:p>
        </w:tc>
        <w:tc>
          <w:tcPr>
            <w:tcW w:w="2440" w:type="pct"/>
            <w:vAlign w:val="center"/>
          </w:tcPr>
          <w:p w14:paraId="13AFD13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使用碱进行清洗产生的废碱液</w:t>
            </w:r>
          </w:p>
        </w:tc>
        <w:tc>
          <w:tcPr>
            <w:tcW w:w="647" w:type="pct"/>
            <w:vAlign w:val="center"/>
          </w:tcPr>
          <w:p w14:paraId="6242C7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C,T</w:t>
            </w:r>
          </w:p>
        </w:tc>
        <w:tc>
          <w:tcPr>
            <w:tcW w:w="638" w:type="pct"/>
            <w:vAlign w:val="center"/>
          </w:tcPr>
          <w:p w14:paraId="335E67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79EA6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0BDF933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47DA963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pacing w:val="-1"/>
                <w:sz w:val="21"/>
                <w:szCs w:val="21"/>
                <w:highlight w:val="none"/>
                <w:u w:val="single"/>
                <w:lang w:val="en-US" w:eastAsia="zh-CN"/>
              </w:rPr>
              <w:t>900-353-35</w:t>
            </w:r>
          </w:p>
        </w:tc>
        <w:tc>
          <w:tcPr>
            <w:tcW w:w="2440" w:type="pct"/>
            <w:vAlign w:val="center"/>
          </w:tcPr>
          <w:p w14:paraId="46F142B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使用碱进行清洗除蜡、碱性除油、电解除油产生的废碱液</w:t>
            </w:r>
          </w:p>
        </w:tc>
        <w:tc>
          <w:tcPr>
            <w:tcW w:w="647" w:type="pct"/>
            <w:vAlign w:val="center"/>
          </w:tcPr>
          <w:p w14:paraId="30B977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C,T</w:t>
            </w:r>
          </w:p>
        </w:tc>
        <w:tc>
          <w:tcPr>
            <w:tcW w:w="638" w:type="pct"/>
            <w:vAlign w:val="center"/>
          </w:tcPr>
          <w:p w14:paraId="1512B8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4D5DB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4E47F6B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0D1C41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pacing w:val="-1"/>
                <w:sz w:val="21"/>
                <w:szCs w:val="21"/>
                <w:highlight w:val="none"/>
                <w:u w:val="single"/>
                <w:lang w:val="en-US" w:eastAsia="zh-CN"/>
              </w:rPr>
              <w:t>900-354-35</w:t>
            </w:r>
          </w:p>
        </w:tc>
        <w:tc>
          <w:tcPr>
            <w:tcW w:w="2440" w:type="pct"/>
            <w:vAlign w:val="center"/>
          </w:tcPr>
          <w:p w14:paraId="2B08E9A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使用碱进行电镀阻挡层或抗蚀层的脱除产生的废碱液</w:t>
            </w:r>
          </w:p>
        </w:tc>
        <w:tc>
          <w:tcPr>
            <w:tcW w:w="647" w:type="pct"/>
            <w:vAlign w:val="center"/>
          </w:tcPr>
          <w:p w14:paraId="5E72DE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C,T</w:t>
            </w:r>
          </w:p>
        </w:tc>
        <w:tc>
          <w:tcPr>
            <w:tcW w:w="638" w:type="pct"/>
            <w:vAlign w:val="center"/>
          </w:tcPr>
          <w:p w14:paraId="737A94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31E9A3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restart"/>
            <w:vAlign w:val="center"/>
          </w:tcPr>
          <w:p w14:paraId="44682F7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Style w:val="95"/>
                <w:rFonts w:hint="default" w:ascii="Times New Roman" w:hAnsi="Times New Roman" w:eastAsia="宋体" w:cs="Times New Roman"/>
                <w:b w:val="0"/>
                <w:bCs w:val="0"/>
                <w:color w:val="auto"/>
                <w:kern w:val="0"/>
                <w:sz w:val="21"/>
                <w:szCs w:val="21"/>
                <w:highlight w:val="none"/>
                <w:u w:val="single"/>
                <w:vertAlign w:val="baseline"/>
                <w:lang w:bidi="ar"/>
              </w:rPr>
              <w:t>HW36石棉废物</w:t>
            </w:r>
          </w:p>
        </w:tc>
        <w:tc>
          <w:tcPr>
            <w:tcW w:w="750" w:type="pct"/>
            <w:vAlign w:val="center"/>
          </w:tcPr>
          <w:p w14:paraId="5125F6C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900-032-36</w:t>
            </w:r>
          </w:p>
        </w:tc>
        <w:tc>
          <w:tcPr>
            <w:tcW w:w="2440" w:type="pct"/>
            <w:vAlign w:val="center"/>
          </w:tcPr>
          <w:p w14:paraId="1AE4318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含有隔膜、热绝缘体等石棉材料的设施保养拆换及车辆制动器衬片的更换产生的石棉废物</w:t>
            </w:r>
          </w:p>
        </w:tc>
        <w:tc>
          <w:tcPr>
            <w:tcW w:w="647" w:type="pct"/>
            <w:vAlign w:val="center"/>
          </w:tcPr>
          <w:p w14:paraId="2DCC0E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0BE04AF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5D92B4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1179DA79">
            <w:pPr>
              <w:keepNext w:val="0"/>
              <w:keepLines w:val="0"/>
              <w:widowControl/>
              <w:suppressLineNumbers w:val="0"/>
              <w:adjustRightInd w:val="0"/>
              <w:snapToGrid w:val="0"/>
              <w:spacing w:before="0" w:beforeAutospacing="0" w:after="0" w:afterAutospacing="0"/>
              <w:ind w:left="0" w:right="0"/>
              <w:jc w:val="center"/>
              <w:textAlignment w:val="center"/>
              <w:rPr>
                <w:rStyle w:val="95"/>
                <w:rFonts w:hint="default" w:ascii="Times New Roman" w:hAnsi="Times New Roman" w:eastAsia="宋体" w:cs="Times New Roman"/>
                <w:b w:val="0"/>
                <w:bCs w:val="0"/>
                <w:color w:val="auto"/>
                <w:kern w:val="0"/>
                <w:sz w:val="21"/>
                <w:szCs w:val="21"/>
                <w:highlight w:val="none"/>
                <w:u w:val="single"/>
                <w:vertAlign w:val="baseline"/>
                <w:lang w:bidi="ar"/>
              </w:rPr>
            </w:pPr>
          </w:p>
        </w:tc>
        <w:tc>
          <w:tcPr>
            <w:tcW w:w="750" w:type="pct"/>
            <w:vAlign w:val="center"/>
          </w:tcPr>
          <w:p w14:paraId="04E3F76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900-030-36</w:t>
            </w:r>
          </w:p>
        </w:tc>
        <w:tc>
          <w:tcPr>
            <w:tcW w:w="2440" w:type="pct"/>
            <w:vAlign w:val="center"/>
          </w:tcPr>
          <w:p w14:paraId="36A825D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其他生产过程中产生的石棉废物</w:t>
            </w:r>
          </w:p>
        </w:tc>
        <w:tc>
          <w:tcPr>
            <w:tcW w:w="647" w:type="pct"/>
            <w:vAlign w:val="center"/>
          </w:tcPr>
          <w:p w14:paraId="49F370C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106244F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2134E3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523" w:type="pct"/>
            <w:vMerge w:val="continue"/>
            <w:vAlign w:val="center"/>
          </w:tcPr>
          <w:p w14:paraId="10A5E396">
            <w:pPr>
              <w:keepNext w:val="0"/>
              <w:keepLines w:val="0"/>
              <w:widowControl/>
              <w:suppressLineNumbers w:val="0"/>
              <w:adjustRightInd w:val="0"/>
              <w:snapToGrid w:val="0"/>
              <w:spacing w:before="0" w:beforeAutospacing="0" w:after="0" w:afterAutospacing="0"/>
              <w:ind w:left="0" w:right="0"/>
              <w:jc w:val="center"/>
              <w:textAlignment w:val="center"/>
              <w:rPr>
                <w:rStyle w:val="95"/>
                <w:rFonts w:hint="default" w:ascii="Times New Roman" w:hAnsi="Times New Roman" w:eastAsia="宋体" w:cs="Times New Roman"/>
                <w:b w:val="0"/>
                <w:bCs w:val="0"/>
                <w:color w:val="auto"/>
                <w:kern w:val="0"/>
                <w:sz w:val="21"/>
                <w:szCs w:val="21"/>
                <w:highlight w:val="none"/>
                <w:u w:val="single"/>
                <w:vertAlign w:val="baseline"/>
                <w:lang w:bidi="ar"/>
              </w:rPr>
            </w:pPr>
          </w:p>
        </w:tc>
        <w:tc>
          <w:tcPr>
            <w:tcW w:w="750" w:type="pct"/>
            <w:vAlign w:val="center"/>
          </w:tcPr>
          <w:p w14:paraId="6EED134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spacing w:val="-1"/>
                <w:position w:val="-2"/>
                <w:sz w:val="21"/>
                <w:szCs w:val="21"/>
                <w:highlight w:val="none"/>
                <w:u w:val="single"/>
                <w:lang w:val="en-US" w:eastAsia="zh-CN"/>
              </w:rPr>
              <w:t>367-001-36</w:t>
            </w:r>
          </w:p>
        </w:tc>
        <w:tc>
          <w:tcPr>
            <w:tcW w:w="2440" w:type="pct"/>
            <w:vAlign w:val="center"/>
          </w:tcPr>
          <w:p w14:paraId="67BC437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车辆制动器衬片生产过程中产生的石棉废物</w:t>
            </w:r>
          </w:p>
        </w:tc>
        <w:tc>
          <w:tcPr>
            <w:tcW w:w="647" w:type="pct"/>
            <w:vAlign w:val="center"/>
          </w:tcPr>
          <w:p w14:paraId="783E20D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7AC2248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69E7D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 w:hRule="atLeast"/>
          <w:jc w:val="center"/>
        </w:trPr>
        <w:tc>
          <w:tcPr>
            <w:tcW w:w="523" w:type="pct"/>
            <w:vMerge w:val="restart"/>
            <w:vAlign w:val="center"/>
          </w:tcPr>
          <w:p w14:paraId="1EEDAE5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Style w:val="95"/>
                <w:rFonts w:hint="default" w:ascii="Times New Roman" w:hAnsi="Times New Roman" w:eastAsia="宋体" w:cs="Times New Roman"/>
                <w:b w:val="0"/>
                <w:bCs w:val="0"/>
                <w:color w:val="auto"/>
                <w:kern w:val="0"/>
                <w:sz w:val="21"/>
                <w:szCs w:val="21"/>
                <w:highlight w:val="none"/>
                <w:u w:val="single"/>
                <w:vertAlign w:val="baseline"/>
                <w:lang w:bidi="ar"/>
              </w:rPr>
              <w:t>HW49其他废物</w:t>
            </w:r>
          </w:p>
        </w:tc>
        <w:tc>
          <w:tcPr>
            <w:tcW w:w="750" w:type="pct"/>
            <w:vAlign w:val="center"/>
          </w:tcPr>
          <w:p w14:paraId="4391E7A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900-039-49</w:t>
            </w:r>
          </w:p>
        </w:tc>
        <w:tc>
          <w:tcPr>
            <w:tcW w:w="2440" w:type="pct"/>
            <w:vAlign w:val="center"/>
          </w:tcPr>
          <w:p w14:paraId="0650985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烟气、VOCs治理过程（不包括餐饮行业油烟治理过程）产生的废活性炭，化学原料和化学制品脱色（不包括有机合成食品添加剂脱色）、除杂、净化过程产生的废活性炭（不包括900-405-06、772-005-18、261-053-29、265-002-29、384-003-29、387-001-29类废物）</w:t>
            </w:r>
          </w:p>
        </w:tc>
        <w:tc>
          <w:tcPr>
            <w:tcW w:w="647" w:type="pct"/>
            <w:vAlign w:val="center"/>
          </w:tcPr>
          <w:p w14:paraId="5EB0E0C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69FAA31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4C35B1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 w:hRule="atLeast"/>
          <w:jc w:val="center"/>
        </w:trPr>
        <w:tc>
          <w:tcPr>
            <w:tcW w:w="523" w:type="pct"/>
            <w:vMerge w:val="continue"/>
            <w:vAlign w:val="center"/>
          </w:tcPr>
          <w:p w14:paraId="2CDCDE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5C789F4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900-041-49</w:t>
            </w:r>
          </w:p>
        </w:tc>
        <w:tc>
          <w:tcPr>
            <w:tcW w:w="2440" w:type="pct"/>
            <w:vAlign w:val="center"/>
          </w:tcPr>
          <w:p w14:paraId="172A374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含有或沾染毒性、感染性危险废物的废弃包装物、容器、过滤吸附介质</w:t>
            </w:r>
          </w:p>
        </w:tc>
        <w:tc>
          <w:tcPr>
            <w:tcW w:w="647" w:type="pct"/>
            <w:vAlign w:val="center"/>
          </w:tcPr>
          <w:p w14:paraId="14A416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T/In</w:t>
            </w:r>
          </w:p>
        </w:tc>
        <w:tc>
          <w:tcPr>
            <w:tcW w:w="638" w:type="pct"/>
            <w:vAlign w:val="center"/>
          </w:tcPr>
          <w:p w14:paraId="114155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3B3E1D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 w:hRule="atLeast"/>
          <w:jc w:val="center"/>
        </w:trPr>
        <w:tc>
          <w:tcPr>
            <w:tcW w:w="523" w:type="pct"/>
            <w:vMerge w:val="continue"/>
            <w:vAlign w:val="center"/>
          </w:tcPr>
          <w:p w14:paraId="13476E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1F1CAE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900-042-49</w:t>
            </w:r>
          </w:p>
        </w:tc>
        <w:tc>
          <w:tcPr>
            <w:tcW w:w="2440" w:type="pct"/>
            <w:vAlign w:val="center"/>
          </w:tcPr>
          <w:p w14:paraId="64C64B1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环境事件及其处理过程中产生的沾染危险化学品、危险废物的废物</w:t>
            </w:r>
          </w:p>
        </w:tc>
        <w:tc>
          <w:tcPr>
            <w:tcW w:w="647" w:type="pct"/>
            <w:vAlign w:val="center"/>
          </w:tcPr>
          <w:p w14:paraId="007B81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T/C/I/R/In</w:t>
            </w:r>
          </w:p>
        </w:tc>
        <w:tc>
          <w:tcPr>
            <w:tcW w:w="638" w:type="pct"/>
            <w:vAlign w:val="center"/>
          </w:tcPr>
          <w:p w14:paraId="2CFB8D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1D71FF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 w:hRule="atLeast"/>
          <w:jc w:val="center"/>
        </w:trPr>
        <w:tc>
          <w:tcPr>
            <w:tcW w:w="523" w:type="pct"/>
            <w:vMerge w:val="continue"/>
            <w:vAlign w:val="center"/>
          </w:tcPr>
          <w:p w14:paraId="023579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1C97AAA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900-044-49</w:t>
            </w:r>
          </w:p>
        </w:tc>
        <w:tc>
          <w:tcPr>
            <w:tcW w:w="2440" w:type="pct"/>
            <w:vAlign w:val="center"/>
          </w:tcPr>
          <w:p w14:paraId="01D9066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废弃的镉镍电池、荧光粉和阴极射线管</w:t>
            </w:r>
          </w:p>
        </w:tc>
        <w:tc>
          <w:tcPr>
            <w:tcW w:w="647" w:type="pct"/>
            <w:vAlign w:val="center"/>
          </w:tcPr>
          <w:p w14:paraId="08562F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w:t>
            </w:r>
          </w:p>
        </w:tc>
        <w:tc>
          <w:tcPr>
            <w:tcW w:w="638" w:type="pct"/>
            <w:vAlign w:val="center"/>
          </w:tcPr>
          <w:p w14:paraId="4D3000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3DB1F7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 w:hRule="atLeast"/>
          <w:jc w:val="center"/>
        </w:trPr>
        <w:tc>
          <w:tcPr>
            <w:tcW w:w="523" w:type="pct"/>
            <w:vMerge w:val="continue"/>
            <w:vAlign w:val="center"/>
          </w:tcPr>
          <w:p w14:paraId="0239BC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39F2ED8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900-045-49</w:t>
            </w:r>
          </w:p>
        </w:tc>
        <w:tc>
          <w:tcPr>
            <w:tcW w:w="2440" w:type="pct"/>
            <w:vAlign w:val="center"/>
          </w:tcPr>
          <w:p w14:paraId="3DF7851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废电路板（包括已拆除或未拆除元器件的废弃电路板），及废电路板拆解过程产生的废弃CPU、显卡、声卡、内存、含电解液的电容器、含金等贵金属的连接件</w:t>
            </w:r>
          </w:p>
        </w:tc>
        <w:tc>
          <w:tcPr>
            <w:tcW w:w="647" w:type="pct"/>
            <w:vAlign w:val="center"/>
          </w:tcPr>
          <w:p w14:paraId="0C1DB1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w:t>
            </w:r>
          </w:p>
        </w:tc>
        <w:tc>
          <w:tcPr>
            <w:tcW w:w="638" w:type="pct"/>
            <w:vAlign w:val="center"/>
          </w:tcPr>
          <w:p w14:paraId="70190D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37F988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 w:hRule="atLeast"/>
          <w:jc w:val="center"/>
        </w:trPr>
        <w:tc>
          <w:tcPr>
            <w:tcW w:w="523" w:type="pct"/>
            <w:vMerge w:val="continue"/>
            <w:vAlign w:val="center"/>
          </w:tcPr>
          <w:p w14:paraId="68FACB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04549F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900-046-49</w:t>
            </w:r>
          </w:p>
        </w:tc>
        <w:tc>
          <w:tcPr>
            <w:tcW w:w="2440" w:type="pct"/>
            <w:vAlign w:val="center"/>
          </w:tcPr>
          <w:p w14:paraId="3D3BFE4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离子交换装置（不包括饮用水、工业纯水和锅炉软化水制备装置）再生过程中产生的废水处理污泥</w:t>
            </w:r>
          </w:p>
        </w:tc>
        <w:tc>
          <w:tcPr>
            <w:tcW w:w="647" w:type="pct"/>
            <w:vAlign w:val="center"/>
          </w:tcPr>
          <w:p w14:paraId="62A65B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I</w:t>
            </w:r>
          </w:p>
        </w:tc>
        <w:tc>
          <w:tcPr>
            <w:tcW w:w="638" w:type="pct"/>
            <w:vAlign w:val="center"/>
          </w:tcPr>
          <w:p w14:paraId="53FA5F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0FB402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 w:hRule="atLeast"/>
          <w:jc w:val="center"/>
        </w:trPr>
        <w:tc>
          <w:tcPr>
            <w:tcW w:w="523" w:type="pct"/>
            <w:vMerge w:val="continue"/>
            <w:vAlign w:val="center"/>
          </w:tcPr>
          <w:p w14:paraId="4C6968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2A6E1D6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900-047-49</w:t>
            </w:r>
          </w:p>
        </w:tc>
        <w:tc>
          <w:tcPr>
            <w:tcW w:w="2440" w:type="pct"/>
            <w:vAlign w:val="center"/>
          </w:tcPr>
          <w:p w14:paraId="00F2658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生产、研究、开发、教学、环境检测（监测）活动中，化学和生物实验室（不包含感染性医学实验室及医疗机构化验室）产生的含氰、氟、重金属无机废液及无机废液处理产生的残渣、残液，含矿物油、有机溶剂、甲醛有机废液，废酸、废碱，具有危险特性的残留样品，以及沾染上述物质的一次性实验用品（不包括按实验室管理要求进行清洗后的废弃的烧杯、量器、漏斗等实验室用品）、包装物（不包括按实验室管理要求进行清洗后的试剂包装物、容器）、过滤吸附介质等</w:t>
            </w:r>
          </w:p>
        </w:tc>
        <w:tc>
          <w:tcPr>
            <w:tcW w:w="647" w:type="pct"/>
            <w:vAlign w:val="center"/>
          </w:tcPr>
          <w:p w14:paraId="461318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T/C/I/R</w:t>
            </w:r>
          </w:p>
        </w:tc>
        <w:tc>
          <w:tcPr>
            <w:tcW w:w="638" w:type="pct"/>
            <w:vAlign w:val="center"/>
          </w:tcPr>
          <w:p w14:paraId="1786E4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55759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 w:hRule="atLeast"/>
          <w:jc w:val="center"/>
        </w:trPr>
        <w:tc>
          <w:tcPr>
            <w:tcW w:w="523" w:type="pct"/>
            <w:vMerge w:val="continue"/>
            <w:vAlign w:val="center"/>
          </w:tcPr>
          <w:p w14:paraId="609650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581BA3D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900-999-49</w:t>
            </w:r>
          </w:p>
        </w:tc>
        <w:tc>
          <w:tcPr>
            <w:tcW w:w="2440" w:type="pct"/>
            <w:vAlign w:val="center"/>
          </w:tcPr>
          <w:p w14:paraId="0E2AEE0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被所有者申报废弃的，或未申报废弃但被非法排放、倾倒、利用、处置的，以及有关部门依法收缴或接收且需要销毁的列入《危险化学品目录》的危险化学品（不含该目录中仅具有“加压气体”物理危险性的危险化学品）</w:t>
            </w:r>
          </w:p>
        </w:tc>
        <w:tc>
          <w:tcPr>
            <w:tcW w:w="647" w:type="pct"/>
            <w:vAlign w:val="center"/>
          </w:tcPr>
          <w:p w14:paraId="143A90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T/C/I/R</w:t>
            </w:r>
          </w:p>
        </w:tc>
        <w:tc>
          <w:tcPr>
            <w:tcW w:w="638" w:type="pct"/>
            <w:vAlign w:val="center"/>
          </w:tcPr>
          <w:p w14:paraId="62FDEC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6F6E41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 w:hRule="atLeast"/>
          <w:jc w:val="center"/>
        </w:trPr>
        <w:tc>
          <w:tcPr>
            <w:tcW w:w="523" w:type="pct"/>
            <w:vMerge w:val="continue"/>
            <w:vAlign w:val="center"/>
          </w:tcPr>
          <w:p w14:paraId="18C191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1A71B97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rPr>
              <w:t>772-006-49</w:t>
            </w:r>
          </w:p>
        </w:tc>
        <w:tc>
          <w:tcPr>
            <w:tcW w:w="2440" w:type="pct"/>
            <w:vAlign w:val="center"/>
          </w:tcPr>
          <w:p w14:paraId="7A0F54C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采用物理、化学、物理化学或生物方法处理或处置毒性或感染性危险废物过程中产生的废水处理污泥、残渣（液）</w:t>
            </w:r>
          </w:p>
        </w:tc>
        <w:tc>
          <w:tcPr>
            <w:tcW w:w="647" w:type="pct"/>
            <w:vAlign w:val="center"/>
          </w:tcPr>
          <w:p w14:paraId="19BE4C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w:t>
            </w:r>
          </w:p>
        </w:tc>
        <w:tc>
          <w:tcPr>
            <w:tcW w:w="638" w:type="pct"/>
            <w:vAlign w:val="center"/>
          </w:tcPr>
          <w:p w14:paraId="05EA1D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290F88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523" w:type="pct"/>
            <w:vMerge w:val="restart"/>
            <w:vAlign w:val="center"/>
          </w:tcPr>
          <w:p w14:paraId="4BA045E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HW50废催化剂</w:t>
            </w:r>
          </w:p>
        </w:tc>
        <w:tc>
          <w:tcPr>
            <w:tcW w:w="750" w:type="pct"/>
            <w:vAlign w:val="center"/>
          </w:tcPr>
          <w:p w14:paraId="62D88F1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261-151-50</w:t>
            </w:r>
          </w:p>
        </w:tc>
        <w:tc>
          <w:tcPr>
            <w:tcW w:w="2440" w:type="pct"/>
            <w:vAlign w:val="center"/>
          </w:tcPr>
          <w:p w14:paraId="7B16227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树脂、乳胶、增塑剂、胶水/胶合剂生产过程中合成、酯化、缩合等工序产生的废催化剂</w:t>
            </w:r>
          </w:p>
        </w:tc>
        <w:tc>
          <w:tcPr>
            <w:tcW w:w="647" w:type="pct"/>
            <w:vAlign w:val="center"/>
          </w:tcPr>
          <w:p w14:paraId="614D905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0A7D731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20C42B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523" w:type="pct"/>
            <w:vMerge w:val="continue"/>
            <w:vAlign w:val="center"/>
          </w:tcPr>
          <w:p w14:paraId="0BB79B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478D19A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900-048-50</w:t>
            </w:r>
          </w:p>
        </w:tc>
        <w:tc>
          <w:tcPr>
            <w:tcW w:w="2440" w:type="pct"/>
            <w:vAlign w:val="center"/>
          </w:tcPr>
          <w:p w14:paraId="68C7DEF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废液体催化剂</w:t>
            </w:r>
          </w:p>
        </w:tc>
        <w:tc>
          <w:tcPr>
            <w:tcW w:w="647" w:type="pct"/>
            <w:vAlign w:val="center"/>
          </w:tcPr>
          <w:p w14:paraId="1F2CDA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w:t>
            </w:r>
          </w:p>
        </w:tc>
        <w:tc>
          <w:tcPr>
            <w:tcW w:w="638" w:type="pct"/>
            <w:vAlign w:val="center"/>
          </w:tcPr>
          <w:p w14:paraId="660BE94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444225F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523" w:type="pct"/>
            <w:vMerge w:val="continue"/>
            <w:vAlign w:val="center"/>
          </w:tcPr>
          <w:p w14:paraId="5575D4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23937A3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900-049-50</w:t>
            </w:r>
          </w:p>
        </w:tc>
        <w:tc>
          <w:tcPr>
            <w:tcW w:w="2440" w:type="pct"/>
            <w:vAlign w:val="center"/>
          </w:tcPr>
          <w:p w14:paraId="3F2EC05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机动车和非道路移动机械尾气净化废催化剂</w:t>
            </w:r>
          </w:p>
        </w:tc>
        <w:tc>
          <w:tcPr>
            <w:tcW w:w="647" w:type="pct"/>
            <w:vAlign w:val="center"/>
          </w:tcPr>
          <w:p w14:paraId="58795A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w:t>
            </w:r>
          </w:p>
        </w:tc>
        <w:tc>
          <w:tcPr>
            <w:tcW w:w="638" w:type="pct"/>
            <w:vAlign w:val="center"/>
          </w:tcPr>
          <w:p w14:paraId="29871D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6EEC3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3" w:hRule="atLeast"/>
          <w:jc w:val="center"/>
        </w:trPr>
        <w:tc>
          <w:tcPr>
            <w:tcW w:w="523" w:type="pct"/>
            <w:vMerge w:val="continue"/>
            <w:vAlign w:val="center"/>
          </w:tcPr>
          <w:p w14:paraId="54DF4B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580094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 xml:space="preserve"> 772-007-50</w:t>
            </w:r>
          </w:p>
        </w:tc>
        <w:tc>
          <w:tcPr>
            <w:tcW w:w="2440" w:type="pct"/>
            <w:vAlign w:val="center"/>
          </w:tcPr>
          <w:p w14:paraId="7965AF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color w:val="000000"/>
                <w:kern w:val="0"/>
                <w:sz w:val="21"/>
                <w:szCs w:val="21"/>
                <w:u w:val="single"/>
                <w:lang w:val="en-US" w:eastAsia="zh-CN" w:bidi="ar"/>
              </w:rPr>
              <w:t>烟气脱硝过程中产生的废钒钛系催化剂</w:t>
            </w:r>
          </w:p>
        </w:tc>
        <w:tc>
          <w:tcPr>
            <w:tcW w:w="647" w:type="pct"/>
            <w:vAlign w:val="center"/>
          </w:tcPr>
          <w:p w14:paraId="748B41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val="en-US" w:eastAsia="zh-CN"/>
              </w:rPr>
            </w:pPr>
            <w:r>
              <w:rPr>
                <w:rFonts w:hint="default" w:ascii="Times New Roman" w:hAnsi="Times New Roman" w:eastAsia="宋体" w:cs="Times New Roman"/>
                <w:b w:val="0"/>
                <w:bCs w:val="0"/>
                <w:color w:val="auto"/>
                <w:kern w:val="0"/>
                <w:sz w:val="21"/>
                <w:szCs w:val="21"/>
                <w:highlight w:val="none"/>
                <w:u w:val="single"/>
                <w:lang w:val="en-US" w:eastAsia="zh-CN"/>
              </w:rPr>
              <w:t>T</w:t>
            </w:r>
          </w:p>
        </w:tc>
        <w:tc>
          <w:tcPr>
            <w:tcW w:w="638" w:type="pct"/>
            <w:vAlign w:val="center"/>
          </w:tcPr>
          <w:p w14:paraId="4FAFED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新增种类</w:t>
            </w:r>
          </w:p>
        </w:tc>
      </w:tr>
      <w:tr w14:paraId="02649F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restart"/>
            <w:vAlign w:val="center"/>
          </w:tcPr>
          <w:p w14:paraId="77C79A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HW08废矿物油与含废矿物油废物</w:t>
            </w:r>
          </w:p>
        </w:tc>
        <w:tc>
          <w:tcPr>
            <w:tcW w:w="750" w:type="pct"/>
            <w:vAlign w:val="center"/>
          </w:tcPr>
          <w:p w14:paraId="4B68F47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900-199-08</w:t>
            </w:r>
          </w:p>
        </w:tc>
        <w:tc>
          <w:tcPr>
            <w:tcW w:w="2440" w:type="pct"/>
            <w:vAlign w:val="center"/>
          </w:tcPr>
          <w:p w14:paraId="7B9C65B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内燃机、汽车、轮船等集中拆解过程产生的废矿物油及油泥</w:t>
            </w:r>
          </w:p>
        </w:tc>
        <w:tc>
          <w:tcPr>
            <w:tcW w:w="647" w:type="pct"/>
            <w:vAlign w:val="center"/>
          </w:tcPr>
          <w:p w14:paraId="4120C9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T，I</w:t>
            </w:r>
          </w:p>
        </w:tc>
        <w:tc>
          <w:tcPr>
            <w:tcW w:w="638" w:type="pct"/>
            <w:vAlign w:val="center"/>
          </w:tcPr>
          <w:p w14:paraId="60ACC0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0882B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327BA1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4654E2F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900-200-08</w:t>
            </w:r>
          </w:p>
        </w:tc>
        <w:tc>
          <w:tcPr>
            <w:tcW w:w="2440" w:type="pct"/>
            <w:vAlign w:val="center"/>
          </w:tcPr>
          <w:p w14:paraId="4D42D81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珩磨、研磨、打磨过程产生的废矿物油及油泥</w:t>
            </w:r>
          </w:p>
        </w:tc>
        <w:tc>
          <w:tcPr>
            <w:tcW w:w="647" w:type="pct"/>
            <w:vAlign w:val="center"/>
          </w:tcPr>
          <w:p w14:paraId="7181B66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787DE9F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65F9B5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43D973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3E3DBD2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900-201-08</w:t>
            </w:r>
          </w:p>
        </w:tc>
        <w:tc>
          <w:tcPr>
            <w:tcW w:w="2440" w:type="pct"/>
            <w:vAlign w:val="center"/>
          </w:tcPr>
          <w:p w14:paraId="58C9BF8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清洗金属零部件过程中产生的废弃煤油、柴油、汽油及其他由石油和煤炼制生产的溶剂油</w:t>
            </w:r>
          </w:p>
        </w:tc>
        <w:tc>
          <w:tcPr>
            <w:tcW w:w="647" w:type="pct"/>
            <w:vAlign w:val="center"/>
          </w:tcPr>
          <w:p w14:paraId="64BBA08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19CF2A7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42654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4F4951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093D5FE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900-203-08</w:t>
            </w:r>
          </w:p>
        </w:tc>
        <w:tc>
          <w:tcPr>
            <w:tcW w:w="2440" w:type="pct"/>
            <w:vAlign w:val="center"/>
          </w:tcPr>
          <w:p w14:paraId="5AF3714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使用淬火油进行表面硬化处理产生的废矿物油</w:t>
            </w:r>
          </w:p>
        </w:tc>
        <w:tc>
          <w:tcPr>
            <w:tcW w:w="647" w:type="pct"/>
            <w:vAlign w:val="center"/>
          </w:tcPr>
          <w:p w14:paraId="23085E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772B29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7D3764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0FDD4F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2F9C9B8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900-204-08</w:t>
            </w:r>
          </w:p>
        </w:tc>
        <w:tc>
          <w:tcPr>
            <w:tcW w:w="2440" w:type="pct"/>
            <w:vAlign w:val="center"/>
          </w:tcPr>
          <w:p w14:paraId="57B29A9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使用轧制油、冷却剂及酸进行金属轧制产生的废矿物油</w:t>
            </w:r>
          </w:p>
        </w:tc>
        <w:tc>
          <w:tcPr>
            <w:tcW w:w="647" w:type="pct"/>
            <w:vAlign w:val="center"/>
          </w:tcPr>
          <w:p w14:paraId="392E02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60026D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5A289B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3D8799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5456024A">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900-205-08</w:t>
            </w:r>
          </w:p>
        </w:tc>
        <w:tc>
          <w:tcPr>
            <w:tcW w:w="2440" w:type="pct"/>
            <w:vAlign w:val="center"/>
          </w:tcPr>
          <w:p w14:paraId="6511074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镀锡及焊锡回收工艺产生的废矿物油</w:t>
            </w:r>
          </w:p>
        </w:tc>
        <w:tc>
          <w:tcPr>
            <w:tcW w:w="647" w:type="pct"/>
            <w:vAlign w:val="center"/>
          </w:tcPr>
          <w:p w14:paraId="392B9F3D">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w:t>
            </w:r>
          </w:p>
        </w:tc>
        <w:tc>
          <w:tcPr>
            <w:tcW w:w="638" w:type="pct"/>
            <w:vAlign w:val="center"/>
          </w:tcPr>
          <w:p w14:paraId="1055A9B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5ED0DC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6D7A90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0935EC1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900-209-08</w:t>
            </w:r>
          </w:p>
        </w:tc>
        <w:tc>
          <w:tcPr>
            <w:tcW w:w="2440" w:type="pct"/>
            <w:vAlign w:val="center"/>
          </w:tcPr>
          <w:p w14:paraId="46CD39B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金属、塑料的定型和物理机械表面处理过程中产生的废石蜡和润滑油</w:t>
            </w:r>
          </w:p>
        </w:tc>
        <w:tc>
          <w:tcPr>
            <w:tcW w:w="647" w:type="pct"/>
            <w:vAlign w:val="center"/>
          </w:tcPr>
          <w:p w14:paraId="5A74695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67445A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62E87E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7A7318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7A473BB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900-210-08</w:t>
            </w:r>
          </w:p>
        </w:tc>
        <w:tc>
          <w:tcPr>
            <w:tcW w:w="2440" w:type="pct"/>
            <w:vAlign w:val="center"/>
          </w:tcPr>
          <w:p w14:paraId="2AE2498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含油废水处理中隔油、气浮、沉淀等处理过程中产生的浮油、浮渣和污泥（不包括废水生化处理污泥）</w:t>
            </w:r>
          </w:p>
        </w:tc>
        <w:tc>
          <w:tcPr>
            <w:tcW w:w="647" w:type="pct"/>
            <w:vAlign w:val="center"/>
          </w:tcPr>
          <w:p w14:paraId="74C293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rPr>
              <w:t>T</w:t>
            </w:r>
            <w:r>
              <w:rPr>
                <w:rFonts w:hint="default" w:ascii="Times New Roman" w:hAnsi="Times New Roman" w:eastAsia="宋体" w:cs="Times New Roman"/>
                <w:b w:val="0"/>
                <w:bCs w:val="0"/>
                <w:color w:val="auto"/>
                <w:kern w:val="0"/>
                <w:sz w:val="21"/>
                <w:szCs w:val="21"/>
                <w:highlight w:val="none"/>
                <w:u w:val="single"/>
                <w:lang w:bidi="ar"/>
              </w:rPr>
              <w:t>，I</w:t>
            </w:r>
          </w:p>
        </w:tc>
        <w:tc>
          <w:tcPr>
            <w:tcW w:w="638" w:type="pct"/>
            <w:vAlign w:val="center"/>
          </w:tcPr>
          <w:p w14:paraId="2A292A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6BBC72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50621C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17F2449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900-213-08</w:t>
            </w:r>
          </w:p>
        </w:tc>
        <w:tc>
          <w:tcPr>
            <w:tcW w:w="2440" w:type="pct"/>
            <w:vAlign w:val="center"/>
          </w:tcPr>
          <w:p w14:paraId="34919FF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废矿物油再生净化过程中产生的沉淀残渣、过滤残渣、废过滤吸附介质</w:t>
            </w:r>
          </w:p>
        </w:tc>
        <w:tc>
          <w:tcPr>
            <w:tcW w:w="647" w:type="pct"/>
            <w:vAlign w:val="center"/>
          </w:tcPr>
          <w:p w14:paraId="677276B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5B01758E">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eastAsia" w:ascii="Times New Roman" w:hAnsi="Times New Roman" w:cs="Times New Roman"/>
                <w:b w:val="0"/>
                <w:bCs w:val="0"/>
                <w:color w:val="auto"/>
                <w:kern w:val="0"/>
                <w:sz w:val="21"/>
                <w:szCs w:val="21"/>
                <w:highlight w:val="green"/>
                <w:u w:val="single"/>
                <w:lang w:eastAsia="zh-CN" w:bidi="ar"/>
              </w:rPr>
              <w:t>新增</w:t>
            </w:r>
            <w:r>
              <w:rPr>
                <w:rFonts w:hint="default" w:ascii="Times New Roman" w:hAnsi="Times New Roman" w:eastAsia="宋体" w:cs="Times New Roman"/>
                <w:b w:val="0"/>
                <w:bCs w:val="0"/>
                <w:color w:val="auto"/>
                <w:kern w:val="0"/>
                <w:sz w:val="21"/>
                <w:szCs w:val="21"/>
                <w:highlight w:val="green"/>
                <w:u w:val="single"/>
                <w:lang w:bidi="ar"/>
              </w:rPr>
              <w:t>种类</w:t>
            </w:r>
          </w:p>
        </w:tc>
      </w:tr>
      <w:tr w14:paraId="073D11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45545B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A994FB2">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900-214-08</w:t>
            </w:r>
          </w:p>
        </w:tc>
        <w:tc>
          <w:tcPr>
            <w:tcW w:w="2440" w:type="pct"/>
            <w:vAlign w:val="center"/>
          </w:tcPr>
          <w:p w14:paraId="3D22C9C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车辆、轮船及其它机械维修过程中产生的废发动机油、制动器油、自动变速器油、齿轮油等 废润滑油</w:t>
            </w:r>
          </w:p>
        </w:tc>
        <w:tc>
          <w:tcPr>
            <w:tcW w:w="647" w:type="pct"/>
            <w:vAlign w:val="center"/>
          </w:tcPr>
          <w:p w14:paraId="3AE85D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7686C9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40027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401BD8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7D26305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900-215-08</w:t>
            </w:r>
          </w:p>
        </w:tc>
        <w:tc>
          <w:tcPr>
            <w:tcW w:w="2440" w:type="pct"/>
            <w:vAlign w:val="center"/>
          </w:tcPr>
          <w:p w14:paraId="6A1CE24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废矿物油裂解再生过程中产生的裂解残渣</w:t>
            </w:r>
          </w:p>
        </w:tc>
        <w:tc>
          <w:tcPr>
            <w:tcW w:w="647" w:type="pct"/>
            <w:vAlign w:val="center"/>
          </w:tcPr>
          <w:p w14:paraId="55EB8AE8">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200E3DE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651E28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4134E33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5021D1B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900-216-08</w:t>
            </w:r>
          </w:p>
        </w:tc>
        <w:tc>
          <w:tcPr>
            <w:tcW w:w="2440" w:type="pct"/>
            <w:vAlign w:val="center"/>
          </w:tcPr>
          <w:p w14:paraId="6506621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使用防锈油进行铸件表面防锈处理过程中产生的废防锈油</w:t>
            </w:r>
          </w:p>
        </w:tc>
        <w:tc>
          <w:tcPr>
            <w:tcW w:w="647" w:type="pct"/>
            <w:vAlign w:val="center"/>
          </w:tcPr>
          <w:p w14:paraId="162878B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06FC91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2CB06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491142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2F0BC27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900-217-08</w:t>
            </w:r>
          </w:p>
        </w:tc>
        <w:tc>
          <w:tcPr>
            <w:tcW w:w="2440" w:type="pct"/>
            <w:vAlign w:val="center"/>
          </w:tcPr>
          <w:p w14:paraId="3098242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使用工业齿轮油进行机械设备润滑过程中产生的废润滑油</w:t>
            </w:r>
          </w:p>
        </w:tc>
        <w:tc>
          <w:tcPr>
            <w:tcW w:w="647" w:type="pct"/>
            <w:vAlign w:val="center"/>
          </w:tcPr>
          <w:p w14:paraId="2219465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7F004FA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006084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 w:hRule="atLeast"/>
          <w:jc w:val="center"/>
        </w:trPr>
        <w:tc>
          <w:tcPr>
            <w:tcW w:w="523" w:type="pct"/>
            <w:vMerge w:val="continue"/>
            <w:vAlign w:val="center"/>
          </w:tcPr>
          <w:p w14:paraId="665F53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428BFCC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900-218-08</w:t>
            </w:r>
          </w:p>
        </w:tc>
        <w:tc>
          <w:tcPr>
            <w:tcW w:w="2440" w:type="pct"/>
            <w:vAlign w:val="center"/>
          </w:tcPr>
          <w:p w14:paraId="501C0F95">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液压设备维护、更换和拆解过程中产生的废液压油</w:t>
            </w:r>
          </w:p>
        </w:tc>
        <w:tc>
          <w:tcPr>
            <w:tcW w:w="647" w:type="pct"/>
            <w:vAlign w:val="center"/>
          </w:tcPr>
          <w:p w14:paraId="011993A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3CA7915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7EC1F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523" w:type="pct"/>
            <w:vMerge w:val="continue"/>
            <w:vAlign w:val="center"/>
          </w:tcPr>
          <w:p w14:paraId="697431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117AFD6F">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900-219-08</w:t>
            </w:r>
          </w:p>
        </w:tc>
        <w:tc>
          <w:tcPr>
            <w:tcW w:w="2440" w:type="pct"/>
            <w:vAlign w:val="center"/>
          </w:tcPr>
          <w:p w14:paraId="7482B51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冷冻压缩设备维护、更换和拆解过程中产生的废冷冻机油</w:t>
            </w:r>
          </w:p>
        </w:tc>
        <w:tc>
          <w:tcPr>
            <w:tcW w:w="647" w:type="pct"/>
            <w:vAlign w:val="center"/>
          </w:tcPr>
          <w:p w14:paraId="309E5A5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2BA2746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10F888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523" w:type="pct"/>
            <w:vMerge w:val="continue"/>
            <w:vAlign w:val="center"/>
          </w:tcPr>
          <w:p w14:paraId="3FF60F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222F82C7">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900-220-08</w:t>
            </w:r>
          </w:p>
        </w:tc>
        <w:tc>
          <w:tcPr>
            <w:tcW w:w="2440" w:type="pct"/>
            <w:vAlign w:val="center"/>
          </w:tcPr>
          <w:p w14:paraId="6C64B7B1">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变压器维护、更换和拆解过程中产生的废变压器油</w:t>
            </w:r>
          </w:p>
        </w:tc>
        <w:tc>
          <w:tcPr>
            <w:tcW w:w="647" w:type="pct"/>
            <w:vAlign w:val="center"/>
          </w:tcPr>
          <w:p w14:paraId="5C1EBC73">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3D3E5B34">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1B8AC9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523" w:type="pct"/>
            <w:vMerge w:val="continue"/>
            <w:vAlign w:val="center"/>
          </w:tcPr>
          <w:p w14:paraId="1C3A99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6D062FE6">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900-221-08</w:t>
            </w:r>
          </w:p>
        </w:tc>
        <w:tc>
          <w:tcPr>
            <w:tcW w:w="2440" w:type="pct"/>
            <w:vAlign w:val="center"/>
          </w:tcPr>
          <w:p w14:paraId="0FF1B8B0">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废燃料油及燃料油储存过程中产生的油泥</w:t>
            </w:r>
          </w:p>
        </w:tc>
        <w:tc>
          <w:tcPr>
            <w:tcW w:w="647" w:type="pct"/>
            <w:vAlign w:val="center"/>
          </w:tcPr>
          <w:p w14:paraId="3944D409">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757A16EC">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r w14:paraId="043F10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 w:hRule="atLeast"/>
          <w:jc w:val="center"/>
        </w:trPr>
        <w:tc>
          <w:tcPr>
            <w:tcW w:w="523" w:type="pct"/>
            <w:vMerge w:val="continue"/>
            <w:vAlign w:val="center"/>
          </w:tcPr>
          <w:p w14:paraId="7FBD5B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p>
        </w:tc>
        <w:tc>
          <w:tcPr>
            <w:tcW w:w="750" w:type="pct"/>
            <w:vAlign w:val="center"/>
          </w:tcPr>
          <w:p w14:paraId="3485A12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900-249-08</w:t>
            </w:r>
          </w:p>
        </w:tc>
        <w:tc>
          <w:tcPr>
            <w:tcW w:w="2440" w:type="pct"/>
            <w:vAlign w:val="center"/>
          </w:tcPr>
          <w:p w14:paraId="14E2C35B">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其他生产、销售、使用过程中产生的废矿物油及沾染矿物油的废弃包装物</w:t>
            </w:r>
          </w:p>
        </w:tc>
        <w:tc>
          <w:tcPr>
            <w:tcW w:w="647" w:type="pct"/>
            <w:vAlign w:val="center"/>
          </w:tcPr>
          <w:p w14:paraId="070790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rPr>
            </w:pPr>
            <w:r>
              <w:rPr>
                <w:rFonts w:hint="default" w:ascii="Times New Roman" w:hAnsi="Times New Roman" w:eastAsia="宋体" w:cs="Times New Roman"/>
                <w:b w:val="0"/>
                <w:bCs w:val="0"/>
                <w:color w:val="auto"/>
                <w:kern w:val="0"/>
                <w:sz w:val="21"/>
                <w:szCs w:val="21"/>
                <w:highlight w:val="none"/>
                <w:u w:val="single"/>
                <w:lang w:bidi="ar"/>
              </w:rPr>
              <w:t>T，I</w:t>
            </w:r>
          </w:p>
        </w:tc>
        <w:tc>
          <w:tcPr>
            <w:tcW w:w="638" w:type="pct"/>
            <w:vAlign w:val="center"/>
          </w:tcPr>
          <w:p w14:paraId="0AE9D1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val="0"/>
                <w:color w:val="auto"/>
                <w:kern w:val="0"/>
                <w:sz w:val="21"/>
                <w:szCs w:val="21"/>
                <w:highlight w:val="none"/>
                <w:u w:val="single"/>
                <w:lang w:bidi="ar"/>
              </w:rPr>
            </w:pPr>
            <w:r>
              <w:rPr>
                <w:rFonts w:hint="default" w:ascii="Times New Roman" w:hAnsi="Times New Roman" w:eastAsia="宋体" w:cs="Times New Roman"/>
                <w:b w:val="0"/>
                <w:bCs w:val="0"/>
                <w:color w:val="auto"/>
                <w:kern w:val="0"/>
                <w:sz w:val="21"/>
                <w:szCs w:val="21"/>
                <w:highlight w:val="none"/>
                <w:u w:val="single"/>
                <w:lang w:bidi="ar"/>
              </w:rPr>
              <w:t>现有种类</w:t>
            </w:r>
          </w:p>
        </w:tc>
      </w:tr>
    </w:tbl>
    <w:p w14:paraId="59A243B9">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本项目搬迁部分</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仅进行收集和贮存</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的危险废物</w:t>
      </w:r>
      <w:r>
        <w:rPr>
          <w:rFonts w:hint="default" w:ascii="Times New Roman" w:hAnsi="Times New Roman" w:eastAsia="宋体" w:cs="Times New Roman"/>
          <w:sz w:val="24"/>
          <w:szCs w:val="24"/>
          <w:u w:val="single"/>
          <w:lang w:val="en-US" w:eastAsia="zh-CN"/>
        </w:rPr>
        <w:t>类别</w:t>
      </w:r>
      <w:r>
        <w:rPr>
          <w:rFonts w:hint="default" w:ascii="Times New Roman" w:hAnsi="Times New Roman" w:eastAsia="宋体" w:cs="Times New Roman"/>
          <w:sz w:val="24"/>
          <w:szCs w:val="24"/>
          <w:u w:val="single"/>
        </w:rPr>
        <w:t>包括：HW02医药废物</w:t>
      </w:r>
      <w:r>
        <w:rPr>
          <w:rFonts w:hint="eastAsia" w:ascii="Times New Roman" w:hAnsi="Times New Roman" w:cs="Times New Roman"/>
          <w:sz w:val="24"/>
          <w:szCs w:val="24"/>
          <w:u w:val="single"/>
          <w:lang w:eastAsia="zh-CN"/>
        </w:rPr>
        <w:t>、</w:t>
      </w:r>
      <w:r>
        <w:rPr>
          <w:rFonts w:hint="default" w:ascii="Times New Roman" w:hAnsi="Times New Roman" w:eastAsia="宋体" w:cs="Times New Roman"/>
          <w:sz w:val="24"/>
          <w:szCs w:val="24"/>
          <w:u w:val="single"/>
        </w:rPr>
        <w:t>HW03废药物、药品，HW06废有机溶剂与含有机溶剂废物，HW09油/水、烃/水混合物或乳化液，HW10多氯（溴）联苯类废物</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HW11精(蒸)馏残渣，HW12染料、涂料废物，HW13有机树脂类废物，HW16感光材料废物，HW17表面处理废物，HW22含铜废物，HW29含汞废物，HW31含铅废物，HW34废酸，HW35废碱，HW36石棉废物，HW49其他废物，HW50废催化剂，HW08废矿物油与含废矿物油废物，总的危险废物收集贮存能力</w:t>
      </w:r>
      <w:r>
        <w:rPr>
          <w:rFonts w:hint="default" w:ascii="Times New Roman" w:hAnsi="Times New Roman" w:eastAsia="宋体" w:cs="Times New Roman"/>
          <w:sz w:val="24"/>
          <w:szCs w:val="24"/>
          <w:u w:val="single"/>
          <w:lang w:eastAsia="zh-CN"/>
        </w:rPr>
        <w:t>14400</w:t>
      </w:r>
      <w:r>
        <w:rPr>
          <w:rFonts w:hint="default" w:ascii="Times New Roman" w:hAnsi="Times New Roman" w:eastAsia="宋体" w:cs="Times New Roman"/>
          <w:sz w:val="24"/>
          <w:szCs w:val="24"/>
          <w:u w:val="single"/>
        </w:rPr>
        <w:t>t/a。</w:t>
      </w:r>
    </w:p>
    <w:p w14:paraId="6280E861">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相比较于搬迁之前，现有项目搬迁后的危险废物收集、贮存的种类有所增加，危险废物的收集、贮存量由9800t/a提升至</w:t>
      </w:r>
      <w:r>
        <w:rPr>
          <w:rFonts w:hint="default" w:ascii="Times New Roman" w:hAnsi="Times New Roman" w:eastAsia="宋体" w:cs="Times New Roman"/>
          <w:sz w:val="24"/>
          <w:szCs w:val="24"/>
          <w:u w:val="single"/>
          <w:lang w:eastAsia="zh-CN"/>
        </w:rPr>
        <w:t>14400</w:t>
      </w:r>
      <w:r>
        <w:rPr>
          <w:rFonts w:hint="default" w:ascii="Times New Roman" w:hAnsi="Times New Roman" w:eastAsia="宋体" w:cs="Times New Roman"/>
          <w:sz w:val="24"/>
          <w:szCs w:val="24"/>
          <w:u w:val="single"/>
        </w:rPr>
        <w:t>t/a。</w:t>
      </w:r>
    </w:p>
    <w:p w14:paraId="5F1DD29A">
      <w:pPr>
        <w:spacing w:line="360" w:lineRule="auto"/>
        <w:ind w:firstLine="480" w:firstLineChars="200"/>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项目所收集贮存的危险废物仍来源于《湖南省小微企业危险废物收集试点工作方案》（湘环发[2022]62号）和《衡阳市小微企业危险废物收集试点建设方案》（衡环办[2023]27号）中所划定的收集范围</w:t>
      </w:r>
      <w:r>
        <w:rPr>
          <w:rFonts w:hint="eastAsia" w:ascii="Times New Roman" w:hAnsi="Times New Roman" w:cs="Times New Roman"/>
          <w:sz w:val="24"/>
          <w:szCs w:val="24"/>
          <w:u w:val="single"/>
          <w:lang w:val="en-US" w:eastAsia="zh-CN"/>
        </w:rPr>
        <w:t>；</w:t>
      </w:r>
      <w:r>
        <w:rPr>
          <w:rFonts w:hint="default" w:ascii="Times New Roman" w:hAnsi="Times New Roman" w:eastAsia="宋体" w:cs="Times New Roman"/>
          <w:sz w:val="24"/>
          <w:szCs w:val="24"/>
          <w:u w:val="single"/>
          <w:lang w:val="en-US" w:eastAsia="zh-CN"/>
        </w:rPr>
        <w:t>同时严禁收集：①医疗废物；②具有爆炸性、剧毒性的危险废物；③无明确利用处置途径以及成分不明的危险废物；④法律法规规定需要单独收集的危险废物。</w:t>
      </w:r>
    </w:p>
    <w:p w14:paraId="1B76EE09">
      <w:pPr>
        <w:spacing w:line="360" w:lineRule="auto"/>
        <w:ind w:firstLine="480" w:firstLineChars="200"/>
        <w:rPr>
          <w:rFonts w:hint="default" w:ascii="Times New Roman" w:hAnsi="Times New Roman" w:eastAsia="宋体" w:cs="Times New Roman"/>
          <w:sz w:val="24"/>
          <w:szCs w:val="24"/>
          <w:u w:val="singl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color w:val="000000"/>
          <w:sz w:val="24"/>
          <w:szCs w:val="24"/>
          <w:u w:val="single"/>
        </w:rPr>
        <w:t>“年收集贮存9800吨危险废物项目”整体</w:t>
      </w:r>
      <w:r>
        <w:rPr>
          <w:rFonts w:hint="default" w:ascii="Times New Roman" w:hAnsi="Times New Roman" w:eastAsia="宋体" w:cs="Times New Roman"/>
          <w:sz w:val="24"/>
          <w:szCs w:val="24"/>
          <w:u w:val="single"/>
        </w:rPr>
        <w:t>搬迁后，各类危险废物的收集、贮存类别及规模具体类别详见下表：</w:t>
      </w:r>
    </w:p>
    <w:p w14:paraId="44F29D20">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表4.3-</w:t>
      </w:r>
      <w:r>
        <w:rPr>
          <w:rFonts w:hint="default" w:ascii="Times New Roman" w:hAnsi="Times New Roman" w:eastAsia="宋体" w:cs="Times New Roman"/>
          <w:b/>
          <w:bCs/>
          <w:szCs w:val="21"/>
          <w:u w:val="single"/>
          <w:lang w:val="en-US" w:eastAsia="zh-CN"/>
        </w:rPr>
        <w:t>2</w:t>
      </w:r>
      <w:r>
        <w:rPr>
          <w:rFonts w:hint="default" w:ascii="Times New Roman" w:hAnsi="Times New Roman" w:eastAsia="宋体" w:cs="Times New Roman"/>
          <w:b/>
          <w:bCs/>
          <w:szCs w:val="21"/>
          <w:u w:val="single"/>
        </w:rPr>
        <w:t xml:space="preserve">   现有项目整体搬迁后危险废物收集、贮存类别一览表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21"/>
        <w:gridCol w:w="2326"/>
        <w:gridCol w:w="1648"/>
        <w:gridCol w:w="1121"/>
        <w:gridCol w:w="1563"/>
        <w:gridCol w:w="1183"/>
        <w:gridCol w:w="1183"/>
        <w:gridCol w:w="1155"/>
        <w:gridCol w:w="1824"/>
        <w:gridCol w:w="1450"/>
      </w:tblGrid>
      <w:tr w14:paraId="0CE37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Align w:val="center"/>
          </w:tcPr>
          <w:p w14:paraId="12291D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kern w:val="0"/>
                <w:szCs w:val="21"/>
                <w:highlight w:val="none"/>
                <w:u w:val="single"/>
                <w:lang w:bidi="ar"/>
              </w:rPr>
              <w:t>序号</w:t>
            </w:r>
          </w:p>
        </w:tc>
        <w:tc>
          <w:tcPr>
            <w:tcW w:w="1401" w:type="pct"/>
            <w:gridSpan w:val="2"/>
            <w:vAlign w:val="center"/>
          </w:tcPr>
          <w:p w14:paraId="2F4F3B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kern w:val="0"/>
                <w:szCs w:val="21"/>
                <w:highlight w:val="none"/>
                <w:u w:val="single"/>
                <w:lang w:bidi="ar"/>
              </w:rPr>
              <w:t>废物代码</w:t>
            </w:r>
          </w:p>
        </w:tc>
        <w:tc>
          <w:tcPr>
            <w:tcW w:w="395" w:type="pct"/>
            <w:vAlign w:val="center"/>
          </w:tcPr>
          <w:p w14:paraId="2E4817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kern w:val="0"/>
                <w:szCs w:val="21"/>
                <w:highlight w:val="none"/>
                <w:u w:val="single"/>
                <w:lang w:bidi="ar"/>
              </w:rPr>
            </w:pPr>
            <w:r>
              <w:rPr>
                <w:rFonts w:hint="default" w:ascii="Times New Roman" w:hAnsi="Times New Roman" w:eastAsia="宋体" w:cs="Times New Roman"/>
                <w:b/>
                <w:bCs/>
                <w:color w:val="000000"/>
                <w:kern w:val="0"/>
                <w:szCs w:val="21"/>
                <w:highlight w:val="none"/>
                <w:u w:val="single"/>
                <w:lang w:bidi="ar"/>
              </w:rPr>
              <w:t>危险特性</w:t>
            </w:r>
          </w:p>
        </w:tc>
        <w:tc>
          <w:tcPr>
            <w:tcW w:w="551" w:type="pct"/>
            <w:vAlign w:val="center"/>
          </w:tcPr>
          <w:p w14:paraId="3B8FA7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kern w:val="0"/>
                <w:szCs w:val="21"/>
                <w:highlight w:val="none"/>
                <w:u w:val="single"/>
                <w:lang w:bidi="ar"/>
              </w:rPr>
            </w:pPr>
            <w:r>
              <w:rPr>
                <w:rFonts w:hint="default" w:ascii="Times New Roman" w:hAnsi="Times New Roman" w:eastAsia="宋体" w:cs="Times New Roman"/>
                <w:b/>
                <w:bCs/>
                <w:color w:val="000000"/>
                <w:kern w:val="0"/>
                <w:szCs w:val="21"/>
                <w:highlight w:val="none"/>
                <w:u w:val="single"/>
                <w:lang w:bidi="ar"/>
              </w:rPr>
              <w:t>物理性状</w:t>
            </w:r>
          </w:p>
        </w:tc>
        <w:tc>
          <w:tcPr>
            <w:tcW w:w="417" w:type="pct"/>
            <w:vAlign w:val="center"/>
          </w:tcPr>
          <w:p w14:paraId="0EFF46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kern w:val="0"/>
                <w:szCs w:val="21"/>
                <w:highlight w:val="none"/>
                <w:u w:val="single"/>
                <w:lang w:bidi="ar"/>
              </w:rPr>
              <w:t>年周转量（t）</w:t>
            </w:r>
          </w:p>
        </w:tc>
        <w:tc>
          <w:tcPr>
            <w:tcW w:w="417" w:type="pct"/>
            <w:vAlign w:val="center"/>
          </w:tcPr>
          <w:p w14:paraId="26EDE4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kern w:val="0"/>
                <w:szCs w:val="21"/>
                <w:highlight w:val="none"/>
                <w:u w:val="single"/>
                <w:lang w:bidi="ar"/>
              </w:rPr>
            </w:pPr>
            <w:r>
              <w:rPr>
                <w:rFonts w:hint="default" w:ascii="Times New Roman" w:hAnsi="Times New Roman" w:eastAsia="宋体" w:cs="Times New Roman"/>
                <w:b/>
                <w:bCs/>
                <w:color w:val="000000"/>
                <w:kern w:val="0"/>
                <w:szCs w:val="21"/>
                <w:highlight w:val="none"/>
                <w:u w:val="single"/>
                <w:lang w:bidi="ar"/>
              </w:rPr>
              <w:t>最大贮量（t）</w:t>
            </w:r>
          </w:p>
        </w:tc>
        <w:tc>
          <w:tcPr>
            <w:tcW w:w="407" w:type="pct"/>
            <w:vAlign w:val="center"/>
          </w:tcPr>
          <w:p w14:paraId="6D8DE2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kern w:val="0"/>
                <w:szCs w:val="21"/>
                <w:highlight w:val="none"/>
                <w:u w:val="single"/>
                <w:lang w:bidi="ar"/>
              </w:rPr>
            </w:pPr>
            <w:r>
              <w:rPr>
                <w:rFonts w:hint="default" w:ascii="Times New Roman" w:hAnsi="Times New Roman" w:eastAsia="宋体" w:cs="Times New Roman"/>
                <w:b/>
                <w:bCs/>
                <w:color w:val="000000"/>
                <w:kern w:val="0"/>
                <w:szCs w:val="21"/>
                <w:highlight w:val="none"/>
                <w:u w:val="single"/>
                <w:lang w:bidi="ar"/>
              </w:rPr>
              <w:t>周转周期</w:t>
            </w:r>
          </w:p>
        </w:tc>
        <w:tc>
          <w:tcPr>
            <w:tcW w:w="643" w:type="pct"/>
            <w:vAlign w:val="center"/>
          </w:tcPr>
          <w:p w14:paraId="2B99F1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kern w:val="0"/>
                <w:szCs w:val="21"/>
                <w:highlight w:val="none"/>
                <w:u w:val="single"/>
                <w:lang w:bidi="ar"/>
              </w:rPr>
            </w:pPr>
            <w:r>
              <w:rPr>
                <w:rFonts w:hint="default" w:ascii="Times New Roman" w:hAnsi="Times New Roman" w:eastAsia="宋体" w:cs="Times New Roman"/>
                <w:b/>
                <w:bCs/>
                <w:color w:val="000000"/>
                <w:kern w:val="0"/>
                <w:szCs w:val="21"/>
                <w:highlight w:val="none"/>
                <w:u w:val="single"/>
                <w:lang w:bidi="ar"/>
              </w:rPr>
              <w:t>贮存方式</w:t>
            </w:r>
          </w:p>
        </w:tc>
        <w:tc>
          <w:tcPr>
            <w:tcW w:w="511" w:type="pct"/>
            <w:vAlign w:val="center"/>
          </w:tcPr>
          <w:p w14:paraId="59DD15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000000"/>
                <w:kern w:val="0"/>
                <w:szCs w:val="21"/>
                <w:highlight w:val="none"/>
                <w:u w:val="single"/>
                <w:lang w:bidi="ar"/>
              </w:rPr>
            </w:pPr>
            <w:r>
              <w:rPr>
                <w:rFonts w:hint="default" w:ascii="Times New Roman" w:hAnsi="Times New Roman" w:eastAsia="宋体" w:cs="Times New Roman"/>
                <w:b/>
                <w:bCs/>
                <w:color w:val="000000"/>
                <w:kern w:val="0"/>
                <w:szCs w:val="21"/>
                <w:highlight w:val="none"/>
                <w:u w:val="single"/>
                <w:lang w:bidi="ar"/>
              </w:rPr>
              <w:t>备注</w:t>
            </w:r>
          </w:p>
        </w:tc>
      </w:tr>
      <w:tr w14:paraId="6342EF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060E37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w:t>
            </w:r>
          </w:p>
        </w:tc>
        <w:tc>
          <w:tcPr>
            <w:tcW w:w="820" w:type="pct"/>
            <w:vMerge w:val="restart"/>
            <w:vAlign w:val="center"/>
          </w:tcPr>
          <w:p w14:paraId="431A06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highlight w:val="none"/>
                <w:u w:val="single"/>
                <w:lang w:val="en-US"/>
              </w:rPr>
              <w:t>HW02</w:t>
            </w:r>
            <w:r>
              <w:rPr>
                <w:rFonts w:hint="default" w:ascii="Times New Roman" w:hAnsi="Times New Roman" w:eastAsia="宋体" w:cs="Times New Roman"/>
                <w:highlight w:val="none"/>
                <w:u w:val="single"/>
              </w:rPr>
              <w:t>医药废物</w:t>
            </w:r>
          </w:p>
        </w:tc>
        <w:tc>
          <w:tcPr>
            <w:tcW w:w="581" w:type="pct"/>
            <w:vAlign w:val="center"/>
          </w:tcPr>
          <w:p w14:paraId="32F984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highlight w:val="none"/>
                <w:u w:val="single"/>
              </w:rPr>
              <w:t>271-001-02</w:t>
            </w:r>
          </w:p>
        </w:tc>
        <w:tc>
          <w:tcPr>
            <w:tcW w:w="395" w:type="pct"/>
            <w:vAlign w:val="center"/>
          </w:tcPr>
          <w:p w14:paraId="66CE81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highlight w:val="none"/>
                <w:u w:val="single"/>
              </w:rPr>
              <w:t>T</w:t>
            </w:r>
          </w:p>
        </w:tc>
        <w:tc>
          <w:tcPr>
            <w:tcW w:w="551" w:type="pct"/>
            <w:vAlign w:val="center"/>
          </w:tcPr>
          <w:p w14:paraId="4186A6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固态</w:t>
            </w:r>
          </w:p>
        </w:tc>
        <w:tc>
          <w:tcPr>
            <w:tcW w:w="417" w:type="pct"/>
            <w:vMerge w:val="restart"/>
            <w:vAlign w:val="center"/>
          </w:tcPr>
          <w:p w14:paraId="0BF1D1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100</w:t>
            </w:r>
          </w:p>
        </w:tc>
        <w:tc>
          <w:tcPr>
            <w:tcW w:w="417" w:type="pct"/>
            <w:vAlign w:val="center"/>
          </w:tcPr>
          <w:p w14:paraId="59BADF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eastAsia="zh-CN" w:bidi="ar"/>
              </w:rPr>
            </w:pPr>
            <w:r>
              <w:rPr>
                <w:rFonts w:hint="default" w:ascii="Times New Roman" w:hAnsi="Times New Roman" w:eastAsia="宋体" w:cs="Times New Roman"/>
                <w:sz w:val="22"/>
                <w:szCs w:val="22"/>
                <w:highlight w:val="none"/>
                <w:u w:val="single"/>
                <w:lang w:val="en-US" w:eastAsia="zh-CN"/>
              </w:rPr>
              <w:t>1</w:t>
            </w:r>
          </w:p>
        </w:tc>
        <w:tc>
          <w:tcPr>
            <w:tcW w:w="407" w:type="pct"/>
            <w:vMerge w:val="restart"/>
            <w:vAlign w:val="center"/>
          </w:tcPr>
          <w:p w14:paraId="1EE2B4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z w:val="22"/>
                <w:szCs w:val="22"/>
                <w:highlight w:val="none"/>
                <w:u w:val="single"/>
                <w:lang w:val="en-US" w:eastAsia="zh-CN"/>
              </w:rPr>
              <w:t>1次/月</w:t>
            </w:r>
          </w:p>
        </w:tc>
        <w:tc>
          <w:tcPr>
            <w:tcW w:w="643" w:type="pct"/>
            <w:vAlign w:val="center"/>
          </w:tcPr>
          <w:p w14:paraId="4B06AA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桶装/箱装</w:t>
            </w:r>
          </w:p>
        </w:tc>
        <w:tc>
          <w:tcPr>
            <w:tcW w:w="511" w:type="pct"/>
            <w:vAlign w:val="center"/>
          </w:tcPr>
          <w:p w14:paraId="22D8C3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新增种类</w:t>
            </w:r>
          </w:p>
        </w:tc>
      </w:tr>
      <w:tr w14:paraId="7724E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45380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62A003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17821E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highlight w:val="none"/>
                <w:u w:val="single"/>
              </w:rPr>
              <w:t>271-004-02</w:t>
            </w:r>
          </w:p>
        </w:tc>
        <w:tc>
          <w:tcPr>
            <w:tcW w:w="395" w:type="pct"/>
            <w:vAlign w:val="center"/>
          </w:tcPr>
          <w:p w14:paraId="6535DC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highlight w:val="none"/>
                <w:u w:val="single"/>
              </w:rPr>
              <w:t>T</w:t>
            </w:r>
          </w:p>
        </w:tc>
        <w:tc>
          <w:tcPr>
            <w:tcW w:w="551" w:type="pct"/>
            <w:vAlign w:val="center"/>
          </w:tcPr>
          <w:p w14:paraId="44F239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pacing w:val="2"/>
                <w:sz w:val="22"/>
                <w:szCs w:val="22"/>
                <w:highlight w:val="none"/>
                <w:u w:val="single"/>
              </w:rPr>
              <w:t>固态</w:t>
            </w:r>
          </w:p>
        </w:tc>
        <w:tc>
          <w:tcPr>
            <w:tcW w:w="417" w:type="pct"/>
            <w:vMerge w:val="continue"/>
            <w:vAlign w:val="center"/>
          </w:tcPr>
          <w:p w14:paraId="3C872B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p>
        </w:tc>
        <w:tc>
          <w:tcPr>
            <w:tcW w:w="417" w:type="pct"/>
            <w:vAlign w:val="center"/>
          </w:tcPr>
          <w:p w14:paraId="2F35944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sz w:val="22"/>
                <w:szCs w:val="22"/>
                <w:highlight w:val="none"/>
                <w:u w:val="single"/>
                <w:lang w:val="en-US" w:eastAsia="zh-CN"/>
              </w:rPr>
              <w:t>1</w:t>
            </w:r>
          </w:p>
        </w:tc>
        <w:tc>
          <w:tcPr>
            <w:tcW w:w="407" w:type="pct"/>
            <w:vMerge w:val="continue"/>
            <w:vAlign w:val="center"/>
          </w:tcPr>
          <w:p w14:paraId="5813C8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2C01CD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桶装/箱装</w:t>
            </w:r>
          </w:p>
        </w:tc>
        <w:tc>
          <w:tcPr>
            <w:tcW w:w="511" w:type="pct"/>
            <w:vAlign w:val="center"/>
          </w:tcPr>
          <w:p w14:paraId="044C53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新增种类</w:t>
            </w:r>
          </w:p>
        </w:tc>
      </w:tr>
      <w:tr w14:paraId="17334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4B2DD5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58190E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6C2A2E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highlight w:val="none"/>
                <w:u w:val="single"/>
              </w:rPr>
              <w:t>271-005-02</w:t>
            </w:r>
          </w:p>
        </w:tc>
        <w:tc>
          <w:tcPr>
            <w:tcW w:w="395" w:type="pct"/>
            <w:vAlign w:val="center"/>
          </w:tcPr>
          <w:p w14:paraId="3F2540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highlight w:val="none"/>
                <w:u w:val="single"/>
              </w:rPr>
              <w:t>T</w:t>
            </w:r>
          </w:p>
        </w:tc>
        <w:tc>
          <w:tcPr>
            <w:tcW w:w="551" w:type="pct"/>
            <w:vAlign w:val="center"/>
          </w:tcPr>
          <w:p w14:paraId="38E13A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pacing w:val="2"/>
                <w:sz w:val="22"/>
                <w:szCs w:val="22"/>
                <w:highlight w:val="none"/>
                <w:u w:val="single"/>
              </w:rPr>
              <w:t>固态</w:t>
            </w:r>
          </w:p>
        </w:tc>
        <w:tc>
          <w:tcPr>
            <w:tcW w:w="417" w:type="pct"/>
            <w:vMerge w:val="continue"/>
            <w:vAlign w:val="center"/>
          </w:tcPr>
          <w:p w14:paraId="55A47F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p>
        </w:tc>
        <w:tc>
          <w:tcPr>
            <w:tcW w:w="417" w:type="pct"/>
            <w:vAlign w:val="center"/>
          </w:tcPr>
          <w:p w14:paraId="0C70CE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sz w:val="22"/>
                <w:szCs w:val="22"/>
                <w:highlight w:val="none"/>
                <w:u w:val="single"/>
                <w:lang w:val="en-US" w:eastAsia="zh-CN"/>
              </w:rPr>
              <w:t>1</w:t>
            </w:r>
          </w:p>
        </w:tc>
        <w:tc>
          <w:tcPr>
            <w:tcW w:w="407" w:type="pct"/>
            <w:vMerge w:val="continue"/>
            <w:vAlign w:val="center"/>
          </w:tcPr>
          <w:p w14:paraId="4B83B0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1695E4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桶装/箱装</w:t>
            </w:r>
          </w:p>
        </w:tc>
        <w:tc>
          <w:tcPr>
            <w:tcW w:w="511" w:type="pct"/>
            <w:vAlign w:val="center"/>
          </w:tcPr>
          <w:p w14:paraId="47A39A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新增种类</w:t>
            </w:r>
          </w:p>
        </w:tc>
      </w:tr>
      <w:tr w14:paraId="690DE4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125A63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259879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0A95B2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highlight w:val="none"/>
                <w:u w:val="single"/>
              </w:rPr>
              <w:t>272-003-02</w:t>
            </w:r>
          </w:p>
        </w:tc>
        <w:tc>
          <w:tcPr>
            <w:tcW w:w="395" w:type="pct"/>
            <w:vAlign w:val="center"/>
          </w:tcPr>
          <w:p w14:paraId="2842D2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highlight w:val="none"/>
                <w:u w:val="single"/>
              </w:rPr>
              <w:t>T</w:t>
            </w:r>
          </w:p>
        </w:tc>
        <w:tc>
          <w:tcPr>
            <w:tcW w:w="551" w:type="pct"/>
            <w:vAlign w:val="center"/>
          </w:tcPr>
          <w:p w14:paraId="795912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pacing w:val="2"/>
                <w:sz w:val="22"/>
                <w:szCs w:val="22"/>
                <w:highlight w:val="none"/>
                <w:u w:val="single"/>
              </w:rPr>
              <w:t>固态</w:t>
            </w:r>
          </w:p>
        </w:tc>
        <w:tc>
          <w:tcPr>
            <w:tcW w:w="417" w:type="pct"/>
            <w:vMerge w:val="continue"/>
            <w:vAlign w:val="center"/>
          </w:tcPr>
          <w:p w14:paraId="28FAC9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p>
        </w:tc>
        <w:tc>
          <w:tcPr>
            <w:tcW w:w="417" w:type="pct"/>
            <w:vAlign w:val="center"/>
          </w:tcPr>
          <w:p w14:paraId="3E1720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sz w:val="22"/>
                <w:szCs w:val="22"/>
                <w:highlight w:val="none"/>
                <w:u w:val="single"/>
                <w:lang w:val="en-US" w:eastAsia="zh-CN"/>
              </w:rPr>
              <w:t>1</w:t>
            </w:r>
          </w:p>
        </w:tc>
        <w:tc>
          <w:tcPr>
            <w:tcW w:w="407" w:type="pct"/>
            <w:vMerge w:val="continue"/>
            <w:vAlign w:val="center"/>
          </w:tcPr>
          <w:p w14:paraId="5F1BE1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1F0398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桶装/箱装</w:t>
            </w:r>
          </w:p>
        </w:tc>
        <w:tc>
          <w:tcPr>
            <w:tcW w:w="511" w:type="pct"/>
            <w:vAlign w:val="center"/>
          </w:tcPr>
          <w:p w14:paraId="726B85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新增种类</w:t>
            </w:r>
          </w:p>
        </w:tc>
      </w:tr>
      <w:tr w14:paraId="79715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6B0C8A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2B32E5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3FB1FC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highlight w:val="none"/>
                <w:u w:val="single"/>
              </w:rPr>
              <w:t>272-005-02</w:t>
            </w:r>
          </w:p>
        </w:tc>
        <w:tc>
          <w:tcPr>
            <w:tcW w:w="395" w:type="pct"/>
            <w:vAlign w:val="center"/>
          </w:tcPr>
          <w:p w14:paraId="01D470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highlight w:val="none"/>
                <w:u w:val="single"/>
              </w:rPr>
              <w:t>T</w:t>
            </w:r>
          </w:p>
        </w:tc>
        <w:tc>
          <w:tcPr>
            <w:tcW w:w="551" w:type="pct"/>
            <w:vAlign w:val="center"/>
          </w:tcPr>
          <w:p w14:paraId="5EC131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pacing w:val="2"/>
                <w:sz w:val="22"/>
                <w:szCs w:val="22"/>
                <w:highlight w:val="none"/>
                <w:u w:val="single"/>
              </w:rPr>
              <w:t>固态</w:t>
            </w:r>
          </w:p>
        </w:tc>
        <w:tc>
          <w:tcPr>
            <w:tcW w:w="417" w:type="pct"/>
            <w:vMerge w:val="continue"/>
            <w:vAlign w:val="center"/>
          </w:tcPr>
          <w:p w14:paraId="749B47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p>
        </w:tc>
        <w:tc>
          <w:tcPr>
            <w:tcW w:w="417" w:type="pct"/>
            <w:vAlign w:val="center"/>
          </w:tcPr>
          <w:p w14:paraId="69EA44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sz w:val="22"/>
                <w:szCs w:val="22"/>
                <w:highlight w:val="none"/>
                <w:u w:val="single"/>
                <w:lang w:val="en-US" w:eastAsia="zh-CN"/>
              </w:rPr>
              <w:t>1</w:t>
            </w:r>
          </w:p>
        </w:tc>
        <w:tc>
          <w:tcPr>
            <w:tcW w:w="407" w:type="pct"/>
            <w:vMerge w:val="continue"/>
            <w:vAlign w:val="center"/>
          </w:tcPr>
          <w:p w14:paraId="772291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3764EA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桶装/箱装</w:t>
            </w:r>
          </w:p>
        </w:tc>
        <w:tc>
          <w:tcPr>
            <w:tcW w:w="511" w:type="pct"/>
            <w:vAlign w:val="center"/>
          </w:tcPr>
          <w:p w14:paraId="7F7A4F0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新增种类</w:t>
            </w:r>
          </w:p>
        </w:tc>
      </w:tr>
      <w:tr w14:paraId="25184F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774231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0B07CF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762FE7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highlight w:val="none"/>
                <w:u w:val="single"/>
              </w:rPr>
              <w:t>276-003-02</w:t>
            </w:r>
          </w:p>
        </w:tc>
        <w:tc>
          <w:tcPr>
            <w:tcW w:w="395" w:type="pct"/>
            <w:vAlign w:val="center"/>
          </w:tcPr>
          <w:p w14:paraId="2201F8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highlight w:val="none"/>
                <w:u w:val="single"/>
              </w:rPr>
              <w:t>T</w:t>
            </w:r>
          </w:p>
        </w:tc>
        <w:tc>
          <w:tcPr>
            <w:tcW w:w="551" w:type="pct"/>
            <w:vAlign w:val="center"/>
          </w:tcPr>
          <w:p w14:paraId="0B8352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pacing w:val="2"/>
                <w:sz w:val="22"/>
                <w:szCs w:val="22"/>
                <w:highlight w:val="none"/>
                <w:u w:val="single"/>
              </w:rPr>
              <w:t>固态</w:t>
            </w:r>
          </w:p>
        </w:tc>
        <w:tc>
          <w:tcPr>
            <w:tcW w:w="417" w:type="pct"/>
            <w:vMerge w:val="continue"/>
            <w:vAlign w:val="center"/>
          </w:tcPr>
          <w:p w14:paraId="5E7109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p>
        </w:tc>
        <w:tc>
          <w:tcPr>
            <w:tcW w:w="417" w:type="pct"/>
            <w:vAlign w:val="center"/>
          </w:tcPr>
          <w:p w14:paraId="694A4B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sz w:val="22"/>
                <w:szCs w:val="22"/>
                <w:highlight w:val="none"/>
                <w:u w:val="single"/>
                <w:lang w:val="en-US" w:eastAsia="zh-CN"/>
              </w:rPr>
              <w:t>1</w:t>
            </w:r>
          </w:p>
        </w:tc>
        <w:tc>
          <w:tcPr>
            <w:tcW w:w="407" w:type="pct"/>
            <w:vMerge w:val="continue"/>
            <w:vAlign w:val="center"/>
          </w:tcPr>
          <w:p w14:paraId="1E8D80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0FD101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桶装/箱装</w:t>
            </w:r>
          </w:p>
        </w:tc>
        <w:tc>
          <w:tcPr>
            <w:tcW w:w="511" w:type="pct"/>
            <w:vAlign w:val="center"/>
          </w:tcPr>
          <w:p w14:paraId="79132DC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新增种类</w:t>
            </w:r>
          </w:p>
        </w:tc>
      </w:tr>
      <w:tr w14:paraId="1438DE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Align w:val="center"/>
          </w:tcPr>
          <w:p w14:paraId="52213A9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eastAsia="zh-CN" w:bidi="ar"/>
              </w:rPr>
            </w:pPr>
            <w:r>
              <w:rPr>
                <w:rFonts w:hint="default" w:ascii="Times New Roman" w:hAnsi="Times New Roman" w:eastAsia="宋体" w:cs="Times New Roman"/>
                <w:color w:val="000000"/>
                <w:kern w:val="0"/>
                <w:szCs w:val="21"/>
                <w:highlight w:val="none"/>
                <w:u w:val="single"/>
                <w:lang w:val="en-US" w:eastAsia="zh-CN" w:bidi="ar"/>
              </w:rPr>
              <w:t>2</w:t>
            </w:r>
          </w:p>
        </w:tc>
        <w:tc>
          <w:tcPr>
            <w:tcW w:w="820" w:type="pct"/>
            <w:vAlign w:val="center"/>
          </w:tcPr>
          <w:p w14:paraId="6CF3BFC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r>
              <w:rPr>
                <w:rStyle w:val="95"/>
                <w:rFonts w:hint="default" w:ascii="Times New Roman" w:hAnsi="Times New Roman" w:eastAsia="宋体" w:cs="Times New Roman"/>
                <w:sz w:val="21"/>
                <w:szCs w:val="21"/>
                <w:highlight w:val="none"/>
                <w:u w:val="single"/>
                <w:vertAlign w:val="baseline"/>
                <w:lang w:bidi="ar"/>
              </w:rPr>
              <w:t>HW03</w:t>
            </w:r>
          </w:p>
          <w:p w14:paraId="3C827A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r>
              <w:rPr>
                <w:rStyle w:val="95"/>
                <w:rFonts w:hint="default" w:ascii="Times New Roman" w:hAnsi="Times New Roman" w:eastAsia="宋体" w:cs="Times New Roman"/>
                <w:sz w:val="21"/>
                <w:szCs w:val="21"/>
                <w:highlight w:val="none"/>
                <w:u w:val="single"/>
                <w:vertAlign w:val="baseline"/>
                <w:lang w:bidi="ar"/>
              </w:rPr>
              <w:t>废药物、药品</w:t>
            </w:r>
          </w:p>
        </w:tc>
        <w:tc>
          <w:tcPr>
            <w:tcW w:w="581" w:type="pct"/>
            <w:vAlign w:val="center"/>
          </w:tcPr>
          <w:p w14:paraId="52DBE01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900-002-03</w:t>
            </w:r>
          </w:p>
        </w:tc>
        <w:tc>
          <w:tcPr>
            <w:tcW w:w="395" w:type="pct"/>
            <w:vAlign w:val="center"/>
          </w:tcPr>
          <w:p w14:paraId="74B3A5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0272D0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液态/固态</w:t>
            </w:r>
          </w:p>
        </w:tc>
        <w:tc>
          <w:tcPr>
            <w:tcW w:w="417" w:type="pct"/>
            <w:vAlign w:val="center"/>
          </w:tcPr>
          <w:p w14:paraId="19AB8B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100</w:t>
            </w:r>
          </w:p>
        </w:tc>
        <w:tc>
          <w:tcPr>
            <w:tcW w:w="417" w:type="pct"/>
            <w:vAlign w:val="center"/>
          </w:tcPr>
          <w:p w14:paraId="68AE50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2</w:t>
            </w:r>
          </w:p>
        </w:tc>
        <w:tc>
          <w:tcPr>
            <w:tcW w:w="407" w:type="pct"/>
            <w:vAlign w:val="center"/>
          </w:tcPr>
          <w:p w14:paraId="210BC1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val="en-US" w:eastAsia="zh-CN" w:bidi="ar"/>
              </w:rPr>
              <w:t>5</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5B8C3B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桶装/箱装</w:t>
            </w:r>
          </w:p>
        </w:tc>
        <w:tc>
          <w:tcPr>
            <w:tcW w:w="511" w:type="pct"/>
            <w:vAlign w:val="center"/>
          </w:tcPr>
          <w:p w14:paraId="21A25A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44D5FA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4" w:type="pct"/>
            <w:vMerge w:val="restart"/>
            <w:vAlign w:val="center"/>
          </w:tcPr>
          <w:p w14:paraId="6A5898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kern w:val="0"/>
                <w:szCs w:val="21"/>
                <w:highlight w:val="none"/>
                <w:u w:val="single"/>
                <w:lang w:val="en-US" w:eastAsia="zh-CN" w:bidi="ar"/>
              </w:rPr>
              <w:t>3</w:t>
            </w:r>
          </w:p>
        </w:tc>
        <w:tc>
          <w:tcPr>
            <w:tcW w:w="820" w:type="pct"/>
            <w:vMerge w:val="restart"/>
            <w:vAlign w:val="center"/>
          </w:tcPr>
          <w:p w14:paraId="6211D2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HW06</w:t>
            </w:r>
          </w:p>
          <w:p w14:paraId="0C8D46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废有机溶剂与含有机溶剂废物</w:t>
            </w:r>
          </w:p>
        </w:tc>
        <w:tc>
          <w:tcPr>
            <w:tcW w:w="581" w:type="pct"/>
            <w:vAlign w:val="center"/>
          </w:tcPr>
          <w:p w14:paraId="6E9DBF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900-402-06</w:t>
            </w:r>
          </w:p>
        </w:tc>
        <w:tc>
          <w:tcPr>
            <w:tcW w:w="395" w:type="pct"/>
            <w:vAlign w:val="center"/>
          </w:tcPr>
          <w:p w14:paraId="2BF034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0B6901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液态/半固态</w:t>
            </w:r>
          </w:p>
        </w:tc>
        <w:tc>
          <w:tcPr>
            <w:tcW w:w="417" w:type="pct"/>
            <w:vMerge w:val="restart"/>
            <w:vAlign w:val="center"/>
          </w:tcPr>
          <w:p w14:paraId="68FB11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500</w:t>
            </w:r>
          </w:p>
        </w:tc>
        <w:tc>
          <w:tcPr>
            <w:tcW w:w="417" w:type="pct"/>
            <w:vAlign w:val="center"/>
          </w:tcPr>
          <w:p w14:paraId="474ABBF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restart"/>
            <w:vAlign w:val="center"/>
          </w:tcPr>
          <w:p w14:paraId="334E36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val="en-US" w:eastAsia="zh-CN" w:bidi="ar"/>
              </w:rPr>
              <w:t>12</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243213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48432D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548C63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42E464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1F847B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81" w:type="pct"/>
            <w:vAlign w:val="center"/>
          </w:tcPr>
          <w:p w14:paraId="20676A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b/>
                <w:bCs/>
                <w:color w:val="FF0000"/>
                <w:highlight w:val="none"/>
                <w:u w:val="single"/>
              </w:rPr>
              <w:t>900-404-06</w:t>
            </w:r>
          </w:p>
        </w:tc>
        <w:tc>
          <w:tcPr>
            <w:tcW w:w="395" w:type="pct"/>
            <w:vAlign w:val="center"/>
          </w:tcPr>
          <w:p w14:paraId="148EBC6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T,I,R</w:t>
            </w:r>
          </w:p>
        </w:tc>
        <w:tc>
          <w:tcPr>
            <w:tcW w:w="551" w:type="pct"/>
            <w:vAlign w:val="center"/>
          </w:tcPr>
          <w:p w14:paraId="56411A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0F2A13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3F59BF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continue"/>
            <w:vAlign w:val="center"/>
          </w:tcPr>
          <w:p w14:paraId="2BB888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14B282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2BCE2C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4680BF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F2C0F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5A43DB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81" w:type="pct"/>
            <w:vAlign w:val="center"/>
          </w:tcPr>
          <w:p w14:paraId="589F912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spacing w:val="-1"/>
                <w:sz w:val="22"/>
                <w:szCs w:val="22"/>
                <w:highlight w:val="none"/>
                <w:u w:val="single"/>
                <w:lang w:val="en-US" w:eastAsia="zh-CN"/>
              </w:rPr>
              <w:t>900-405-06</w:t>
            </w:r>
          </w:p>
        </w:tc>
        <w:tc>
          <w:tcPr>
            <w:tcW w:w="395" w:type="pct"/>
            <w:vAlign w:val="center"/>
          </w:tcPr>
          <w:p w14:paraId="007437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1"/>
                <w:sz w:val="22"/>
                <w:szCs w:val="22"/>
                <w:highlight w:val="none"/>
                <w:u w:val="single"/>
              </w:rPr>
              <w:t>T,I,R</w:t>
            </w:r>
          </w:p>
        </w:tc>
        <w:tc>
          <w:tcPr>
            <w:tcW w:w="551" w:type="pct"/>
            <w:vAlign w:val="center"/>
          </w:tcPr>
          <w:p w14:paraId="6B1A36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pacing w:val="2"/>
                <w:sz w:val="22"/>
                <w:szCs w:val="22"/>
                <w:highlight w:val="none"/>
                <w:u w:val="single"/>
              </w:rPr>
              <w:t>固态</w:t>
            </w:r>
          </w:p>
        </w:tc>
        <w:tc>
          <w:tcPr>
            <w:tcW w:w="417" w:type="pct"/>
            <w:vMerge w:val="continue"/>
            <w:vAlign w:val="center"/>
          </w:tcPr>
          <w:p w14:paraId="618759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05EB8D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continue"/>
            <w:vAlign w:val="center"/>
          </w:tcPr>
          <w:p w14:paraId="57CF81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5446B48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编织袋装</w:t>
            </w:r>
          </w:p>
        </w:tc>
        <w:tc>
          <w:tcPr>
            <w:tcW w:w="511" w:type="pct"/>
            <w:vAlign w:val="center"/>
          </w:tcPr>
          <w:p w14:paraId="716501C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新增种类</w:t>
            </w:r>
          </w:p>
        </w:tc>
      </w:tr>
      <w:tr w14:paraId="67B228B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4" w:type="pct"/>
            <w:vMerge w:val="continue"/>
            <w:vAlign w:val="center"/>
          </w:tcPr>
          <w:p w14:paraId="325000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6845B9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81" w:type="pct"/>
            <w:vAlign w:val="center"/>
          </w:tcPr>
          <w:p w14:paraId="1F11E2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spacing w:val="-1"/>
                <w:sz w:val="22"/>
                <w:szCs w:val="22"/>
                <w:highlight w:val="none"/>
                <w:u w:val="single"/>
                <w:lang w:val="en-US" w:eastAsia="zh-CN"/>
              </w:rPr>
              <w:t>900-407-06</w:t>
            </w:r>
          </w:p>
        </w:tc>
        <w:tc>
          <w:tcPr>
            <w:tcW w:w="395" w:type="pct"/>
            <w:vAlign w:val="center"/>
          </w:tcPr>
          <w:p w14:paraId="1F7042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1"/>
                <w:sz w:val="22"/>
                <w:szCs w:val="22"/>
                <w:highlight w:val="none"/>
                <w:u w:val="single"/>
              </w:rPr>
              <w:t>T,I,R</w:t>
            </w:r>
          </w:p>
        </w:tc>
        <w:tc>
          <w:tcPr>
            <w:tcW w:w="551" w:type="pct"/>
            <w:vAlign w:val="center"/>
          </w:tcPr>
          <w:p w14:paraId="55B2542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pacing w:val="2"/>
                <w:sz w:val="22"/>
                <w:szCs w:val="22"/>
                <w:highlight w:val="none"/>
                <w:u w:val="single"/>
              </w:rPr>
              <w:t>固态</w:t>
            </w:r>
          </w:p>
        </w:tc>
        <w:tc>
          <w:tcPr>
            <w:tcW w:w="417" w:type="pct"/>
            <w:vMerge w:val="continue"/>
            <w:vAlign w:val="center"/>
          </w:tcPr>
          <w:p w14:paraId="01B270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5BD156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continue"/>
            <w:vAlign w:val="center"/>
          </w:tcPr>
          <w:p w14:paraId="43C2748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345739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编织袋装</w:t>
            </w:r>
          </w:p>
        </w:tc>
        <w:tc>
          <w:tcPr>
            <w:tcW w:w="511" w:type="pct"/>
            <w:vAlign w:val="center"/>
          </w:tcPr>
          <w:p w14:paraId="4A485D4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新增种类</w:t>
            </w:r>
          </w:p>
        </w:tc>
      </w:tr>
      <w:tr w14:paraId="4CFC38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54" w:type="pct"/>
            <w:vMerge w:val="continue"/>
            <w:vAlign w:val="center"/>
          </w:tcPr>
          <w:p w14:paraId="0E05288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173A88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81" w:type="pct"/>
            <w:vAlign w:val="center"/>
          </w:tcPr>
          <w:p w14:paraId="282AE15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spacing w:val="-1"/>
                <w:sz w:val="22"/>
                <w:szCs w:val="22"/>
                <w:highlight w:val="none"/>
                <w:u w:val="single"/>
                <w:lang w:val="en-US" w:eastAsia="zh-CN"/>
              </w:rPr>
            </w:pPr>
            <w:r>
              <w:rPr>
                <w:rFonts w:hint="default" w:ascii="Times New Roman" w:hAnsi="Times New Roman" w:eastAsia="宋体" w:cs="Times New Roman"/>
                <w:b/>
                <w:bCs/>
                <w:color w:val="FF0000"/>
                <w:spacing w:val="-1"/>
                <w:sz w:val="22"/>
                <w:szCs w:val="22"/>
                <w:highlight w:val="none"/>
                <w:u w:val="single"/>
                <w:lang w:val="en-US" w:eastAsia="zh-CN"/>
              </w:rPr>
              <w:t>900-409-06</w:t>
            </w:r>
          </w:p>
        </w:tc>
        <w:tc>
          <w:tcPr>
            <w:tcW w:w="395" w:type="pct"/>
            <w:vAlign w:val="center"/>
          </w:tcPr>
          <w:p w14:paraId="0C4128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spacing w:val="-1"/>
                <w:sz w:val="22"/>
                <w:szCs w:val="22"/>
                <w:highlight w:val="none"/>
                <w:u w:val="single"/>
              </w:rPr>
            </w:pPr>
            <w:r>
              <w:rPr>
                <w:rFonts w:hint="default" w:ascii="Times New Roman" w:hAnsi="Times New Roman" w:eastAsia="宋体" w:cs="Times New Roman"/>
                <w:spacing w:val="-1"/>
                <w:sz w:val="22"/>
                <w:szCs w:val="22"/>
                <w:highlight w:val="none"/>
                <w:u w:val="single"/>
              </w:rPr>
              <w:t>T,I,R</w:t>
            </w:r>
          </w:p>
        </w:tc>
        <w:tc>
          <w:tcPr>
            <w:tcW w:w="551" w:type="pct"/>
            <w:vAlign w:val="center"/>
          </w:tcPr>
          <w:p w14:paraId="6BC5C73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spacing w:val="2"/>
                <w:sz w:val="22"/>
                <w:szCs w:val="22"/>
                <w:highlight w:val="none"/>
                <w:u w:val="single"/>
              </w:rPr>
            </w:pPr>
            <w:r>
              <w:rPr>
                <w:rFonts w:hint="default" w:ascii="Times New Roman" w:hAnsi="Times New Roman" w:eastAsia="宋体" w:cs="Times New Roman"/>
                <w:spacing w:val="2"/>
                <w:sz w:val="22"/>
                <w:szCs w:val="22"/>
                <w:highlight w:val="none"/>
                <w:u w:val="single"/>
              </w:rPr>
              <w:t>固态</w:t>
            </w:r>
          </w:p>
        </w:tc>
        <w:tc>
          <w:tcPr>
            <w:tcW w:w="417" w:type="pct"/>
            <w:vMerge w:val="continue"/>
            <w:vAlign w:val="center"/>
          </w:tcPr>
          <w:p w14:paraId="3A2377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2A5151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continue"/>
            <w:vAlign w:val="center"/>
          </w:tcPr>
          <w:p w14:paraId="31D94B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1F2B09C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spacing w:val="2"/>
                <w:sz w:val="22"/>
                <w:szCs w:val="22"/>
                <w:highlight w:val="none"/>
                <w:u w:val="single"/>
              </w:rPr>
            </w:pPr>
            <w:r>
              <w:rPr>
                <w:rFonts w:hint="default" w:ascii="Times New Roman" w:hAnsi="Times New Roman" w:eastAsia="宋体" w:cs="Times New Roman"/>
                <w:spacing w:val="2"/>
                <w:sz w:val="22"/>
                <w:szCs w:val="22"/>
                <w:highlight w:val="none"/>
                <w:u w:val="single"/>
              </w:rPr>
              <w:t>编织袋装</w:t>
            </w:r>
          </w:p>
        </w:tc>
        <w:tc>
          <w:tcPr>
            <w:tcW w:w="511" w:type="pct"/>
            <w:vAlign w:val="center"/>
          </w:tcPr>
          <w:p w14:paraId="7BF7D9A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spacing w:val="-2"/>
                <w:sz w:val="22"/>
                <w:szCs w:val="22"/>
                <w:highlight w:val="none"/>
                <w:u w:val="single"/>
              </w:rPr>
            </w:pPr>
            <w:r>
              <w:rPr>
                <w:rFonts w:hint="default" w:ascii="Times New Roman" w:hAnsi="Times New Roman" w:eastAsia="宋体" w:cs="Times New Roman"/>
                <w:spacing w:val="-2"/>
                <w:sz w:val="22"/>
                <w:szCs w:val="22"/>
                <w:highlight w:val="none"/>
                <w:u w:val="single"/>
              </w:rPr>
              <w:t>新增种类</w:t>
            </w:r>
          </w:p>
        </w:tc>
      </w:tr>
      <w:tr w14:paraId="33AC3F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425E4E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kern w:val="0"/>
                <w:szCs w:val="21"/>
                <w:highlight w:val="none"/>
                <w:u w:val="single"/>
                <w:lang w:val="en-US" w:eastAsia="zh-CN" w:bidi="ar"/>
              </w:rPr>
              <w:t>4</w:t>
            </w:r>
          </w:p>
        </w:tc>
        <w:tc>
          <w:tcPr>
            <w:tcW w:w="820" w:type="pct"/>
            <w:vMerge w:val="restart"/>
            <w:vAlign w:val="center"/>
          </w:tcPr>
          <w:p w14:paraId="72DF97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HW09</w:t>
            </w:r>
          </w:p>
          <w:p w14:paraId="633F44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油/水、烃/水混合物或乳化液</w:t>
            </w:r>
          </w:p>
        </w:tc>
        <w:tc>
          <w:tcPr>
            <w:tcW w:w="581" w:type="pct"/>
            <w:vAlign w:val="center"/>
          </w:tcPr>
          <w:p w14:paraId="2B6F56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900-005-09</w:t>
            </w:r>
          </w:p>
        </w:tc>
        <w:tc>
          <w:tcPr>
            <w:tcW w:w="395" w:type="pct"/>
            <w:vAlign w:val="center"/>
          </w:tcPr>
          <w:p w14:paraId="75A552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03894D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w:t>
            </w:r>
          </w:p>
        </w:tc>
        <w:tc>
          <w:tcPr>
            <w:tcW w:w="417" w:type="pct"/>
            <w:vMerge w:val="restart"/>
            <w:vAlign w:val="center"/>
          </w:tcPr>
          <w:p w14:paraId="2F55D8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1200</w:t>
            </w:r>
          </w:p>
        </w:tc>
        <w:tc>
          <w:tcPr>
            <w:tcW w:w="417" w:type="pct"/>
            <w:vAlign w:val="center"/>
          </w:tcPr>
          <w:p w14:paraId="6B53A9D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eastAsia="zh-CN" w:bidi="ar"/>
              </w:rPr>
            </w:pPr>
            <w:r>
              <w:rPr>
                <w:rFonts w:hint="default" w:ascii="Times New Roman" w:hAnsi="Times New Roman" w:eastAsia="宋体" w:cs="Times New Roman"/>
                <w:color w:val="000000"/>
                <w:kern w:val="0"/>
                <w:szCs w:val="21"/>
                <w:highlight w:val="none"/>
                <w:u w:val="single"/>
                <w:lang w:val="en-US" w:eastAsia="zh-CN" w:bidi="ar"/>
              </w:rPr>
              <w:t>2</w:t>
            </w:r>
          </w:p>
        </w:tc>
        <w:tc>
          <w:tcPr>
            <w:tcW w:w="407" w:type="pct"/>
            <w:vMerge w:val="restart"/>
            <w:vAlign w:val="center"/>
          </w:tcPr>
          <w:p w14:paraId="6C6AD3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r>
              <w:rPr>
                <w:rFonts w:hint="default" w:ascii="Times New Roman" w:hAnsi="Times New Roman" w:eastAsia="宋体" w:cs="Times New Roman"/>
                <w:color w:val="000000"/>
                <w:kern w:val="0"/>
                <w:szCs w:val="21"/>
                <w:highlight w:val="none"/>
                <w:u w:val="single"/>
                <w:lang w:val="en-US" w:eastAsia="zh-CN" w:bidi="ar"/>
              </w:rPr>
              <w:t>8</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333DC9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Merge w:val="restart"/>
            <w:vAlign w:val="center"/>
          </w:tcPr>
          <w:p w14:paraId="496F58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746F45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3E22B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1BC7E09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374FB7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900-006-09</w:t>
            </w:r>
          </w:p>
        </w:tc>
        <w:tc>
          <w:tcPr>
            <w:tcW w:w="395" w:type="pct"/>
            <w:vAlign w:val="center"/>
          </w:tcPr>
          <w:p w14:paraId="1FCFD2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631136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71497DD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7126F64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2AA775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6C706DB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桶装</w:t>
            </w:r>
          </w:p>
        </w:tc>
        <w:tc>
          <w:tcPr>
            <w:tcW w:w="511" w:type="pct"/>
            <w:vMerge w:val="continue"/>
            <w:vAlign w:val="center"/>
          </w:tcPr>
          <w:p w14:paraId="5F759F0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p>
        </w:tc>
      </w:tr>
      <w:tr w14:paraId="6D0A31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49476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6EF8F6C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09070A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900-007-09</w:t>
            </w:r>
          </w:p>
        </w:tc>
        <w:tc>
          <w:tcPr>
            <w:tcW w:w="395" w:type="pct"/>
            <w:vAlign w:val="center"/>
          </w:tcPr>
          <w:p w14:paraId="08C723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193C72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5B1F89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3B3DBA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5B60C0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1526BF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桶装</w:t>
            </w:r>
          </w:p>
        </w:tc>
        <w:tc>
          <w:tcPr>
            <w:tcW w:w="511" w:type="pct"/>
            <w:vMerge w:val="continue"/>
            <w:vAlign w:val="center"/>
          </w:tcPr>
          <w:p w14:paraId="4C23E0E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p>
        </w:tc>
      </w:tr>
      <w:tr w14:paraId="48F403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Align w:val="center"/>
          </w:tcPr>
          <w:p w14:paraId="54B440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5</w:t>
            </w:r>
          </w:p>
        </w:tc>
        <w:tc>
          <w:tcPr>
            <w:tcW w:w="820" w:type="pct"/>
            <w:vAlign w:val="center"/>
          </w:tcPr>
          <w:p w14:paraId="580355C8">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u w:val="single"/>
              </w:rPr>
              <w:t>HW10多氯（溴）联苯类废物</w:t>
            </w:r>
          </w:p>
        </w:tc>
        <w:tc>
          <w:tcPr>
            <w:tcW w:w="581" w:type="pct"/>
            <w:vAlign w:val="center"/>
          </w:tcPr>
          <w:p w14:paraId="66DECA27">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u w:val="single"/>
                <w:lang w:bidi="ar"/>
              </w:rPr>
              <w:t>900-008-10</w:t>
            </w:r>
          </w:p>
        </w:tc>
        <w:tc>
          <w:tcPr>
            <w:tcW w:w="395" w:type="pct"/>
            <w:vAlign w:val="center"/>
          </w:tcPr>
          <w:p w14:paraId="2A3666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7E69AC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固态</w:t>
            </w:r>
          </w:p>
        </w:tc>
        <w:tc>
          <w:tcPr>
            <w:tcW w:w="417" w:type="pct"/>
            <w:vAlign w:val="center"/>
          </w:tcPr>
          <w:p w14:paraId="1420FF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50</w:t>
            </w:r>
          </w:p>
        </w:tc>
        <w:tc>
          <w:tcPr>
            <w:tcW w:w="417" w:type="pct"/>
            <w:vAlign w:val="center"/>
          </w:tcPr>
          <w:p w14:paraId="792027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2</w:t>
            </w:r>
          </w:p>
        </w:tc>
        <w:tc>
          <w:tcPr>
            <w:tcW w:w="407" w:type="pct"/>
            <w:vAlign w:val="center"/>
          </w:tcPr>
          <w:p w14:paraId="1FE1B0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z w:val="22"/>
                <w:szCs w:val="22"/>
                <w:highlight w:val="none"/>
                <w:u w:val="single"/>
                <w:lang w:val="en-US" w:eastAsia="zh-CN"/>
              </w:rPr>
              <w:t>1次/月</w:t>
            </w:r>
          </w:p>
        </w:tc>
        <w:tc>
          <w:tcPr>
            <w:tcW w:w="643" w:type="pct"/>
            <w:vAlign w:val="center"/>
          </w:tcPr>
          <w:p w14:paraId="41CB32F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2"/>
                <w:szCs w:val="22"/>
                <w:highlight w:val="none"/>
                <w:u w:val="single"/>
              </w:rPr>
              <w:t>编织袋装</w:t>
            </w:r>
          </w:p>
        </w:tc>
        <w:tc>
          <w:tcPr>
            <w:tcW w:w="511" w:type="pct"/>
            <w:vAlign w:val="center"/>
          </w:tcPr>
          <w:p w14:paraId="268B10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7E68D2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46DE80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6</w:t>
            </w:r>
          </w:p>
        </w:tc>
        <w:tc>
          <w:tcPr>
            <w:tcW w:w="820" w:type="pct"/>
            <w:vMerge w:val="restart"/>
            <w:vAlign w:val="center"/>
          </w:tcPr>
          <w:p w14:paraId="45A21E5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HW11</w:t>
            </w:r>
          </w:p>
          <w:p w14:paraId="2203488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精(蒸)馏残渣</w:t>
            </w:r>
          </w:p>
        </w:tc>
        <w:tc>
          <w:tcPr>
            <w:tcW w:w="581" w:type="pct"/>
            <w:vAlign w:val="center"/>
          </w:tcPr>
          <w:p w14:paraId="639F3E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252-010-11</w:t>
            </w:r>
          </w:p>
        </w:tc>
        <w:tc>
          <w:tcPr>
            <w:tcW w:w="395" w:type="pct"/>
            <w:vAlign w:val="center"/>
          </w:tcPr>
          <w:p w14:paraId="0AA4BA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59D57E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restart"/>
            <w:vAlign w:val="center"/>
          </w:tcPr>
          <w:p w14:paraId="4B9E40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eastAsia" w:ascii="Times New Roman" w:hAnsi="Times New Roman" w:cs="Times New Roman"/>
                <w:color w:val="000000"/>
                <w:szCs w:val="21"/>
                <w:highlight w:val="none"/>
                <w:u w:val="single"/>
                <w:lang w:val="en-US" w:eastAsia="zh-CN"/>
              </w:rPr>
              <w:t>25</w:t>
            </w:r>
            <w:r>
              <w:rPr>
                <w:rFonts w:hint="default" w:ascii="Times New Roman" w:hAnsi="Times New Roman" w:eastAsia="宋体" w:cs="Times New Roman"/>
                <w:color w:val="000000"/>
                <w:szCs w:val="21"/>
                <w:highlight w:val="none"/>
                <w:u w:val="single"/>
              </w:rPr>
              <w:t>0</w:t>
            </w:r>
          </w:p>
        </w:tc>
        <w:tc>
          <w:tcPr>
            <w:tcW w:w="417" w:type="pct"/>
            <w:vAlign w:val="center"/>
          </w:tcPr>
          <w:p w14:paraId="70A563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restart"/>
            <w:vAlign w:val="center"/>
          </w:tcPr>
          <w:p w14:paraId="59DC09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eastAsia" w:ascii="Times New Roman" w:hAnsi="Times New Roman" w:cs="Times New Roman"/>
                <w:color w:val="000000"/>
                <w:kern w:val="0"/>
                <w:szCs w:val="21"/>
                <w:highlight w:val="none"/>
                <w:u w:val="single"/>
                <w:lang w:val="en-US" w:eastAsia="zh-CN" w:bidi="ar"/>
              </w:rPr>
              <w:t>6</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594D1C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0EC908A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29B1E7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05288A8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A853A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63FAFF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252-011-11</w:t>
            </w:r>
          </w:p>
        </w:tc>
        <w:tc>
          <w:tcPr>
            <w:tcW w:w="395" w:type="pct"/>
            <w:vAlign w:val="center"/>
          </w:tcPr>
          <w:p w14:paraId="13229FC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2F03E0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599704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654ED7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7C65581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71D6B5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5F224C5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231EB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 w:hRule="atLeast"/>
        </w:trPr>
        <w:tc>
          <w:tcPr>
            <w:tcW w:w="254" w:type="pct"/>
            <w:vMerge w:val="continue"/>
            <w:vAlign w:val="center"/>
          </w:tcPr>
          <w:p w14:paraId="145F8C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296860B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6D812F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lang w:eastAsia="zh-CN"/>
              </w:rPr>
            </w:pPr>
            <w:r>
              <w:rPr>
                <w:rFonts w:hint="default" w:ascii="Times New Roman" w:hAnsi="Times New Roman" w:eastAsia="宋体" w:cs="Times New Roman"/>
                <w:b/>
                <w:bCs/>
                <w:color w:val="FF0000"/>
                <w:szCs w:val="21"/>
                <w:highlight w:val="none"/>
                <w:u w:val="single"/>
                <w:lang w:val="en-US" w:eastAsia="zh-CN"/>
              </w:rPr>
              <w:t>252</w:t>
            </w:r>
            <w:r>
              <w:rPr>
                <w:rFonts w:hint="default" w:ascii="Times New Roman" w:hAnsi="Times New Roman" w:eastAsia="宋体" w:cs="Times New Roman"/>
                <w:b/>
                <w:bCs/>
                <w:color w:val="FF0000"/>
                <w:szCs w:val="21"/>
                <w:highlight w:val="none"/>
                <w:u w:val="single"/>
                <w:lang w:eastAsia="zh-CN"/>
              </w:rPr>
              <w:t>-013-11</w:t>
            </w:r>
          </w:p>
        </w:tc>
        <w:tc>
          <w:tcPr>
            <w:tcW w:w="395" w:type="pct"/>
            <w:vAlign w:val="center"/>
          </w:tcPr>
          <w:p w14:paraId="03B09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6CDE2D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47400E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7B415BC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078B2D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0323BC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7C2540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5E572A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12" w:hRule="atLeast"/>
        </w:trPr>
        <w:tc>
          <w:tcPr>
            <w:tcW w:w="254" w:type="pct"/>
            <w:vMerge w:val="continue"/>
            <w:vAlign w:val="center"/>
          </w:tcPr>
          <w:p w14:paraId="113472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1C6C57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3C227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252-016-11</w:t>
            </w:r>
          </w:p>
        </w:tc>
        <w:tc>
          <w:tcPr>
            <w:tcW w:w="395" w:type="pct"/>
            <w:vAlign w:val="center"/>
          </w:tcPr>
          <w:p w14:paraId="3D2214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4CADAB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12583C3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3278BB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3FD97C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0E6B4E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53EA2E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3629E7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620F3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4297CC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5672E98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252-0</w:t>
            </w:r>
            <w:r>
              <w:rPr>
                <w:rFonts w:hint="eastAsia" w:ascii="Times New Roman" w:hAnsi="Times New Roman" w:cs="Times New Roman"/>
                <w:b/>
                <w:bCs/>
                <w:color w:val="FF0000"/>
                <w:szCs w:val="21"/>
                <w:highlight w:val="none"/>
                <w:u w:val="single"/>
                <w:lang w:val="en-US" w:eastAsia="zh-CN"/>
              </w:rPr>
              <w:t>2</w:t>
            </w:r>
            <w:r>
              <w:rPr>
                <w:rFonts w:hint="default" w:ascii="Times New Roman" w:hAnsi="Times New Roman" w:eastAsia="宋体" w:cs="Times New Roman"/>
                <w:b/>
                <w:bCs/>
                <w:color w:val="FF0000"/>
                <w:szCs w:val="21"/>
                <w:highlight w:val="none"/>
                <w:u w:val="single"/>
              </w:rPr>
              <w:t>6-11</w:t>
            </w:r>
          </w:p>
        </w:tc>
        <w:tc>
          <w:tcPr>
            <w:tcW w:w="395" w:type="pct"/>
            <w:vAlign w:val="center"/>
          </w:tcPr>
          <w:p w14:paraId="7893E6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34FACC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4030A2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637BDB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szCs w:val="21"/>
                <w:highlight w:val="none"/>
                <w:u w:val="single"/>
                <w:lang w:val="en-US" w:eastAsia="zh-CN"/>
              </w:rPr>
            </w:pPr>
            <w:r>
              <w:rPr>
                <w:rFonts w:hint="eastAsia" w:ascii="Times New Roman" w:hAnsi="Times New Roman" w:cs="Times New Roman"/>
                <w:color w:val="000000"/>
                <w:szCs w:val="21"/>
                <w:highlight w:val="none"/>
                <w:u w:val="single"/>
                <w:lang w:val="en-US" w:eastAsia="zh-CN"/>
              </w:rPr>
              <w:t>1</w:t>
            </w:r>
          </w:p>
        </w:tc>
        <w:tc>
          <w:tcPr>
            <w:tcW w:w="407" w:type="pct"/>
            <w:vMerge w:val="continue"/>
            <w:vAlign w:val="center"/>
          </w:tcPr>
          <w:p w14:paraId="60CF95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3BCDC8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32515C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03C984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0FA220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0F3750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518818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lang w:eastAsia="zh-CN"/>
              </w:rPr>
              <w:t>900-013-11</w:t>
            </w:r>
          </w:p>
        </w:tc>
        <w:tc>
          <w:tcPr>
            <w:tcW w:w="395" w:type="pct"/>
            <w:vAlign w:val="center"/>
          </w:tcPr>
          <w:p w14:paraId="473DF6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2B14125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785453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421FB5B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000000"/>
                <w:szCs w:val="21"/>
                <w:highlight w:val="none"/>
                <w:u w:val="single"/>
                <w:lang w:val="en-US" w:eastAsia="zh-CN"/>
              </w:rPr>
            </w:pPr>
            <w:r>
              <w:rPr>
                <w:rFonts w:hint="eastAsia" w:ascii="Times New Roman" w:hAnsi="Times New Roman" w:cs="Times New Roman"/>
                <w:color w:val="000000"/>
                <w:szCs w:val="21"/>
                <w:highlight w:val="none"/>
                <w:u w:val="single"/>
                <w:lang w:val="en-US" w:eastAsia="zh-CN"/>
              </w:rPr>
              <w:t>1</w:t>
            </w:r>
          </w:p>
        </w:tc>
        <w:tc>
          <w:tcPr>
            <w:tcW w:w="407" w:type="pct"/>
            <w:vMerge w:val="continue"/>
            <w:vAlign w:val="center"/>
          </w:tcPr>
          <w:p w14:paraId="1D14E3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4FFDEC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5292DE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4DBA14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7" w:hRule="atLeast"/>
        </w:trPr>
        <w:tc>
          <w:tcPr>
            <w:tcW w:w="254" w:type="pct"/>
            <w:vMerge w:val="restart"/>
            <w:vAlign w:val="center"/>
          </w:tcPr>
          <w:p w14:paraId="498EA4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kern w:val="0"/>
                <w:szCs w:val="21"/>
                <w:highlight w:val="none"/>
                <w:u w:val="single"/>
                <w:lang w:val="en-US" w:eastAsia="zh-CN" w:bidi="ar"/>
              </w:rPr>
              <w:t>7</w:t>
            </w:r>
          </w:p>
        </w:tc>
        <w:tc>
          <w:tcPr>
            <w:tcW w:w="820" w:type="pct"/>
            <w:vMerge w:val="restart"/>
            <w:vAlign w:val="center"/>
          </w:tcPr>
          <w:p w14:paraId="77138AD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HW12</w:t>
            </w:r>
          </w:p>
          <w:p w14:paraId="2E3F16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染料、涂料废物</w:t>
            </w:r>
          </w:p>
        </w:tc>
        <w:tc>
          <w:tcPr>
            <w:tcW w:w="581" w:type="pct"/>
            <w:vAlign w:val="center"/>
          </w:tcPr>
          <w:p w14:paraId="67073E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zCs w:val="21"/>
                <w:highlight w:val="none"/>
                <w:u w:val="single"/>
              </w:rPr>
              <w:t>900-250-12</w:t>
            </w:r>
          </w:p>
        </w:tc>
        <w:tc>
          <w:tcPr>
            <w:tcW w:w="395" w:type="pct"/>
            <w:vAlign w:val="center"/>
          </w:tcPr>
          <w:p w14:paraId="57392C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0C574C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w:t>
            </w:r>
          </w:p>
        </w:tc>
        <w:tc>
          <w:tcPr>
            <w:tcW w:w="417" w:type="pct"/>
            <w:vMerge w:val="restart"/>
            <w:vAlign w:val="center"/>
          </w:tcPr>
          <w:p w14:paraId="106E9F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val="en-US" w:eastAsia="zh-CN" w:bidi="ar"/>
              </w:rPr>
              <w:t>50</w:t>
            </w:r>
            <w:r>
              <w:rPr>
                <w:rFonts w:hint="default" w:ascii="Times New Roman" w:hAnsi="Times New Roman" w:eastAsia="宋体" w:cs="Times New Roman"/>
                <w:color w:val="000000"/>
                <w:kern w:val="0"/>
                <w:szCs w:val="21"/>
                <w:highlight w:val="none"/>
                <w:u w:val="single"/>
                <w:lang w:bidi="ar"/>
              </w:rPr>
              <w:t>0</w:t>
            </w:r>
          </w:p>
        </w:tc>
        <w:tc>
          <w:tcPr>
            <w:tcW w:w="417" w:type="pct"/>
            <w:vAlign w:val="center"/>
          </w:tcPr>
          <w:p w14:paraId="275AA2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restart"/>
            <w:vAlign w:val="center"/>
          </w:tcPr>
          <w:p w14:paraId="3F8E28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8次/月</w:t>
            </w:r>
          </w:p>
        </w:tc>
        <w:tc>
          <w:tcPr>
            <w:tcW w:w="643" w:type="pct"/>
            <w:vAlign w:val="center"/>
          </w:tcPr>
          <w:p w14:paraId="716EB2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25E0F4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1FD951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14CBABF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174437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81" w:type="pct"/>
            <w:vAlign w:val="center"/>
          </w:tcPr>
          <w:p w14:paraId="61961DB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b/>
                <w:bCs/>
                <w:color w:val="FF0000"/>
                <w:szCs w:val="21"/>
                <w:highlight w:val="none"/>
                <w:u w:val="single"/>
              </w:rPr>
              <w:t>900-251-12</w:t>
            </w:r>
          </w:p>
        </w:tc>
        <w:tc>
          <w:tcPr>
            <w:tcW w:w="395" w:type="pct"/>
            <w:vAlign w:val="center"/>
          </w:tcPr>
          <w:p w14:paraId="524E96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433789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4FDF97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516C55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continue"/>
            <w:vAlign w:val="center"/>
          </w:tcPr>
          <w:p w14:paraId="5790BC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2B0A12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34A475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02CE2F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0942718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515C8C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227BF3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900-252-12</w:t>
            </w:r>
          </w:p>
        </w:tc>
        <w:tc>
          <w:tcPr>
            <w:tcW w:w="395" w:type="pct"/>
            <w:vAlign w:val="center"/>
          </w:tcPr>
          <w:p w14:paraId="642F9A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297C53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液态/固态</w:t>
            </w:r>
          </w:p>
        </w:tc>
        <w:tc>
          <w:tcPr>
            <w:tcW w:w="417" w:type="pct"/>
            <w:vMerge w:val="continue"/>
            <w:vAlign w:val="center"/>
          </w:tcPr>
          <w:p w14:paraId="333362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4F6CEC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11E098C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518CDD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防漏胶袋/桶装</w:t>
            </w:r>
          </w:p>
        </w:tc>
        <w:tc>
          <w:tcPr>
            <w:tcW w:w="511" w:type="pct"/>
            <w:vAlign w:val="center"/>
          </w:tcPr>
          <w:p w14:paraId="3FE1286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7DC2E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669AC5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772E93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541AF7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b/>
                <w:bCs/>
                <w:color w:val="FF0000"/>
                <w:szCs w:val="21"/>
                <w:highlight w:val="none"/>
                <w:u w:val="single"/>
              </w:rPr>
              <w:t>900-253-12</w:t>
            </w:r>
          </w:p>
        </w:tc>
        <w:tc>
          <w:tcPr>
            <w:tcW w:w="395" w:type="pct"/>
            <w:vAlign w:val="center"/>
          </w:tcPr>
          <w:p w14:paraId="4D593B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35ADE8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固态</w:t>
            </w:r>
          </w:p>
        </w:tc>
        <w:tc>
          <w:tcPr>
            <w:tcW w:w="417" w:type="pct"/>
            <w:vMerge w:val="continue"/>
            <w:vAlign w:val="center"/>
          </w:tcPr>
          <w:p w14:paraId="6BD7D60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5A49A9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243FCB5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0B9874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4C15398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5ABF8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254" w:type="pct"/>
            <w:vMerge w:val="continue"/>
            <w:vAlign w:val="center"/>
          </w:tcPr>
          <w:p w14:paraId="50AFF3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64C9C57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06C1A3E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b/>
                <w:bCs/>
                <w:color w:val="FF0000"/>
                <w:szCs w:val="21"/>
                <w:highlight w:val="none"/>
                <w:u w:val="single"/>
              </w:rPr>
              <w:t>900-254-12</w:t>
            </w:r>
          </w:p>
        </w:tc>
        <w:tc>
          <w:tcPr>
            <w:tcW w:w="395" w:type="pct"/>
            <w:vAlign w:val="center"/>
          </w:tcPr>
          <w:p w14:paraId="4E10B0D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1F9E86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固态</w:t>
            </w:r>
          </w:p>
        </w:tc>
        <w:tc>
          <w:tcPr>
            <w:tcW w:w="417" w:type="pct"/>
            <w:vMerge w:val="continue"/>
            <w:vAlign w:val="center"/>
          </w:tcPr>
          <w:p w14:paraId="675EFA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08A22B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78108D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30F2E3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2985B8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48AF09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1199AD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4A9A15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421A6F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900-299-12</w:t>
            </w:r>
          </w:p>
        </w:tc>
        <w:tc>
          <w:tcPr>
            <w:tcW w:w="395" w:type="pct"/>
            <w:vAlign w:val="center"/>
          </w:tcPr>
          <w:p w14:paraId="31627B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w:t>
            </w:r>
          </w:p>
        </w:tc>
        <w:tc>
          <w:tcPr>
            <w:tcW w:w="551" w:type="pct"/>
            <w:vAlign w:val="center"/>
          </w:tcPr>
          <w:p w14:paraId="7B246F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19D02B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683112A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0AE524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1767E86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34D1D4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6CB565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78D616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209A481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38F858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900-012-12</w:t>
            </w:r>
          </w:p>
        </w:tc>
        <w:tc>
          <w:tcPr>
            <w:tcW w:w="395" w:type="pct"/>
            <w:vAlign w:val="center"/>
          </w:tcPr>
          <w:p w14:paraId="4E605AF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w:t>
            </w:r>
          </w:p>
        </w:tc>
        <w:tc>
          <w:tcPr>
            <w:tcW w:w="551" w:type="pct"/>
            <w:vAlign w:val="center"/>
          </w:tcPr>
          <w:p w14:paraId="46CEC1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液态/固态</w:t>
            </w:r>
          </w:p>
        </w:tc>
        <w:tc>
          <w:tcPr>
            <w:tcW w:w="417" w:type="pct"/>
            <w:vMerge w:val="continue"/>
            <w:vAlign w:val="center"/>
          </w:tcPr>
          <w:p w14:paraId="4B5804D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0BAED5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eastAsia" w:ascii="Times New Roman" w:hAnsi="Times New Roman" w:cs="Times New Roman"/>
                <w:color w:val="000000"/>
                <w:szCs w:val="21"/>
                <w:highlight w:val="none"/>
                <w:u w:val="single"/>
                <w:lang w:val="en-US" w:eastAsia="zh-CN"/>
              </w:rPr>
              <w:t>1</w:t>
            </w:r>
          </w:p>
        </w:tc>
        <w:tc>
          <w:tcPr>
            <w:tcW w:w="407" w:type="pct"/>
            <w:vMerge w:val="continue"/>
            <w:vAlign w:val="center"/>
          </w:tcPr>
          <w:p w14:paraId="0D88D0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321A57F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防漏胶袋/桶装</w:t>
            </w:r>
          </w:p>
        </w:tc>
        <w:tc>
          <w:tcPr>
            <w:tcW w:w="511" w:type="pct"/>
            <w:vAlign w:val="center"/>
          </w:tcPr>
          <w:p w14:paraId="0068308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2ACC3A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4B9B8FB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kern w:val="0"/>
                <w:szCs w:val="21"/>
                <w:highlight w:val="none"/>
                <w:u w:val="single"/>
                <w:lang w:val="en-US" w:eastAsia="zh-CN" w:bidi="ar"/>
              </w:rPr>
              <w:t>8</w:t>
            </w:r>
          </w:p>
        </w:tc>
        <w:tc>
          <w:tcPr>
            <w:tcW w:w="820" w:type="pct"/>
            <w:vMerge w:val="restart"/>
            <w:vAlign w:val="center"/>
          </w:tcPr>
          <w:p w14:paraId="3C0A99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r>
              <w:rPr>
                <w:rStyle w:val="95"/>
                <w:rFonts w:hint="default" w:ascii="Times New Roman" w:hAnsi="Times New Roman" w:eastAsia="宋体" w:cs="Times New Roman"/>
                <w:sz w:val="21"/>
                <w:szCs w:val="21"/>
                <w:highlight w:val="none"/>
                <w:u w:val="single"/>
                <w:vertAlign w:val="baseline"/>
                <w:lang w:bidi="ar"/>
              </w:rPr>
              <w:t>HW13</w:t>
            </w:r>
          </w:p>
          <w:p w14:paraId="766976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Style w:val="95"/>
                <w:rFonts w:hint="default" w:ascii="Times New Roman" w:hAnsi="Times New Roman" w:eastAsia="宋体" w:cs="Times New Roman"/>
                <w:sz w:val="21"/>
                <w:szCs w:val="21"/>
                <w:highlight w:val="none"/>
                <w:u w:val="single"/>
                <w:vertAlign w:val="baseline"/>
                <w:lang w:bidi="ar"/>
              </w:rPr>
              <w:t>有机树脂类废物</w:t>
            </w:r>
          </w:p>
        </w:tc>
        <w:tc>
          <w:tcPr>
            <w:tcW w:w="581" w:type="pct"/>
            <w:vAlign w:val="center"/>
          </w:tcPr>
          <w:p w14:paraId="72B2D8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265-101-13</w:t>
            </w:r>
          </w:p>
        </w:tc>
        <w:tc>
          <w:tcPr>
            <w:tcW w:w="395" w:type="pct"/>
            <w:vAlign w:val="center"/>
          </w:tcPr>
          <w:p w14:paraId="1F00A5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77F2D3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restart"/>
            <w:vAlign w:val="center"/>
          </w:tcPr>
          <w:p w14:paraId="07F243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400</w:t>
            </w:r>
          </w:p>
        </w:tc>
        <w:tc>
          <w:tcPr>
            <w:tcW w:w="417" w:type="pct"/>
            <w:vAlign w:val="center"/>
          </w:tcPr>
          <w:p w14:paraId="575E00B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restart"/>
            <w:vAlign w:val="center"/>
          </w:tcPr>
          <w:p w14:paraId="62FF215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val="en-US" w:eastAsia="zh-CN" w:bidi="ar"/>
              </w:rPr>
              <w:t>5</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155385F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54FFF9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45A6B6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1FC67C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60C696E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18CD4E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kern w:val="0"/>
                <w:szCs w:val="21"/>
                <w:highlight w:val="none"/>
                <w:u w:val="single"/>
                <w:lang w:bidi="ar"/>
              </w:rPr>
              <w:t>265-10</w:t>
            </w:r>
            <w:r>
              <w:rPr>
                <w:rFonts w:hint="default" w:ascii="Times New Roman" w:hAnsi="Times New Roman" w:eastAsia="宋体" w:cs="Times New Roman"/>
                <w:b/>
                <w:bCs/>
                <w:color w:val="FF0000"/>
                <w:kern w:val="0"/>
                <w:szCs w:val="21"/>
                <w:highlight w:val="none"/>
                <w:u w:val="single"/>
                <w:lang w:val="en-US" w:eastAsia="zh-CN" w:bidi="ar"/>
              </w:rPr>
              <w:t>2</w:t>
            </w:r>
            <w:r>
              <w:rPr>
                <w:rFonts w:hint="default" w:ascii="Times New Roman" w:hAnsi="Times New Roman" w:eastAsia="宋体" w:cs="Times New Roman"/>
                <w:b/>
                <w:bCs/>
                <w:color w:val="FF0000"/>
                <w:kern w:val="0"/>
                <w:szCs w:val="21"/>
                <w:highlight w:val="none"/>
                <w:u w:val="single"/>
                <w:lang w:bidi="ar"/>
              </w:rPr>
              <w:t>-13</w:t>
            </w:r>
          </w:p>
        </w:tc>
        <w:tc>
          <w:tcPr>
            <w:tcW w:w="395" w:type="pct"/>
            <w:vAlign w:val="center"/>
          </w:tcPr>
          <w:p w14:paraId="0E3E575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3D82A1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3C275A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Align w:val="center"/>
          </w:tcPr>
          <w:p w14:paraId="39D2B9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continue"/>
            <w:vAlign w:val="center"/>
          </w:tcPr>
          <w:p w14:paraId="7E9BDD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p>
        </w:tc>
        <w:tc>
          <w:tcPr>
            <w:tcW w:w="643" w:type="pct"/>
            <w:vAlign w:val="center"/>
          </w:tcPr>
          <w:p w14:paraId="3EBF51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4C463E2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436280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CBF25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4F44404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64B5475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kern w:val="0"/>
                <w:szCs w:val="21"/>
                <w:highlight w:val="none"/>
                <w:u w:val="single"/>
                <w:lang w:bidi="ar"/>
              </w:rPr>
              <w:t>265-10</w:t>
            </w:r>
            <w:r>
              <w:rPr>
                <w:rFonts w:hint="default" w:ascii="Times New Roman" w:hAnsi="Times New Roman" w:eastAsia="宋体" w:cs="Times New Roman"/>
                <w:b/>
                <w:bCs/>
                <w:color w:val="FF0000"/>
                <w:kern w:val="0"/>
                <w:szCs w:val="21"/>
                <w:highlight w:val="none"/>
                <w:u w:val="single"/>
                <w:lang w:val="en-US" w:eastAsia="zh-CN" w:bidi="ar"/>
              </w:rPr>
              <w:t>3</w:t>
            </w:r>
            <w:r>
              <w:rPr>
                <w:rFonts w:hint="default" w:ascii="Times New Roman" w:hAnsi="Times New Roman" w:eastAsia="宋体" w:cs="Times New Roman"/>
                <w:b/>
                <w:bCs/>
                <w:color w:val="FF0000"/>
                <w:kern w:val="0"/>
                <w:szCs w:val="21"/>
                <w:highlight w:val="none"/>
                <w:u w:val="single"/>
                <w:lang w:bidi="ar"/>
              </w:rPr>
              <w:t>-13</w:t>
            </w:r>
          </w:p>
        </w:tc>
        <w:tc>
          <w:tcPr>
            <w:tcW w:w="395" w:type="pct"/>
            <w:vAlign w:val="center"/>
          </w:tcPr>
          <w:p w14:paraId="18DF36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4CDFE82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continue"/>
            <w:vAlign w:val="center"/>
          </w:tcPr>
          <w:p w14:paraId="24B6D49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Align w:val="center"/>
          </w:tcPr>
          <w:p w14:paraId="34CA8E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continue"/>
            <w:vAlign w:val="center"/>
          </w:tcPr>
          <w:p w14:paraId="66A685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p>
        </w:tc>
        <w:tc>
          <w:tcPr>
            <w:tcW w:w="643" w:type="pct"/>
            <w:vAlign w:val="center"/>
          </w:tcPr>
          <w:p w14:paraId="1D3D9A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305D68E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5CAF14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7CC6FC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25AC39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2546E6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szCs w:val="21"/>
                <w:highlight w:val="none"/>
                <w:u w:val="single"/>
              </w:rPr>
              <w:t>265-104-13</w:t>
            </w:r>
          </w:p>
        </w:tc>
        <w:tc>
          <w:tcPr>
            <w:tcW w:w="395" w:type="pct"/>
            <w:vAlign w:val="center"/>
          </w:tcPr>
          <w:p w14:paraId="64257F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5F1AB2D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171F43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5F051D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continue"/>
            <w:vAlign w:val="center"/>
          </w:tcPr>
          <w:p w14:paraId="389C63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3F5A51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1A56A8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152E8F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86762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293964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1DC68B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szCs w:val="21"/>
                <w:highlight w:val="none"/>
                <w:u w:val="single"/>
              </w:rPr>
              <w:t>900-014-13</w:t>
            </w:r>
          </w:p>
        </w:tc>
        <w:tc>
          <w:tcPr>
            <w:tcW w:w="395" w:type="pct"/>
            <w:vAlign w:val="center"/>
          </w:tcPr>
          <w:p w14:paraId="7A8761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10CDC7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continue"/>
            <w:vAlign w:val="center"/>
          </w:tcPr>
          <w:p w14:paraId="3EA35D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65F519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continue"/>
            <w:vAlign w:val="center"/>
          </w:tcPr>
          <w:p w14:paraId="12AE5A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32F98E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01122E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34FECA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452BA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694C14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6056FE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900-015-13</w:t>
            </w:r>
          </w:p>
        </w:tc>
        <w:tc>
          <w:tcPr>
            <w:tcW w:w="395" w:type="pct"/>
            <w:vAlign w:val="center"/>
          </w:tcPr>
          <w:p w14:paraId="1B06D23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26CE66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0E66F6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4AD7C4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continue"/>
            <w:vAlign w:val="center"/>
          </w:tcPr>
          <w:p w14:paraId="708BE8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1AB2F56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0BC7A1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35CFC2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7B1F6A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29A6F1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1A77D6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szCs w:val="21"/>
                <w:highlight w:val="none"/>
                <w:u w:val="single"/>
              </w:rPr>
              <w:t>900-451-13</w:t>
            </w:r>
          </w:p>
        </w:tc>
        <w:tc>
          <w:tcPr>
            <w:tcW w:w="395" w:type="pct"/>
            <w:vAlign w:val="center"/>
          </w:tcPr>
          <w:p w14:paraId="3E24B7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7D218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673E49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6EA3559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continue"/>
            <w:vAlign w:val="center"/>
          </w:tcPr>
          <w:p w14:paraId="55909A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7E1D98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5EB37DE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46E7A8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43F2EA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kern w:val="0"/>
                <w:szCs w:val="21"/>
                <w:highlight w:val="none"/>
                <w:u w:val="single"/>
                <w:lang w:val="en-US" w:eastAsia="zh-CN" w:bidi="ar"/>
              </w:rPr>
              <w:t>9</w:t>
            </w:r>
          </w:p>
        </w:tc>
        <w:tc>
          <w:tcPr>
            <w:tcW w:w="820" w:type="pct"/>
            <w:vMerge w:val="restart"/>
            <w:vAlign w:val="center"/>
          </w:tcPr>
          <w:p w14:paraId="4D72D02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HW16</w:t>
            </w:r>
          </w:p>
          <w:p w14:paraId="6FB090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感光材料废物</w:t>
            </w:r>
          </w:p>
        </w:tc>
        <w:tc>
          <w:tcPr>
            <w:tcW w:w="581" w:type="pct"/>
            <w:vAlign w:val="center"/>
          </w:tcPr>
          <w:p w14:paraId="0F1A1B2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231-001-16</w:t>
            </w:r>
          </w:p>
        </w:tc>
        <w:tc>
          <w:tcPr>
            <w:tcW w:w="395" w:type="pct"/>
            <w:vAlign w:val="center"/>
          </w:tcPr>
          <w:p w14:paraId="7A8FBD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48CC1B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restart"/>
            <w:vAlign w:val="center"/>
          </w:tcPr>
          <w:p w14:paraId="5E44F30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200</w:t>
            </w:r>
          </w:p>
        </w:tc>
        <w:tc>
          <w:tcPr>
            <w:tcW w:w="417" w:type="pct"/>
            <w:vAlign w:val="center"/>
          </w:tcPr>
          <w:p w14:paraId="21B327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restart"/>
            <w:vAlign w:val="center"/>
          </w:tcPr>
          <w:p w14:paraId="366E41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val="en-US" w:eastAsia="zh-CN" w:bidi="ar"/>
              </w:rPr>
              <w:t>4</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594B3A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59D053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278B90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4B5F16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06B905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81" w:type="pct"/>
            <w:vAlign w:val="center"/>
          </w:tcPr>
          <w:p w14:paraId="07BF72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b/>
                <w:bCs/>
                <w:color w:val="FF0000"/>
                <w:highlight w:val="none"/>
                <w:u w:val="single"/>
              </w:rPr>
              <w:t>806-001-16</w:t>
            </w:r>
          </w:p>
        </w:tc>
        <w:tc>
          <w:tcPr>
            <w:tcW w:w="395" w:type="pct"/>
            <w:vAlign w:val="center"/>
          </w:tcPr>
          <w:p w14:paraId="12B40B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79F638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48CED2C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Align w:val="center"/>
          </w:tcPr>
          <w:p w14:paraId="2805DE7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continue"/>
            <w:vAlign w:val="center"/>
          </w:tcPr>
          <w:p w14:paraId="668ED87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667D96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506C03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t>新增种类</w:t>
            </w:r>
          </w:p>
        </w:tc>
      </w:tr>
      <w:tr w14:paraId="48DE08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BBA2EF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6CDA73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81" w:type="pct"/>
            <w:vAlign w:val="center"/>
          </w:tcPr>
          <w:p w14:paraId="3605312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kern w:val="0"/>
                <w:szCs w:val="21"/>
                <w:highlight w:val="none"/>
                <w:u w:val="single"/>
                <w:lang w:bidi="ar"/>
              </w:rPr>
              <w:t>231-00</w:t>
            </w:r>
            <w:r>
              <w:rPr>
                <w:rFonts w:hint="default" w:ascii="Times New Roman" w:hAnsi="Times New Roman" w:eastAsia="宋体" w:cs="Times New Roman"/>
                <w:b/>
                <w:bCs/>
                <w:color w:val="FF0000"/>
                <w:kern w:val="0"/>
                <w:szCs w:val="21"/>
                <w:highlight w:val="none"/>
                <w:u w:val="single"/>
                <w:lang w:val="en-US" w:eastAsia="zh-CN" w:bidi="ar"/>
              </w:rPr>
              <w:t>2</w:t>
            </w:r>
            <w:r>
              <w:rPr>
                <w:rFonts w:hint="default" w:ascii="Times New Roman" w:hAnsi="Times New Roman" w:eastAsia="宋体" w:cs="Times New Roman"/>
                <w:b/>
                <w:bCs/>
                <w:color w:val="FF0000"/>
                <w:kern w:val="0"/>
                <w:szCs w:val="21"/>
                <w:highlight w:val="none"/>
                <w:u w:val="single"/>
                <w:lang w:bidi="ar"/>
              </w:rPr>
              <w:t>-16</w:t>
            </w:r>
          </w:p>
        </w:tc>
        <w:tc>
          <w:tcPr>
            <w:tcW w:w="395" w:type="pct"/>
            <w:vAlign w:val="center"/>
          </w:tcPr>
          <w:p w14:paraId="7A7C368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pPr>
            <w: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t>T</w:t>
            </w:r>
          </w:p>
        </w:tc>
        <w:tc>
          <w:tcPr>
            <w:tcW w:w="551" w:type="pct"/>
            <w:vAlign w:val="center"/>
          </w:tcPr>
          <w:p w14:paraId="00308F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pPr>
            <w: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t>液态/固态</w:t>
            </w:r>
          </w:p>
        </w:tc>
        <w:tc>
          <w:tcPr>
            <w:tcW w:w="417" w:type="pct"/>
            <w:vMerge w:val="continue"/>
            <w:vAlign w:val="center"/>
          </w:tcPr>
          <w:p w14:paraId="2059D8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szCs w:val="21"/>
                <w:highlight w:val="none"/>
                <w:u w:val="single"/>
                <w14:textFill>
                  <w14:solidFill>
                    <w14:schemeClr w14:val="tx1"/>
                  </w14:solidFill>
                </w14:textFill>
              </w:rPr>
            </w:pPr>
          </w:p>
        </w:tc>
        <w:tc>
          <w:tcPr>
            <w:tcW w:w="417" w:type="pct"/>
            <w:vAlign w:val="center"/>
          </w:tcPr>
          <w:p w14:paraId="3C8129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Cs w:val="21"/>
                <w:highlight w:val="none"/>
                <w:u w:val="singl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Cs w:val="21"/>
                <w:highlight w:val="none"/>
                <w:u w:val="single"/>
                <w:lang w:val="en-US" w:eastAsia="zh-CN" w:bidi="ar"/>
                <w14:textFill>
                  <w14:solidFill>
                    <w14:schemeClr w14:val="tx1"/>
                  </w14:solidFill>
                </w14:textFill>
              </w:rPr>
              <w:t>1</w:t>
            </w:r>
          </w:p>
        </w:tc>
        <w:tc>
          <w:tcPr>
            <w:tcW w:w="407" w:type="pct"/>
            <w:vMerge w:val="continue"/>
            <w:vAlign w:val="center"/>
          </w:tcPr>
          <w:p w14:paraId="54548D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pPr>
          </w:p>
        </w:tc>
        <w:tc>
          <w:tcPr>
            <w:tcW w:w="643" w:type="pct"/>
            <w:vAlign w:val="center"/>
          </w:tcPr>
          <w:p w14:paraId="4606714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pPr>
            <w: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t>桶装/编织袋装</w:t>
            </w:r>
          </w:p>
        </w:tc>
        <w:tc>
          <w:tcPr>
            <w:tcW w:w="511" w:type="pct"/>
            <w:vAlign w:val="center"/>
          </w:tcPr>
          <w:p w14:paraId="2D5600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pPr>
            <w:r>
              <w:rPr>
                <w:rFonts w:hint="default" w:ascii="Times New Roman" w:hAnsi="Times New Roman" w:eastAsia="宋体" w:cs="Times New Roman"/>
                <w:b w:val="0"/>
                <w:bCs w:val="0"/>
                <w:color w:val="000000" w:themeColor="text1"/>
                <w:kern w:val="0"/>
                <w:szCs w:val="21"/>
                <w:highlight w:val="none"/>
                <w:u w:val="single"/>
                <w:lang w:bidi="ar"/>
                <w14:textFill>
                  <w14:solidFill>
                    <w14:schemeClr w14:val="tx1"/>
                  </w14:solidFill>
                </w14:textFill>
              </w:rPr>
              <w:t>新增种类</w:t>
            </w:r>
          </w:p>
        </w:tc>
      </w:tr>
      <w:tr w14:paraId="45CD27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187152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1E32DB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6EAEB1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szCs w:val="21"/>
                <w:highlight w:val="none"/>
                <w:u w:val="single"/>
              </w:rPr>
              <w:t>266-009-16</w:t>
            </w:r>
          </w:p>
        </w:tc>
        <w:tc>
          <w:tcPr>
            <w:tcW w:w="395" w:type="pct"/>
            <w:vAlign w:val="center"/>
          </w:tcPr>
          <w:p w14:paraId="43D684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4F80D7E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30087E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72E9E1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55EB8AB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1F69A0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1BC735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6E361E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F09C9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54E78D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1F8489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266-010-16</w:t>
            </w:r>
          </w:p>
        </w:tc>
        <w:tc>
          <w:tcPr>
            <w:tcW w:w="395" w:type="pct"/>
            <w:vAlign w:val="center"/>
          </w:tcPr>
          <w:p w14:paraId="796CAE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733BD9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0C7E99C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51AEAA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75BA91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7AEE36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0BFD3C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2B009D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F3AB7B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2E05E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181350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szCs w:val="21"/>
                <w:highlight w:val="none"/>
                <w:u w:val="single"/>
              </w:rPr>
              <w:t>900-019-16</w:t>
            </w:r>
          </w:p>
        </w:tc>
        <w:tc>
          <w:tcPr>
            <w:tcW w:w="395" w:type="pct"/>
            <w:vAlign w:val="center"/>
          </w:tcPr>
          <w:p w14:paraId="17BEF4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6F4785D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continue"/>
            <w:vAlign w:val="center"/>
          </w:tcPr>
          <w:p w14:paraId="17B46D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3B2A78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2D9D50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634291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26A8AA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0C43EE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384785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10</w:t>
            </w:r>
          </w:p>
        </w:tc>
        <w:tc>
          <w:tcPr>
            <w:tcW w:w="820" w:type="pct"/>
            <w:vMerge w:val="restart"/>
            <w:vAlign w:val="center"/>
          </w:tcPr>
          <w:p w14:paraId="15862AF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HW17</w:t>
            </w:r>
          </w:p>
          <w:p w14:paraId="560A8E9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zCs w:val="21"/>
                <w:highlight w:val="none"/>
                <w:u w:val="single"/>
              </w:rPr>
              <w:t>表面处理废物</w:t>
            </w:r>
          </w:p>
        </w:tc>
        <w:tc>
          <w:tcPr>
            <w:tcW w:w="581" w:type="pct"/>
            <w:vAlign w:val="center"/>
          </w:tcPr>
          <w:p w14:paraId="18B8EA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336-064-17</w:t>
            </w:r>
          </w:p>
        </w:tc>
        <w:tc>
          <w:tcPr>
            <w:tcW w:w="395" w:type="pct"/>
            <w:vAlign w:val="center"/>
          </w:tcPr>
          <w:p w14:paraId="4BB181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T,C</w:t>
            </w:r>
          </w:p>
        </w:tc>
        <w:tc>
          <w:tcPr>
            <w:tcW w:w="551" w:type="pct"/>
            <w:vAlign w:val="center"/>
          </w:tcPr>
          <w:p w14:paraId="3521262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restart"/>
            <w:vAlign w:val="center"/>
          </w:tcPr>
          <w:p w14:paraId="09022E1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eastAsia" w:ascii="Times New Roman" w:hAnsi="Times New Roman" w:cs="Times New Roman"/>
                <w:color w:val="000000"/>
                <w:szCs w:val="21"/>
                <w:highlight w:val="none"/>
                <w:u w:val="single"/>
                <w:lang w:val="en-US" w:eastAsia="zh-CN"/>
              </w:rPr>
              <w:t>1000</w:t>
            </w:r>
          </w:p>
        </w:tc>
        <w:tc>
          <w:tcPr>
            <w:tcW w:w="417" w:type="pct"/>
            <w:vAlign w:val="center"/>
          </w:tcPr>
          <w:p w14:paraId="6B0A48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restart"/>
            <w:vAlign w:val="center"/>
          </w:tcPr>
          <w:p w14:paraId="25CC05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eastAsia" w:ascii="Times New Roman" w:hAnsi="Times New Roman" w:cs="Times New Roman"/>
                <w:color w:val="000000"/>
                <w:kern w:val="0"/>
                <w:szCs w:val="21"/>
                <w:highlight w:val="none"/>
                <w:u w:val="single"/>
                <w:lang w:val="en-US" w:eastAsia="zh-CN" w:bidi="ar"/>
              </w:rPr>
              <w:t>12</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56B75E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647AA0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5573E0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1FECA0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DB010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szCs w:val="21"/>
                <w:highlight w:val="none"/>
                <w:u w:val="single"/>
              </w:rPr>
            </w:pPr>
          </w:p>
        </w:tc>
        <w:tc>
          <w:tcPr>
            <w:tcW w:w="581" w:type="pct"/>
            <w:vAlign w:val="center"/>
          </w:tcPr>
          <w:p w14:paraId="6E66F39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336-052-17</w:t>
            </w:r>
          </w:p>
        </w:tc>
        <w:tc>
          <w:tcPr>
            <w:tcW w:w="395" w:type="pct"/>
            <w:vAlign w:val="center"/>
          </w:tcPr>
          <w:p w14:paraId="3AB91B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4524FD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continue"/>
            <w:vAlign w:val="center"/>
          </w:tcPr>
          <w:p w14:paraId="7AD44C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2A8F4E6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2FF45E1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75C8BA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5C744E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45FFD5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C5AEB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0257D29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29C6F0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336-058-17</w:t>
            </w:r>
          </w:p>
        </w:tc>
        <w:tc>
          <w:tcPr>
            <w:tcW w:w="395" w:type="pct"/>
            <w:vAlign w:val="center"/>
          </w:tcPr>
          <w:p w14:paraId="0FEEBA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0428305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continue"/>
            <w:vAlign w:val="center"/>
          </w:tcPr>
          <w:p w14:paraId="2051CF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295062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734CC47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5451D0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4EBE551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08889B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613F46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56809D8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5F37C74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336-062-17</w:t>
            </w:r>
          </w:p>
        </w:tc>
        <w:tc>
          <w:tcPr>
            <w:tcW w:w="395" w:type="pct"/>
            <w:vAlign w:val="center"/>
          </w:tcPr>
          <w:p w14:paraId="53EA38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102FA8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continue"/>
            <w:vAlign w:val="center"/>
          </w:tcPr>
          <w:p w14:paraId="781069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47B60F0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04BECE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161F2C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46F7C0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3516EF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42FCFA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30D04D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0033278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pacing w:val="-1"/>
                <w:sz w:val="21"/>
                <w:szCs w:val="21"/>
                <w:highlight w:val="none"/>
                <w:u w:val="single"/>
                <w:lang w:val="en-US" w:eastAsia="zh-CN"/>
              </w:rPr>
              <w:t>336-063-17</w:t>
            </w:r>
          </w:p>
        </w:tc>
        <w:tc>
          <w:tcPr>
            <w:tcW w:w="395" w:type="pct"/>
            <w:vAlign w:val="center"/>
          </w:tcPr>
          <w:p w14:paraId="2EE84D8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position w:val="-2"/>
                <w:sz w:val="23"/>
                <w:szCs w:val="23"/>
                <w:highlight w:val="none"/>
                <w:u w:val="single"/>
                <w:lang w:val="en-US" w:eastAsia="zh-CN"/>
              </w:rPr>
              <w:t>T</w:t>
            </w:r>
          </w:p>
        </w:tc>
        <w:tc>
          <w:tcPr>
            <w:tcW w:w="551" w:type="pct"/>
            <w:vAlign w:val="center"/>
          </w:tcPr>
          <w:p w14:paraId="6BDDB3C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液态/固态</w:t>
            </w:r>
          </w:p>
        </w:tc>
        <w:tc>
          <w:tcPr>
            <w:tcW w:w="417" w:type="pct"/>
            <w:vMerge w:val="continue"/>
            <w:vAlign w:val="center"/>
          </w:tcPr>
          <w:p w14:paraId="4BDF2AB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14DD53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3713852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514E9E8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2F2B44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342897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63ADF2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B69219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3B3E36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z w:val="21"/>
                <w:szCs w:val="21"/>
                <w:highlight w:val="none"/>
                <w:u w:val="single"/>
              </w:rPr>
              <w:t>336-069-17</w:t>
            </w:r>
          </w:p>
        </w:tc>
        <w:tc>
          <w:tcPr>
            <w:tcW w:w="395" w:type="pct"/>
            <w:vAlign w:val="center"/>
          </w:tcPr>
          <w:p w14:paraId="691FC6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21738F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continue"/>
            <w:vAlign w:val="center"/>
          </w:tcPr>
          <w:p w14:paraId="5F7B35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3E31E0F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35BF0F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5D32F3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660315B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6DD071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62D374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11</w:t>
            </w:r>
          </w:p>
        </w:tc>
        <w:tc>
          <w:tcPr>
            <w:tcW w:w="820" w:type="pct"/>
            <w:vMerge w:val="restart"/>
            <w:vAlign w:val="center"/>
          </w:tcPr>
          <w:p w14:paraId="2C77B3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HW22</w:t>
            </w:r>
          </w:p>
          <w:p w14:paraId="56F178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含铜废物</w:t>
            </w:r>
          </w:p>
        </w:tc>
        <w:tc>
          <w:tcPr>
            <w:tcW w:w="581" w:type="pct"/>
            <w:vAlign w:val="center"/>
          </w:tcPr>
          <w:p w14:paraId="75F53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304-001-22</w:t>
            </w:r>
          </w:p>
        </w:tc>
        <w:tc>
          <w:tcPr>
            <w:tcW w:w="395" w:type="pct"/>
            <w:vAlign w:val="center"/>
          </w:tcPr>
          <w:p w14:paraId="5EF383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0384CA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restart"/>
            <w:vAlign w:val="center"/>
          </w:tcPr>
          <w:p w14:paraId="2354F5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100</w:t>
            </w:r>
          </w:p>
        </w:tc>
        <w:tc>
          <w:tcPr>
            <w:tcW w:w="417" w:type="pct"/>
            <w:vAlign w:val="center"/>
          </w:tcPr>
          <w:p w14:paraId="24FC31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restart"/>
            <w:vAlign w:val="center"/>
          </w:tcPr>
          <w:p w14:paraId="6F71445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val="en-US" w:eastAsia="zh-CN" w:bidi="ar"/>
              </w:rPr>
              <w:t>5</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775D14A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26B271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2BDBD0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686C4F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2E5A4A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0072A06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highlight w:val="none"/>
                <w:u w:val="single"/>
              </w:rPr>
              <w:t>398-004-22</w:t>
            </w:r>
          </w:p>
        </w:tc>
        <w:tc>
          <w:tcPr>
            <w:tcW w:w="395" w:type="pct"/>
            <w:vAlign w:val="center"/>
          </w:tcPr>
          <w:p w14:paraId="2A85B4F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337AF4D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0659FC7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334927D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7746D4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2A9013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06317E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4DE34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292353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12</w:t>
            </w:r>
          </w:p>
        </w:tc>
        <w:tc>
          <w:tcPr>
            <w:tcW w:w="820" w:type="pct"/>
            <w:vMerge w:val="restart"/>
            <w:vAlign w:val="center"/>
          </w:tcPr>
          <w:p w14:paraId="00D738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HW29</w:t>
            </w:r>
          </w:p>
          <w:p w14:paraId="38B8BD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含汞废物</w:t>
            </w:r>
          </w:p>
        </w:tc>
        <w:tc>
          <w:tcPr>
            <w:tcW w:w="581" w:type="pct"/>
            <w:vAlign w:val="center"/>
          </w:tcPr>
          <w:p w14:paraId="17964C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900-023-29</w:t>
            </w:r>
          </w:p>
        </w:tc>
        <w:tc>
          <w:tcPr>
            <w:tcW w:w="395" w:type="pct"/>
            <w:vAlign w:val="center"/>
          </w:tcPr>
          <w:p w14:paraId="764B72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6B236B4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restart"/>
            <w:vAlign w:val="center"/>
          </w:tcPr>
          <w:p w14:paraId="0D6CF2D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50</w:t>
            </w:r>
          </w:p>
        </w:tc>
        <w:tc>
          <w:tcPr>
            <w:tcW w:w="417" w:type="pct"/>
            <w:vAlign w:val="center"/>
          </w:tcPr>
          <w:p w14:paraId="671C86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restart"/>
            <w:vAlign w:val="center"/>
          </w:tcPr>
          <w:p w14:paraId="46F0FD8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val="en-US" w:eastAsia="zh-CN" w:bidi="ar"/>
              </w:rPr>
              <w:t>3</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5C030CB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箱装</w:t>
            </w:r>
          </w:p>
        </w:tc>
        <w:tc>
          <w:tcPr>
            <w:tcW w:w="511" w:type="pct"/>
            <w:vAlign w:val="center"/>
          </w:tcPr>
          <w:p w14:paraId="386E1B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2A9B14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D12BB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4E9634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581" w:type="pct"/>
            <w:vAlign w:val="center"/>
          </w:tcPr>
          <w:p w14:paraId="618640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900-024-29</w:t>
            </w:r>
          </w:p>
        </w:tc>
        <w:tc>
          <w:tcPr>
            <w:tcW w:w="395" w:type="pct"/>
            <w:vAlign w:val="center"/>
          </w:tcPr>
          <w:p w14:paraId="2D20E6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1A98DA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40C25E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Align w:val="center"/>
          </w:tcPr>
          <w:p w14:paraId="3AA765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continue"/>
            <w:vAlign w:val="center"/>
          </w:tcPr>
          <w:p w14:paraId="08B34D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579F3E4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21D2E2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02AF19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609338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rPr>
              <w:t>1</w:t>
            </w:r>
            <w:r>
              <w:rPr>
                <w:rFonts w:hint="default" w:ascii="Times New Roman" w:hAnsi="Times New Roman" w:eastAsia="宋体" w:cs="Times New Roman"/>
                <w:color w:val="000000"/>
                <w:szCs w:val="21"/>
                <w:highlight w:val="none"/>
                <w:u w:val="single"/>
                <w:lang w:val="en-US" w:eastAsia="zh-CN"/>
              </w:rPr>
              <w:t>3</w:t>
            </w:r>
          </w:p>
        </w:tc>
        <w:tc>
          <w:tcPr>
            <w:tcW w:w="820" w:type="pct"/>
            <w:vMerge w:val="restart"/>
            <w:vAlign w:val="center"/>
          </w:tcPr>
          <w:p w14:paraId="660D8CB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HW31</w:t>
            </w:r>
          </w:p>
          <w:p w14:paraId="40DD9F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szCs w:val="21"/>
                <w:highlight w:val="none"/>
                <w:u w:val="single"/>
              </w:rPr>
              <w:t>含铅废物</w:t>
            </w:r>
          </w:p>
        </w:tc>
        <w:tc>
          <w:tcPr>
            <w:tcW w:w="581" w:type="pct"/>
            <w:vAlign w:val="center"/>
          </w:tcPr>
          <w:p w14:paraId="1E61EF1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z w:val="21"/>
                <w:szCs w:val="21"/>
                <w:highlight w:val="none"/>
                <w:u w:val="single"/>
              </w:rPr>
              <w:t>900-052-31</w:t>
            </w:r>
          </w:p>
        </w:tc>
        <w:tc>
          <w:tcPr>
            <w:tcW w:w="395" w:type="pct"/>
            <w:vAlign w:val="center"/>
          </w:tcPr>
          <w:p w14:paraId="43C9E72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T,C</w:t>
            </w:r>
          </w:p>
        </w:tc>
        <w:tc>
          <w:tcPr>
            <w:tcW w:w="551" w:type="pct"/>
            <w:vAlign w:val="center"/>
          </w:tcPr>
          <w:p w14:paraId="6A5E445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restart"/>
            <w:vAlign w:val="center"/>
          </w:tcPr>
          <w:p w14:paraId="728D2A5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4000</w:t>
            </w:r>
          </w:p>
        </w:tc>
        <w:tc>
          <w:tcPr>
            <w:tcW w:w="417" w:type="pct"/>
            <w:vAlign w:val="center"/>
          </w:tcPr>
          <w:p w14:paraId="0DBD34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10</w:t>
            </w:r>
          </w:p>
        </w:tc>
        <w:tc>
          <w:tcPr>
            <w:tcW w:w="407" w:type="pct"/>
            <w:vMerge w:val="restart"/>
            <w:vAlign w:val="center"/>
          </w:tcPr>
          <w:p w14:paraId="4570D8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val="en-US" w:eastAsia="zh-CN" w:bidi="ar"/>
              </w:rPr>
              <w:t>12</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12F8216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eastAsia" w:ascii="Times New Roman" w:hAnsi="Times New Roman" w:eastAsia="宋体" w:cs="Times New Roman"/>
                <w:color w:val="000000"/>
                <w:kern w:val="0"/>
                <w:szCs w:val="21"/>
                <w:highlight w:val="none"/>
                <w:u w:val="single"/>
                <w:lang w:eastAsia="zh-CN" w:bidi="ar"/>
              </w:rPr>
            </w:pPr>
            <w:r>
              <w:rPr>
                <w:rFonts w:hint="eastAsia" w:ascii="Times New Roman" w:hAnsi="Times New Roman" w:cs="Times New Roman"/>
                <w:color w:val="000000"/>
                <w:kern w:val="0"/>
                <w:szCs w:val="21"/>
                <w:highlight w:val="none"/>
                <w:u w:val="single"/>
                <w:lang w:val="en-US" w:eastAsia="zh-CN" w:bidi="ar"/>
              </w:rPr>
              <w:t>托盘装</w:t>
            </w:r>
          </w:p>
        </w:tc>
        <w:tc>
          <w:tcPr>
            <w:tcW w:w="511" w:type="pct"/>
            <w:vAlign w:val="center"/>
          </w:tcPr>
          <w:p w14:paraId="7FC7777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1E804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6" w:hRule="atLeast"/>
        </w:trPr>
        <w:tc>
          <w:tcPr>
            <w:tcW w:w="254" w:type="pct"/>
            <w:vMerge w:val="continue"/>
            <w:vAlign w:val="center"/>
          </w:tcPr>
          <w:p w14:paraId="14DDAF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D9857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p>
        </w:tc>
        <w:tc>
          <w:tcPr>
            <w:tcW w:w="581" w:type="pct"/>
            <w:vAlign w:val="center"/>
          </w:tcPr>
          <w:p w14:paraId="517448A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pacing w:val="-1"/>
                <w:sz w:val="21"/>
                <w:szCs w:val="21"/>
                <w:highlight w:val="none"/>
                <w:u w:val="single"/>
                <w:lang w:val="en-US" w:eastAsia="zh-CN"/>
              </w:rPr>
              <w:t>900-025-31</w:t>
            </w:r>
          </w:p>
        </w:tc>
        <w:tc>
          <w:tcPr>
            <w:tcW w:w="395" w:type="pct"/>
            <w:vAlign w:val="center"/>
          </w:tcPr>
          <w:p w14:paraId="3556245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position w:val="-3"/>
                <w:sz w:val="22"/>
                <w:szCs w:val="22"/>
                <w:highlight w:val="none"/>
                <w:u w:val="single"/>
              </w:rPr>
              <w:t>T</w:t>
            </w:r>
          </w:p>
        </w:tc>
        <w:tc>
          <w:tcPr>
            <w:tcW w:w="551" w:type="pct"/>
            <w:vAlign w:val="center"/>
          </w:tcPr>
          <w:p w14:paraId="3994588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固态</w:t>
            </w:r>
          </w:p>
        </w:tc>
        <w:tc>
          <w:tcPr>
            <w:tcW w:w="417" w:type="pct"/>
            <w:vMerge w:val="continue"/>
            <w:vAlign w:val="center"/>
          </w:tcPr>
          <w:p w14:paraId="1332EE2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Align w:val="center"/>
          </w:tcPr>
          <w:p w14:paraId="79EC5B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5</w:t>
            </w:r>
          </w:p>
        </w:tc>
        <w:tc>
          <w:tcPr>
            <w:tcW w:w="407" w:type="pct"/>
            <w:vMerge w:val="continue"/>
            <w:vAlign w:val="center"/>
          </w:tcPr>
          <w:p w14:paraId="43A5A20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1DCE0A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6CED0E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447157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0C04A9B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5BC784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p>
        </w:tc>
        <w:tc>
          <w:tcPr>
            <w:tcW w:w="581" w:type="pct"/>
            <w:vAlign w:val="center"/>
          </w:tcPr>
          <w:p w14:paraId="41B9D9B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pacing w:val="-1"/>
                <w:sz w:val="21"/>
                <w:szCs w:val="21"/>
                <w:highlight w:val="none"/>
                <w:u w:val="single"/>
                <w:lang w:val="en-US" w:eastAsia="zh-CN"/>
              </w:rPr>
              <w:t>304-002-31</w:t>
            </w:r>
          </w:p>
        </w:tc>
        <w:tc>
          <w:tcPr>
            <w:tcW w:w="395" w:type="pct"/>
            <w:vAlign w:val="center"/>
          </w:tcPr>
          <w:p w14:paraId="0868CE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position w:val="-3"/>
                <w:sz w:val="22"/>
                <w:szCs w:val="22"/>
                <w:highlight w:val="none"/>
                <w:u w:val="single"/>
              </w:rPr>
              <w:t>T</w:t>
            </w:r>
          </w:p>
        </w:tc>
        <w:tc>
          <w:tcPr>
            <w:tcW w:w="551" w:type="pct"/>
            <w:vAlign w:val="center"/>
          </w:tcPr>
          <w:p w14:paraId="1468D85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固态</w:t>
            </w:r>
          </w:p>
        </w:tc>
        <w:tc>
          <w:tcPr>
            <w:tcW w:w="417" w:type="pct"/>
            <w:vMerge w:val="continue"/>
            <w:vAlign w:val="center"/>
          </w:tcPr>
          <w:p w14:paraId="2922E9C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Align w:val="center"/>
          </w:tcPr>
          <w:p w14:paraId="36A37C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5</w:t>
            </w:r>
          </w:p>
        </w:tc>
        <w:tc>
          <w:tcPr>
            <w:tcW w:w="407" w:type="pct"/>
            <w:vMerge w:val="continue"/>
            <w:vAlign w:val="center"/>
          </w:tcPr>
          <w:p w14:paraId="273A34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5BF2EE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4150ABA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79748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4C1623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4DACD87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p>
        </w:tc>
        <w:tc>
          <w:tcPr>
            <w:tcW w:w="581" w:type="pct"/>
            <w:vAlign w:val="center"/>
          </w:tcPr>
          <w:p w14:paraId="0A711F6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jc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pacing w:val="-1"/>
                <w:sz w:val="21"/>
                <w:szCs w:val="21"/>
                <w:highlight w:val="none"/>
                <w:u w:val="single"/>
                <w:lang w:val="en-US" w:eastAsia="zh-CN"/>
              </w:rPr>
              <w:t>398-052-31</w:t>
            </w:r>
          </w:p>
        </w:tc>
        <w:tc>
          <w:tcPr>
            <w:tcW w:w="395" w:type="pct"/>
            <w:vAlign w:val="center"/>
          </w:tcPr>
          <w:p w14:paraId="38EFBDF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position w:val="-3"/>
                <w:sz w:val="22"/>
                <w:szCs w:val="22"/>
                <w:highlight w:val="none"/>
                <w:u w:val="single"/>
              </w:rPr>
              <w:t>T</w:t>
            </w:r>
          </w:p>
        </w:tc>
        <w:tc>
          <w:tcPr>
            <w:tcW w:w="551" w:type="pct"/>
            <w:vAlign w:val="center"/>
          </w:tcPr>
          <w:p w14:paraId="6BC4289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液态</w:t>
            </w:r>
          </w:p>
        </w:tc>
        <w:tc>
          <w:tcPr>
            <w:tcW w:w="417" w:type="pct"/>
            <w:vMerge w:val="continue"/>
            <w:vAlign w:val="center"/>
          </w:tcPr>
          <w:p w14:paraId="66A36C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Align w:val="center"/>
          </w:tcPr>
          <w:p w14:paraId="197488A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10</w:t>
            </w:r>
          </w:p>
        </w:tc>
        <w:tc>
          <w:tcPr>
            <w:tcW w:w="407" w:type="pct"/>
            <w:vMerge w:val="continue"/>
            <w:vAlign w:val="center"/>
          </w:tcPr>
          <w:p w14:paraId="30324E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3A6EE4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4E7FACF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72674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072C99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14</w:t>
            </w:r>
          </w:p>
        </w:tc>
        <w:tc>
          <w:tcPr>
            <w:tcW w:w="820" w:type="pct"/>
            <w:vMerge w:val="restart"/>
            <w:vAlign w:val="center"/>
          </w:tcPr>
          <w:p w14:paraId="089BCAD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HW34</w:t>
            </w:r>
          </w:p>
          <w:p w14:paraId="45E2A18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废酸</w:t>
            </w:r>
          </w:p>
        </w:tc>
        <w:tc>
          <w:tcPr>
            <w:tcW w:w="581" w:type="pct"/>
            <w:vAlign w:val="center"/>
          </w:tcPr>
          <w:p w14:paraId="04A3473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z w:val="21"/>
                <w:szCs w:val="21"/>
                <w:highlight w:val="none"/>
                <w:u w:val="single"/>
              </w:rPr>
              <w:t>900-300-34</w:t>
            </w:r>
          </w:p>
        </w:tc>
        <w:tc>
          <w:tcPr>
            <w:tcW w:w="395" w:type="pct"/>
            <w:vAlign w:val="center"/>
          </w:tcPr>
          <w:p w14:paraId="535BD6D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C,T</w:t>
            </w:r>
          </w:p>
        </w:tc>
        <w:tc>
          <w:tcPr>
            <w:tcW w:w="551" w:type="pct"/>
            <w:vAlign w:val="center"/>
          </w:tcPr>
          <w:p w14:paraId="1BB9063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w:t>
            </w:r>
          </w:p>
        </w:tc>
        <w:tc>
          <w:tcPr>
            <w:tcW w:w="417" w:type="pct"/>
            <w:vMerge w:val="restart"/>
            <w:vAlign w:val="center"/>
          </w:tcPr>
          <w:p w14:paraId="1A30A0E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100</w:t>
            </w:r>
          </w:p>
        </w:tc>
        <w:tc>
          <w:tcPr>
            <w:tcW w:w="417" w:type="pct"/>
            <w:vAlign w:val="center"/>
          </w:tcPr>
          <w:p w14:paraId="73589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restart"/>
            <w:vAlign w:val="center"/>
          </w:tcPr>
          <w:p w14:paraId="1F19F8F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val="en-US" w:eastAsia="zh-CN" w:bidi="ar"/>
              </w:rPr>
              <w:t>3</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3D4345E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4FCAA32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00089A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38A396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51E2C06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p>
        </w:tc>
        <w:tc>
          <w:tcPr>
            <w:tcW w:w="581" w:type="pct"/>
            <w:vAlign w:val="center"/>
          </w:tcPr>
          <w:p w14:paraId="026606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z w:val="21"/>
                <w:szCs w:val="21"/>
                <w:highlight w:val="none"/>
                <w:u w:val="single"/>
              </w:rPr>
              <w:t>900-349-34</w:t>
            </w:r>
          </w:p>
        </w:tc>
        <w:tc>
          <w:tcPr>
            <w:tcW w:w="395" w:type="pct"/>
            <w:vAlign w:val="center"/>
          </w:tcPr>
          <w:p w14:paraId="59817B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C,T</w:t>
            </w:r>
          </w:p>
        </w:tc>
        <w:tc>
          <w:tcPr>
            <w:tcW w:w="551" w:type="pct"/>
            <w:vAlign w:val="center"/>
          </w:tcPr>
          <w:p w14:paraId="5C0C86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continue"/>
            <w:vAlign w:val="center"/>
          </w:tcPr>
          <w:p w14:paraId="01E8F6D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Align w:val="center"/>
          </w:tcPr>
          <w:p w14:paraId="0EE534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continue"/>
            <w:vAlign w:val="center"/>
          </w:tcPr>
          <w:p w14:paraId="079A89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6746E90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1AFF6E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5B27DB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7C39A4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A342F6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p>
        </w:tc>
        <w:tc>
          <w:tcPr>
            <w:tcW w:w="581" w:type="pct"/>
            <w:vAlign w:val="center"/>
          </w:tcPr>
          <w:p w14:paraId="70A8613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z w:val="21"/>
                <w:szCs w:val="21"/>
                <w:highlight w:val="none"/>
                <w:u w:val="single"/>
              </w:rPr>
              <w:t>398-005-34</w:t>
            </w:r>
          </w:p>
        </w:tc>
        <w:tc>
          <w:tcPr>
            <w:tcW w:w="395" w:type="pct"/>
            <w:vAlign w:val="center"/>
          </w:tcPr>
          <w:p w14:paraId="3143BA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C,T</w:t>
            </w:r>
          </w:p>
        </w:tc>
        <w:tc>
          <w:tcPr>
            <w:tcW w:w="551" w:type="pct"/>
            <w:vAlign w:val="center"/>
          </w:tcPr>
          <w:p w14:paraId="0366DA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1AADBB3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Align w:val="center"/>
          </w:tcPr>
          <w:p w14:paraId="17754DC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p>
        </w:tc>
        <w:tc>
          <w:tcPr>
            <w:tcW w:w="407" w:type="pct"/>
            <w:vMerge w:val="continue"/>
            <w:vAlign w:val="center"/>
          </w:tcPr>
          <w:p w14:paraId="575AF7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6D93DE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41E91FD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2C1064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6CDEC8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15</w:t>
            </w:r>
          </w:p>
        </w:tc>
        <w:tc>
          <w:tcPr>
            <w:tcW w:w="820" w:type="pct"/>
            <w:vMerge w:val="restart"/>
            <w:vAlign w:val="center"/>
          </w:tcPr>
          <w:p w14:paraId="14D65BC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HW35</w:t>
            </w:r>
          </w:p>
          <w:p w14:paraId="6D99CBF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废碱</w:t>
            </w:r>
          </w:p>
        </w:tc>
        <w:tc>
          <w:tcPr>
            <w:tcW w:w="581" w:type="pct"/>
            <w:vAlign w:val="center"/>
          </w:tcPr>
          <w:p w14:paraId="2A1ADF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z w:val="21"/>
                <w:szCs w:val="21"/>
                <w:highlight w:val="none"/>
                <w:u w:val="single"/>
              </w:rPr>
              <w:t>900-399-35</w:t>
            </w:r>
          </w:p>
        </w:tc>
        <w:tc>
          <w:tcPr>
            <w:tcW w:w="395" w:type="pct"/>
            <w:vAlign w:val="center"/>
          </w:tcPr>
          <w:p w14:paraId="177F028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C,T</w:t>
            </w:r>
          </w:p>
        </w:tc>
        <w:tc>
          <w:tcPr>
            <w:tcW w:w="551" w:type="pct"/>
            <w:vAlign w:val="center"/>
          </w:tcPr>
          <w:p w14:paraId="548A38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液态/固态</w:t>
            </w:r>
          </w:p>
        </w:tc>
        <w:tc>
          <w:tcPr>
            <w:tcW w:w="417" w:type="pct"/>
            <w:vMerge w:val="restart"/>
            <w:vAlign w:val="center"/>
          </w:tcPr>
          <w:p w14:paraId="537F285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100</w:t>
            </w:r>
          </w:p>
        </w:tc>
        <w:tc>
          <w:tcPr>
            <w:tcW w:w="417" w:type="pct"/>
            <w:vMerge w:val="restart"/>
            <w:vAlign w:val="center"/>
          </w:tcPr>
          <w:p w14:paraId="4F8A09A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2</w:t>
            </w:r>
          </w:p>
        </w:tc>
        <w:tc>
          <w:tcPr>
            <w:tcW w:w="407" w:type="pct"/>
            <w:vMerge w:val="restart"/>
            <w:vAlign w:val="center"/>
          </w:tcPr>
          <w:p w14:paraId="1B18577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val="en-US" w:eastAsia="zh-CN" w:bidi="ar"/>
              </w:rPr>
              <w:t>5</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7C19274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64C317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4006A7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3B583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34D677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p>
        </w:tc>
        <w:tc>
          <w:tcPr>
            <w:tcW w:w="581" w:type="pct"/>
            <w:vAlign w:val="center"/>
          </w:tcPr>
          <w:p w14:paraId="51E758C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pacing w:val="-1"/>
                <w:sz w:val="21"/>
                <w:szCs w:val="21"/>
                <w:highlight w:val="none"/>
                <w:u w:val="single"/>
                <w:lang w:val="en-US" w:eastAsia="zh-CN"/>
              </w:rPr>
              <w:t>900-352-35</w:t>
            </w:r>
          </w:p>
        </w:tc>
        <w:tc>
          <w:tcPr>
            <w:tcW w:w="395" w:type="pct"/>
            <w:vAlign w:val="center"/>
          </w:tcPr>
          <w:p w14:paraId="3748B63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C,T</w:t>
            </w:r>
          </w:p>
        </w:tc>
        <w:tc>
          <w:tcPr>
            <w:tcW w:w="551" w:type="pct"/>
            <w:vAlign w:val="center"/>
          </w:tcPr>
          <w:p w14:paraId="760EA5A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液态</w:t>
            </w:r>
          </w:p>
        </w:tc>
        <w:tc>
          <w:tcPr>
            <w:tcW w:w="417" w:type="pct"/>
            <w:vMerge w:val="continue"/>
            <w:vAlign w:val="center"/>
          </w:tcPr>
          <w:p w14:paraId="677769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1A1B2EC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07" w:type="pct"/>
            <w:vMerge w:val="continue"/>
            <w:vAlign w:val="center"/>
          </w:tcPr>
          <w:p w14:paraId="4C29DF7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0D9D9B1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5A30B1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7B48BE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B935B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0F57557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p>
        </w:tc>
        <w:tc>
          <w:tcPr>
            <w:tcW w:w="581" w:type="pct"/>
            <w:vAlign w:val="center"/>
          </w:tcPr>
          <w:p w14:paraId="06721C7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pacing w:val="-1"/>
                <w:sz w:val="21"/>
                <w:szCs w:val="21"/>
                <w:highlight w:val="none"/>
                <w:u w:val="single"/>
                <w:lang w:val="en-US" w:eastAsia="zh-CN"/>
              </w:rPr>
              <w:t>900-353-35</w:t>
            </w:r>
          </w:p>
        </w:tc>
        <w:tc>
          <w:tcPr>
            <w:tcW w:w="395" w:type="pct"/>
            <w:vAlign w:val="center"/>
          </w:tcPr>
          <w:p w14:paraId="27D91FE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C,T</w:t>
            </w:r>
          </w:p>
        </w:tc>
        <w:tc>
          <w:tcPr>
            <w:tcW w:w="551" w:type="pct"/>
            <w:vAlign w:val="center"/>
          </w:tcPr>
          <w:p w14:paraId="07840D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液态</w:t>
            </w:r>
          </w:p>
        </w:tc>
        <w:tc>
          <w:tcPr>
            <w:tcW w:w="417" w:type="pct"/>
            <w:vMerge w:val="continue"/>
            <w:vAlign w:val="center"/>
          </w:tcPr>
          <w:p w14:paraId="7E1935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1B89F8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07" w:type="pct"/>
            <w:vMerge w:val="continue"/>
            <w:vAlign w:val="center"/>
          </w:tcPr>
          <w:p w14:paraId="09274BE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45B7809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0A4A85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62150F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E4101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FAEFB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p>
        </w:tc>
        <w:tc>
          <w:tcPr>
            <w:tcW w:w="581" w:type="pct"/>
            <w:vAlign w:val="center"/>
          </w:tcPr>
          <w:p w14:paraId="31E7E94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b/>
                <w:bCs/>
                <w:color w:val="FF0000"/>
                <w:sz w:val="21"/>
                <w:szCs w:val="21"/>
                <w:highlight w:val="none"/>
                <w:u w:val="single"/>
              </w:rPr>
            </w:pPr>
            <w:r>
              <w:rPr>
                <w:rFonts w:hint="default" w:ascii="Times New Roman" w:hAnsi="Times New Roman" w:eastAsia="宋体" w:cs="Times New Roman"/>
                <w:b/>
                <w:bCs/>
                <w:color w:val="FF0000"/>
                <w:spacing w:val="-1"/>
                <w:sz w:val="21"/>
                <w:szCs w:val="21"/>
                <w:highlight w:val="none"/>
                <w:u w:val="single"/>
                <w:lang w:val="en-US" w:eastAsia="zh-CN"/>
              </w:rPr>
              <w:t>900-354-35</w:t>
            </w:r>
          </w:p>
        </w:tc>
        <w:tc>
          <w:tcPr>
            <w:tcW w:w="395" w:type="pct"/>
            <w:vAlign w:val="center"/>
          </w:tcPr>
          <w:p w14:paraId="08CC78A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C,T</w:t>
            </w:r>
          </w:p>
        </w:tc>
        <w:tc>
          <w:tcPr>
            <w:tcW w:w="551" w:type="pct"/>
            <w:vAlign w:val="center"/>
          </w:tcPr>
          <w:p w14:paraId="29DBF30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2"/>
                <w:sz w:val="23"/>
                <w:szCs w:val="23"/>
                <w:highlight w:val="none"/>
                <w:u w:val="single"/>
              </w:rPr>
              <w:t>液态</w:t>
            </w:r>
          </w:p>
        </w:tc>
        <w:tc>
          <w:tcPr>
            <w:tcW w:w="417" w:type="pct"/>
            <w:vMerge w:val="continue"/>
            <w:vAlign w:val="center"/>
          </w:tcPr>
          <w:p w14:paraId="5263E8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44BC565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07" w:type="pct"/>
            <w:vMerge w:val="continue"/>
            <w:vAlign w:val="center"/>
          </w:tcPr>
          <w:p w14:paraId="28B3F2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78F28CA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6D9E559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30D6CF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6E1BFC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kern w:val="0"/>
                <w:szCs w:val="21"/>
                <w:highlight w:val="none"/>
                <w:u w:val="single"/>
                <w:lang w:val="en-US" w:eastAsia="zh-CN" w:bidi="ar"/>
              </w:rPr>
              <w:t>16</w:t>
            </w:r>
          </w:p>
        </w:tc>
        <w:tc>
          <w:tcPr>
            <w:tcW w:w="820" w:type="pct"/>
            <w:vMerge w:val="restart"/>
            <w:vAlign w:val="center"/>
          </w:tcPr>
          <w:p w14:paraId="20F810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r>
              <w:rPr>
                <w:rStyle w:val="95"/>
                <w:rFonts w:hint="default" w:ascii="Times New Roman" w:hAnsi="Times New Roman" w:eastAsia="宋体" w:cs="Times New Roman"/>
                <w:sz w:val="21"/>
                <w:szCs w:val="21"/>
                <w:highlight w:val="none"/>
                <w:u w:val="single"/>
                <w:vertAlign w:val="baseline"/>
                <w:lang w:bidi="ar"/>
              </w:rPr>
              <w:t>HW36</w:t>
            </w:r>
          </w:p>
          <w:p w14:paraId="65BD56E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Style w:val="95"/>
                <w:rFonts w:hint="default" w:ascii="Times New Roman" w:hAnsi="Times New Roman" w:eastAsia="宋体" w:cs="Times New Roman"/>
                <w:sz w:val="21"/>
                <w:szCs w:val="21"/>
                <w:highlight w:val="none"/>
                <w:u w:val="single"/>
                <w:vertAlign w:val="baseline"/>
                <w:lang w:bidi="ar"/>
              </w:rPr>
              <w:t>石棉废物</w:t>
            </w:r>
          </w:p>
        </w:tc>
        <w:tc>
          <w:tcPr>
            <w:tcW w:w="581" w:type="pct"/>
            <w:vAlign w:val="center"/>
          </w:tcPr>
          <w:p w14:paraId="5BBBD6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 w:val="21"/>
                <w:szCs w:val="21"/>
                <w:highlight w:val="none"/>
                <w:u w:val="single"/>
              </w:rPr>
            </w:pPr>
            <w:r>
              <w:rPr>
                <w:rFonts w:hint="default" w:ascii="Times New Roman" w:hAnsi="Times New Roman" w:eastAsia="宋体" w:cs="Times New Roman"/>
                <w:color w:val="000000"/>
                <w:kern w:val="0"/>
                <w:sz w:val="21"/>
                <w:szCs w:val="21"/>
                <w:highlight w:val="none"/>
                <w:u w:val="single"/>
                <w:lang w:bidi="ar"/>
              </w:rPr>
              <w:t>900-032-36</w:t>
            </w:r>
          </w:p>
        </w:tc>
        <w:tc>
          <w:tcPr>
            <w:tcW w:w="395" w:type="pct"/>
            <w:vAlign w:val="center"/>
          </w:tcPr>
          <w:p w14:paraId="673DD9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52F848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restart"/>
            <w:vAlign w:val="center"/>
          </w:tcPr>
          <w:p w14:paraId="46F37E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val="en-US" w:eastAsia="zh-CN" w:bidi="ar"/>
              </w:rPr>
              <w:t>1</w:t>
            </w:r>
            <w:r>
              <w:rPr>
                <w:rFonts w:hint="default" w:ascii="Times New Roman" w:hAnsi="Times New Roman" w:eastAsia="宋体" w:cs="Times New Roman"/>
                <w:color w:val="000000"/>
                <w:kern w:val="0"/>
                <w:szCs w:val="21"/>
                <w:highlight w:val="none"/>
                <w:u w:val="single"/>
                <w:lang w:bidi="ar"/>
              </w:rPr>
              <w:t>00</w:t>
            </w:r>
          </w:p>
        </w:tc>
        <w:tc>
          <w:tcPr>
            <w:tcW w:w="417" w:type="pct"/>
            <w:vAlign w:val="center"/>
          </w:tcPr>
          <w:p w14:paraId="2CB3399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restart"/>
            <w:vAlign w:val="center"/>
          </w:tcPr>
          <w:p w14:paraId="6B1DA8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val="en-US" w:eastAsia="zh-CN" w:bidi="ar"/>
              </w:rPr>
              <w:t>3</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5047A90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167BB9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62940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19E7E7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7C78D21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035120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 w:val="21"/>
                <w:szCs w:val="21"/>
                <w:highlight w:val="none"/>
                <w:u w:val="single"/>
                <w:lang w:bidi="ar"/>
              </w:rPr>
            </w:pPr>
            <w:r>
              <w:rPr>
                <w:rFonts w:hint="default" w:ascii="Times New Roman" w:hAnsi="Times New Roman" w:eastAsia="宋体" w:cs="Times New Roman"/>
                <w:b/>
                <w:bCs/>
                <w:color w:val="FF0000"/>
                <w:sz w:val="21"/>
                <w:szCs w:val="21"/>
                <w:highlight w:val="none"/>
                <w:u w:val="single"/>
              </w:rPr>
              <w:t>900-030-36</w:t>
            </w:r>
          </w:p>
        </w:tc>
        <w:tc>
          <w:tcPr>
            <w:tcW w:w="395" w:type="pct"/>
            <w:vAlign w:val="center"/>
          </w:tcPr>
          <w:p w14:paraId="640C3B7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2FD0A38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continue"/>
            <w:vAlign w:val="center"/>
          </w:tcPr>
          <w:p w14:paraId="005A5E4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4C09DCD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continue"/>
            <w:vAlign w:val="center"/>
          </w:tcPr>
          <w:p w14:paraId="790C5A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353800B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196F185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0CF4C7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1DFFA3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820" w:type="pct"/>
            <w:vMerge w:val="continue"/>
            <w:vAlign w:val="center"/>
          </w:tcPr>
          <w:p w14:paraId="48A0EA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p>
        </w:tc>
        <w:tc>
          <w:tcPr>
            <w:tcW w:w="581" w:type="pct"/>
            <w:vAlign w:val="center"/>
          </w:tcPr>
          <w:p w14:paraId="1262323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sz w:val="21"/>
                <w:szCs w:val="21"/>
                <w:highlight w:val="none"/>
                <w:u w:val="single"/>
              </w:rPr>
            </w:pPr>
            <w:r>
              <w:rPr>
                <w:rFonts w:hint="default" w:ascii="Times New Roman" w:hAnsi="Times New Roman" w:eastAsia="宋体" w:cs="Times New Roman"/>
                <w:b/>
                <w:bCs/>
                <w:color w:val="FF0000"/>
                <w:spacing w:val="-1"/>
                <w:position w:val="-2"/>
                <w:sz w:val="21"/>
                <w:szCs w:val="21"/>
                <w:highlight w:val="none"/>
                <w:u w:val="single"/>
                <w:lang w:val="en-US" w:eastAsia="zh-CN"/>
              </w:rPr>
              <w:t>367-001-36</w:t>
            </w:r>
          </w:p>
        </w:tc>
        <w:tc>
          <w:tcPr>
            <w:tcW w:w="395" w:type="pct"/>
            <w:vAlign w:val="center"/>
          </w:tcPr>
          <w:p w14:paraId="6331BE9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position w:val="-2"/>
                <w:sz w:val="23"/>
                <w:szCs w:val="23"/>
                <w:highlight w:val="none"/>
                <w:u w:val="single"/>
              </w:rPr>
              <w:t>T</w:t>
            </w:r>
          </w:p>
        </w:tc>
        <w:tc>
          <w:tcPr>
            <w:tcW w:w="551" w:type="pct"/>
            <w:vAlign w:val="center"/>
          </w:tcPr>
          <w:p w14:paraId="6576249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spacing w:val="5"/>
                <w:sz w:val="23"/>
                <w:szCs w:val="23"/>
                <w:highlight w:val="none"/>
                <w:u w:val="single"/>
              </w:rPr>
              <w:t>固态</w:t>
            </w:r>
          </w:p>
        </w:tc>
        <w:tc>
          <w:tcPr>
            <w:tcW w:w="417" w:type="pct"/>
            <w:vMerge w:val="continue"/>
            <w:vAlign w:val="center"/>
          </w:tcPr>
          <w:p w14:paraId="1E00BF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417" w:type="pct"/>
            <w:vAlign w:val="center"/>
          </w:tcPr>
          <w:p w14:paraId="5B6E75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continue"/>
            <w:vAlign w:val="center"/>
          </w:tcPr>
          <w:p w14:paraId="0EEC39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643" w:type="pct"/>
            <w:vAlign w:val="center"/>
          </w:tcPr>
          <w:p w14:paraId="2ED198B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3BD31E2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546BA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3489E7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kern w:val="0"/>
                <w:szCs w:val="21"/>
                <w:highlight w:val="none"/>
                <w:u w:val="single"/>
                <w:lang w:bidi="ar"/>
              </w:rPr>
              <w:t>1</w:t>
            </w:r>
            <w:r>
              <w:rPr>
                <w:rFonts w:hint="default" w:ascii="Times New Roman" w:hAnsi="Times New Roman" w:eastAsia="宋体" w:cs="Times New Roman"/>
                <w:color w:val="000000"/>
                <w:kern w:val="0"/>
                <w:szCs w:val="21"/>
                <w:highlight w:val="none"/>
                <w:u w:val="single"/>
                <w:lang w:val="en-US" w:eastAsia="zh-CN" w:bidi="ar"/>
              </w:rPr>
              <w:t>7</w:t>
            </w:r>
          </w:p>
        </w:tc>
        <w:tc>
          <w:tcPr>
            <w:tcW w:w="820" w:type="pct"/>
            <w:vMerge w:val="restart"/>
            <w:vAlign w:val="center"/>
          </w:tcPr>
          <w:p w14:paraId="5A9DB9A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Style w:val="95"/>
                <w:rFonts w:hint="default" w:ascii="Times New Roman" w:hAnsi="Times New Roman" w:eastAsia="宋体" w:cs="Times New Roman"/>
                <w:sz w:val="21"/>
                <w:szCs w:val="21"/>
                <w:highlight w:val="none"/>
                <w:u w:val="single"/>
                <w:vertAlign w:val="baseline"/>
                <w:lang w:bidi="ar"/>
              </w:rPr>
            </w:pPr>
            <w:r>
              <w:rPr>
                <w:rStyle w:val="95"/>
                <w:rFonts w:hint="default" w:ascii="Times New Roman" w:hAnsi="Times New Roman" w:eastAsia="宋体" w:cs="Times New Roman"/>
                <w:sz w:val="21"/>
                <w:szCs w:val="21"/>
                <w:highlight w:val="none"/>
                <w:u w:val="single"/>
                <w:vertAlign w:val="baseline"/>
                <w:lang w:bidi="ar"/>
              </w:rPr>
              <w:t>HW49</w:t>
            </w:r>
          </w:p>
          <w:p w14:paraId="68EA8FA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Style w:val="95"/>
                <w:rFonts w:hint="default" w:ascii="Times New Roman" w:hAnsi="Times New Roman" w:eastAsia="宋体" w:cs="Times New Roman"/>
                <w:sz w:val="21"/>
                <w:szCs w:val="21"/>
                <w:highlight w:val="none"/>
                <w:u w:val="single"/>
                <w:vertAlign w:val="baseline"/>
                <w:lang w:bidi="ar"/>
              </w:rPr>
              <w:t>其他废物</w:t>
            </w:r>
          </w:p>
        </w:tc>
        <w:tc>
          <w:tcPr>
            <w:tcW w:w="581" w:type="pct"/>
            <w:vAlign w:val="center"/>
          </w:tcPr>
          <w:p w14:paraId="5F68BD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900-039-49</w:t>
            </w:r>
          </w:p>
        </w:tc>
        <w:tc>
          <w:tcPr>
            <w:tcW w:w="395" w:type="pct"/>
            <w:vAlign w:val="center"/>
          </w:tcPr>
          <w:p w14:paraId="41E929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2AEEE8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restart"/>
            <w:vAlign w:val="center"/>
          </w:tcPr>
          <w:p w14:paraId="213A70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3</w:t>
            </w:r>
            <w:r>
              <w:rPr>
                <w:rFonts w:hint="default" w:ascii="Times New Roman" w:hAnsi="Times New Roman" w:eastAsia="宋体" w:cs="Times New Roman"/>
                <w:color w:val="000000"/>
                <w:kern w:val="0"/>
                <w:szCs w:val="21"/>
                <w:highlight w:val="none"/>
                <w:u w:val="single"/>
                <w:lang w:val="en-US" w:eastAsia="zh-CN" w:bidi="ar"/>
              </w:rPr>
              <w:t>4</w:t>
            </w:r>
            <w:r>
              <w:rPr>
                <w:rFonts w:hint="default" w:ascii="Times New Roman" w:hAnsi="Times New Roman" w:eastAsia="宋体" w:cs="Times New Roman"/>
                <w:color w:val="000000"/>
                <w:kern w:val="0"/>
                <w:szCs w:val="21"/>
                <w:highlight w:val="none"/>
                <w:u w:val="single"/>
                <w:lang w:bidi="ar"/>
              </w:rPr>
              <w:t>00</w:t>
            </w:r>
          </w:p>
        </w:tc>
        <w:tc>
          <w:tcPr>
            <w:tcW w:w="417" w:type="pct"/>
            <w:vAlign w:val="center"/>
          </w:tcPr>
          <w:p w14:paraId="6029E77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3</w:t>
            </w:r>
          </w:p>
        </w:tc>
        <w:tc>
          <w:tcPr>
            <w:tcW w:w="407" w:type="pct"/>
            <w:vMerge w:val="restart"/>
            <w:vAlign w:val="center"/>
          </w:tcPr>
          <w:p w14:paraId="4E1FCB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1</w:t>
            </w:r>
            <w:r>
              <w:rPr>
                <w:rFonts w:hint="default" w:ascii="Times New Roman" w:hAnsi="Times New Roman" w:eastAsia="宋体" w:cs="Times New Roman"/>
                <w:color w:val="000000"/>
                <w:kern w:val="0"/>
                <w:szCs w:val="21"/>
                <w:highlight w:val="none"/>
                <w:u w:val="single"/>
                <w:lang w:val="en-US" w:eastAsia="zh-CN" w:bidi="ar"/>
              </w:rPr>
              <w:t>2</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5EEF22C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67C7F69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4E3BB9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CACC8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426A84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3DF0B46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900-041-49</w:t>
            </w:r>
          </w:p>
        </w:tc>
        <w:tc>
          <w:tcPr>
            <w:tcW w:w="395" w:type="pct"/>
            <w:vAlign w:val="center"/>
          </w:tcPr>
          <w:p w14:paraId="7EB3B0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T/In</w:t>
            </w:r>
          </w:p>
        </w:tc>
        <w:tc>
          <w:tcPr>
            <w:tcW w:w="551" w:type="pct"/>
            <w:vAlign w:val="center"/>
          </w:tcPr>
          <w:p w14:paraId="5D55BBF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固态</w:t>
            </w:r>
          </w:p>
        </w:tc>
        <w:tc>
          <w:tcPr>
            <w:tcW w:w="417" w:type="pct"/>
            <w:vMerge w:val="continue"/>
            <w:vAlign w:val="center"/>
          </w:tcPr>
          <w:p w14:paraId="77E9169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55589B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10</w:t>
            </w:r>
          </w:p>
        </w:tc>
        <w:tc>
          <w:tcPr>
            <w:tcW w:w="407" w:type="pct"/>
            <w:vMerge w:val="continue"/>
            <w:vAlign w:val="center"/>
          </w:tcPr>
          <w:p w14:paraId="4BDDAAB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1D4E7C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277187C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6A7E81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1498C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2A96E6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0B41710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900-044-49</w:t>
            </w:r>
          </w:p>
        </w:tc>
        <w:tc>
          <w:tcPr>
            <w:tcW w:w="395" w:type="pct"/>
            <w:vAlign w:val="center"/>
          </w:tcPr>
          <w:p w14:paraId="3B3095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w:t>
            </w:r>
          </w:p>
        </w:tc>
        <w:tc>
          <w:tcPr>
            <w:tcW w:w="551" w:type="pct"/>
            <w:vAlign w:val="center"/>
          </w:tcPr>
          <w:p w14:paraId="3E55F9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固态</w:t>
            </w:r>
          </w:p>
        </w:tc>
        <w:tc>
          <w:tcPr>
            <w:tcW w:w="417" w:type="pct"/>
            <w:vMerge w:val="continue"/>
            <w:vAlign w:val="center"/>
          </w:tcPr>
          <w:p w14:paraId="7EBEE58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3A35CD5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2</w:t>
            </w:r>
          </w:p>
        </w:tc>
        <w:tc>
          <w:tcPr>
            <w:tcW w:w="407" w:type="pct"/>
            <w:vMerge w:val="continue"/>
            <w:vAlign w:val="center"/>
          </w:tcPr>
          <w:p w14:paraId="7C74111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1A39AA7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桶装</w:t>
            </w:r>
          </w:p>
        </w:tc>
        <w:tc>
          <w:tcPr>
            <w:tcW w:w="511" w:type="pct"/>
            <w:vAlign w:val="center"/>
          </w:tcPr>
          <w:p w14:paraId="07E26E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现有种类</w:t>
            </w:r>
          </w:p>
        </w:tc>
      </w:tr>
      <w:tr w14:paraId="5A7FC6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1E01D6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9BA59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22D3AF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900-045-49</w:t>
            </w:r>
          </w:p>
        </w:tc>
        <w:tc>
          <w:tcPr>
            <w:tcW w:w="395" w:type="pct"/>
            <w:vAlign w:val="center"/>
          </w:tcPr>
          <w:p w14:paraId="3AC5A62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w:t>
            </w:r>
          </w:p>
        </w:tc>
        <w:tc>
          <w:tcPr>
            <w:tcW w:w="551" w:type="pct"/>
            <w:vAlign w:val="center"/>
          </w:tcPr>
          <w:p w14:paraId="0AED3E8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固态</w:t>
            </w:r>
          </w:p>
        </w:tc>
        <w:tc>
          <w:tcPr>
            <w:tcW w:w="417" w:type="pct"/>
            <w:vMerge w:val="continue"/>
            <w:vAlign w:val="center"/>
          </w:tcPr>
          <w:p w14:paraId="52B3D7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492A7A3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3</w:t>
            </w:r>
          </w:p>
        </w:tc>
        <w:tc>
          <w:tcPr>
            <w:tcW w:w="407" w:type="pct"/>
            <w:vMerge w:val="continue"/>
            <w:vAlign w:val="center"/>
          </w:tcPr>
          <w:p w14:paraId="467FC91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14DC93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编织袋装/箱装</w:t>
            </w:r>
          </w:p>
        </w:tc>
        <w:tc>
          <w:tcPr>
            <w:tcW w:w="511" w:type="pct"/>
            <w:vAlign w:val="center"/>
          </w:tcPr>
          <w:p w14:paraId="0F37B23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5357A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F963E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05C123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64F65E6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900-047-49</w:t>
            </w:r>
          </w:p>
        </w:tc>
        <w:tc>
          <w:tcPr>
            <w:tcW w:w="395" w:type="pct"/>
            <w:vAlign w:val="center"/>
          </w:tcPr>
          <w:p w14:paraId="72E4241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T/C/I/R</w:t>
            </w:r>
          </w:p>
        </w:tc>
        <w:tc>
          <w:tcPr>
            <w:tcW w:w="551" w:type="pct"/>
            <w:vAlign w:val="center"/>
          </w:tcPr>
          <w:p w14:paraId="48B894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液态/半固态/固态</w:t>
            </w:r>
          </w:p>
        </w:tc>
        <w:tc>
          <w:tcPr>
            <w:tcW w:w="417" w:type="pct"/>
            <w:vMerge w:val="continue"/>
            <w:vAlign w:val="center"/>
          </w:tcPr>
          <w:p w14:paraId="3F3356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3833C38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2</w:t>
            </w:r>
          </w:p>
        </w:tc>
        <w:tc>
          <w:tcPr>
            <w:tcW w:w="407" w:type="pct"/>
            <w:vMerge w:val="continue"/>
            <w:vAlign w:val="center"/>
          </w:tcPr>
          <w:p w14:paraId="00337A8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362574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5AAFA9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4DAD94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0AE5545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52010E4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27895E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900-999-49</w:t>
            </w:r>
          </w:p>
        </w:tc>
        <w:tc>
          <w:tcPr>
            <w:tcW w:w="395" w:type="pct"/>
            <w:vAlign w:val="center"/>
          </w:tcPr>
          <w:p w14:paraId="22849A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T/C/I/R</w:t>
            </w:r>
          </w:p>
        </w:tc>
        <w:tc>
          <w:tcPr>
            <w:tcW w:w="551" w:type="pct"/>
            <w:vAlign w:val="center"/>
          </w:tcPr>
          <w:p w14:paraId="2318E7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液态/固态</w:t>
            </w:r>
          </w:p>
        </w:tc>
        <w:tc>
          <w:tcPr>
            <w:tcW w:w="417" w:type="pct"/>
            <w:vMerge w:val="continue"/>
            <w:vAlign w:val="center"/>
          </w:tcPr>
          <w:p w14:paraId="0DF69DB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3595564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2</w:t>
            </w:r>
          </w:p>
        </w:tc>
        <w:tc>
          <w:tcPr>
            <w:tcW w:w="407" w:type="pct"/>
            <w:vMerge w:val="continue"/>
            <w:vAlign w:val="center"/>
          </w:tcPr>
          <w:p w14:paraId="6702E3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5FA265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61BF37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5F7B7F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6B172D5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45398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5B9E2CC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kern w:val="0"/>
                <w:szCs w:val="21"/>
                <w:highlight w:val="none"/>
                <w:u w:val="single"/>
                <w:lang w:bidi="ar"/>
              </w:rPr>
              <w:t>900-042-49</w:t>
            </w:r>
          </w:p>
        </w:tc>
        <w:tc>
          <w:tcPr>
            <w:tcW w:w="395" w:type="pct"/>
            <w:vAlign w:val="center"/>
          </w:tcPr>
          <w:p w14:paraId="4E693DA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T/C/I/R</w:t>
            </w:r>
          </w:p>
        </w:tc>
        <w:tc>
          <w:tcPr>
            <w:tcW w:w="551" w:type="pct"/>
            <w:vAlign w:val="center"/>
          </w:tcPr>
          <w:p w14:paraId="7D76520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液态/半固态/固态</w:t>
            </w:r>
          </w:p>
        </w:tc>
        <w:tc>
          <w:tcPr>
            <w:tcW w:w="417" w:type="pct"/>
            <w:vMerge w:val="continue"/>
            <w:vAlign w:val="center"/>
          </w:tcPr>
          <w:p w14:paraId="48672A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1F944B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6F70B9B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7858B5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桶装/编织袋装</w:t>
            </w:r>
          </w:p>
        </w:tc>
        <w:tc>
          <w:tcPr>
            <w:tcW w:w="511" w:type="pct"/>
            <w:vAlign w:val="center"/>
          </w:tcPr>
          <w:p w14:paraId="78D14B7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79E152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6EB6E91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2B0D79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5075399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kern w:val="0"/>
                <w:szCs w:val="21"/>
                <w:highlight w:val="none"/>
                <w:u w:val="single"/>
                <w:lang w:bidi="ar"/>
              </w:rPr>
            </w:pPr>
            <w:r>
              <w:rPr>
                <w:rFonts w:hint="default" w:ascii="Times New Roman" w:hAnsi="Times New Roman" w:eastAsia="宋体" w:cs="Times New Roman"/>
                <w:b/>
                <w:bCs/>
                <w:color w:val="FF0000"/>
                <w:szCs w:val="21"/>
                <w:highlight w:val="none"/>
                <w:u w:val="single"/>
              </w:rPr>
              <w:t>900-046-49</w:t>
            </w:r>
          </w:p>
        </w:tc>
        <w:tc>
          <w:tcPr>
            <w:tcW w:w="395" w:type="pct"/>
            <w:vAlign w:val="center"/>
          </w:tcPr>
          <w:p w14:paraId="6E0447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w:t>
            </w:r>
          </w:p>
        </w:tc>
        <w:tc>
          <w:tcPr>
            <w:tcW w:w="551" w:type="pct"/>
            <w:vAlign w:val="center"/>
          </w:tcPr>
          <w:p w14:paraId="505056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429643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4886AA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256236E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61088C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7DC20C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5B5773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DCB958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3C81F0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5D6746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b/>
                <w:bCs/>
                <w:color w:val="FF0000"/>
                <w:szCs w:val="21"/>
                <w:highlight w:val="none"/>
                <w:u w:val="single"/>
              </w:rPr>
            </w:pPr>
            <w:r>
              <w:rPr>
                <w:rFonts w:hint="default" w:ascii="Times New Roman" w:hAnsi="Times New Roman" w:eastAsia="宋体" w:cs="Times New Roman"/>
                <w:b/>
                <w:bCs/>
                <w:color w:val="FF0000"/>
                <w:szCs w:val="21"/>
                <w:highlight w:val="none"/>
                <w:u w:val="single"/>
              </w:rPr>
              <w:t>772-006-49</w:t>
            </w:r>
          </w:p>
        </w:tc>
        <w:tc>
          <w:tcPr>
            <w:tcW w:w="395" w:type="pct"/>
            <w:vAlign w:val="center"/>
          </w:tcPr>
          <w:p w14:paraId="7F5AB1E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T/In</w:t>
            </w:r>
          </w:p>
        </w:tc>
        <w:tc>
          <w:tcPr>
            <w:tcW w:w="551" w:type="pct"/>
            <w:vAlign w:val="center"/>
          </w:tcPr>
          <w:p w14:paraId="7E9146C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固态</w:t>
            </w:r>
          </w:p>
        </w:tc>
        <w:tc>
          <w:tcPr>
            <w:tcW w:w="417" w:type="pct"/>
            <w:vMerge w:val="continue"/>
            <w:vAlign w:val="center"/>
          </w:tcPr>
          <w:p w14:paraId="344B429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7740A6B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1</w:t>
            </w:r>
          </w:p>
        </w:tc>
        <w:tc>
          <w:tcPr>
            <w:tcW w:w="407" w:type="pct"/>
            <w:vMerge w:val="continue"/>
            <w:vAlign w:val="center"/>
          </w:tcPr>
          <w:p w14:paraId="4A84913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3D295B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4570F5A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新增种类</w:t>
            </w:r>
          </w:p>
        </w:tc>
      </w:tr>
      <w:tr w14:paraId="748C3E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0A24700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kern w:val="0"/>
                <w:szCs w:val="21"/>
                <w:highlight w:val="none"/>
                <w:u w:val="single"/>
                <w:lang w:bidi="ar"/>
              </w:rPr>
              <w:t>1</w:t>
            </w:r>
            <w:r>
              <w:rPr>
                <w:rFonts w:hint="default" w:ascii="Times New Roman" w:hAnsi="Times New Roman" w:eastAsia="宋体" w:cs="Times New Roman"/>
                <w:color w:val="000000"/>
                <w:kern w:val="0"/>
                <w:szCs w:val="21"/>
                <w:highlight w:val="none"/>
                <w:u w:val="single"/>
                <w:lang w:val="en-US" w:eastAsia="zh-CN" w:bidi="ar"/>
              </w:rPr>
              <w:t>8</w:t>
            </w:r>
          </w:p>
        </w:tc>
        <w:tc>
          <w:tcPr>
            <w:tcW w:w="820" w:type="pct"/>
            <w:vMerge w:val="restart"/>
            <w:vAlign w:val="center"/>
          </w:tcPr>
          <w:p w14:paraId="129EAC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HW50</w:t>
            </w:r>
          </w:p>
          <w:p w14:paraId="2B9BAD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废催化剂</w:t>
            </w:r>
          </w:p>
        </w:tc>
        <w:tc>
          <w:tcPr>
            <w:tcW w:w="581" w:type="pct"/>
            <w:vAlign w:val="center"/>
          </w:tcPr>
          <w:p w14:paraId="60144EF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261-151-50</w:t>
            </w:r>
          </w:p>
        </w:tc>
        <w:tc>
          <w:tcPr>
            <w:tcW w:w="395" w:type="pct"/>
            <w:vAlign w:val="center"/>
          </w:tcPr>
          <w:p w14:paraId="2DEEE0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461CB04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固态</w:t>
            </w:r>
          </w:p>
        </w:tc>
        <w:tc>
          <w:tcPr>
            <w:tcW w:w="417" w:type="pct"/>
            <w:vMerge w:val="restart"/>
            <w:vAlign w:val="center"/>
          </w:tcPr>
          <w:p w14:paraId="09FD60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eastAsia" w:ascii="Times New Roman" w:hAnsi="Times New Roman" w:cs="Times New Roman"/>
                <w:color w:val="000000"/>
                <w:kern w:val="0"/>
                <w:szCs w:val="21"/>
                <w:highlight w:val="none"/>
                <w:u w:val="single"/>
                <w:lang w:val="en-US" w:eastAsia="zh-CN" w:bidi="ar"/>
              </w:rPr>
              <w:t>15</w:t>
            </w:r>
            <w:r>
              <w:rPr>
                <w:rFonts w:hint="default" w:ascii="Times New Roman" w:hAnsi="Times New Roman" w:eastAsia="宋体" w:cs="Times New Roman"/>
                <w:color w:val="000000"/>
                <w:kern w:val="0"/>
                <w:szCs w:val="21"/>
                <w:highlight w:val="none"/>
                <w:u w:val="single"/>
                <w:lang w:bidi="ar"/>
              </w:rPr>
              <w:t>0</w:t>
            </w:r>
          </w:p>
        </w:tc>
        <w:tc>
          <w:tcPr>
            <w:tcW w:w="417" w:type="pct"/>
            <w:vAlign w:val="center"/>
          </w:tcPr>
          <w:p w14:paraId="58B193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eastAsia="zh-CN" w:bidi="ar"/>
              </w:rPr>
            </w:pPr>
            <w:r>
              <w:rPr>
                <w:rFonts w:hint="default" w:ascii="Times New Roman" w:hAnsi="Times New Roman" w:eastAsia="宋体" w:cs="Times New Roman"/>
                <w:color w:val="000000"/>
                <w:kern w:val="0"/>
                <w:szCs w:val="21"/>
                <w:highlight w:val="none"/>
                <w:u w:val="single"/>
                <w:lang w:val="en-US" w:eastAsia="zh-CN" w:bidi="ar"/>
              </w:rPr>
              <w:t>1</w:t>
            </w:r>
          </w:p>
        </w:tc>
        <w:tc>
          <w:tcPr>
            <w:tcW w:w="407" w:type="pct"/>
            <w:vMerge w:val="restart"/>
            <w:vAlign w:val="center"/>
          </w:tcPr>
          <w:p w14:paraId="21EABAE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eastAsia" w:ascii="Times New Roman" w:hAnsi="Times New Roman" w:cs="Times New Roman"/>
                <w:color w:val="000000"/>
                <w:kern w:val="0"/>
                <w:szCs w:val="21"/>
                <w:highlight w:val="none"/>
                <w:u w:val="single"/>
                <w:lang w:val="en-US" w:eastAsia="zh-CN" w:bidi="ar"/>
              </w:rPr>
              <w:t>3</w:t>
            </w:r>
            <w:r>
              <w:rPr>
                <w:rFonts w:hint="default" w:ascii="Times New Roman" w:hAnsi="Times New Roman" w:eastAsia="宋体" w:cs="Times New Roman"/>
                <w:color w:val="000000"/>
                <w:kern w:val="0"/>
                <w:szCs w:val="21"/>
                <w:highlight w:val="none"/>
                <w:u w:val="single"/>
                <w:lang w:bidi="ar"/>
              </w:rPr>
              <w:t>次/月</w:t>
            </w:r>
          </w:p>
        </w:tc>
        <w:tc>
          <w:tcPr>
            <w:tcW w:w="643" w:type="pct"/>
            <w:vAlign w:val="center"/>
          </w:tcPr>
          <w:p w14:paraId="589918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3A3D398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7E5A5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1BD19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655018E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34372CE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900-048-50</w:t>
            </w:r>
          </w:p>
        </w:tc>
        <w:tc>
          <w:tcPr>
            <w:tcW w:w="395" w:type="pct"/>
            <w:vAlign w:val="center"/>
          </w:tcPr>
          <w:p w14:paraId="50FA503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w:t>
            </w:r>
          </w:p>
        </w:tc>
        <w:tc>
          <w:tcPr>
            <w:tcW w:w="551" w:type="pct"/>
            <w:vAlign w:val="center"/>
          </w:tcPr>
          <w:p w14:paraId="7C03256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3A5338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06215AD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Merge w:val="continue"/>
            <w:vAlign w:val="center"/>
          </w:tcPr>
          <w:p w14:paraId="6B7E176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3C9924A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桶装</w:t>
            </w:r>
          </w:p>
        </w:tc>
        <w:tc>
          <w:tcPr>
            <w:tcW w:w="511" w:type="pct"/>
            <w:vAlign w:val="center"/>
          </w:tcPr>
          <w:p w14:paraId="7F8D3CF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2A744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117D24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464961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52203B2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900-049-50</w:t>
            </w:r>
          </w:p>
        </w:tc>
        <w:tc>
          <w:tcPr>
            <w:tcW w:w="395" w:type="pct"/>
            <w:vAlign w:val="center"/>
          </w:tcPr>
          <w:p w14:paraId="26A50A0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w:t>
            </w:r>
          </w:p>
        </w:tc>
        <w:tc>
          <w:tcPr>
            <w:tcW w:w="551" w:type="pct"/>
            <w:vAlign w:val="center"/>
          </w:tcPr>
          <w:p w14:paraId="75CDBDC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固态</w:t>
            </w:r>
          </w:p>
        </w:tc>
        <w:tc>
          <w:tcPr>
            <w:tcW w:w="417" w:type="pct"/>
            <w:vMerge w:val="continue"/>
            <w:vAlign w:val="center"/>
          </w:tcPr>
          <w:p w14:paraId="68E394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3C9D654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lang w:val="en-US" w:eastAsia="zh-CN"/>
              </w:rPr>
              <w:t>2</w:t>
            </w:r>
          </w:p>
        </w:tc>
        <w:tc>
          <w:tcPr>
            <w:tcW w:w="407" w:type="pct"/>
            <w:vMerge w:val="continue"/>
            <w:vAlign w:val="center"/>
          </w:tcPr>
          <w:p w14:paraId="2B0EA5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3D6E19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33E06B3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750128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2366BD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5B636DF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793196E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772-007-50</w:t>
            </w:r>
          </w:p>
        </w:tc>
        <w:tc>
          <w:tcPr>
            <w:tcW w:w="395" w:type="pct"/>
            <w:vAlign w:val="center"/>
          </w:tcPr>
          <w:p w14:paraId="4394215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T</w:t>
            </w:r>
          </w:p>
        </w:tc>
        <w:tc>
          <w:tcPr>
            <w:tcW w:w="551" w:type="pct"/>
            <w:vAlign w:val="center"/>
          </w:tcPr>
          <w:p w14:paraId="5231ED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固体</w:t>
            </w:r>
          </w:p>
        </w:tc>
        <w:tc>
          <w:tcPr>
            <w:tcW w:w="417" w:type="pct"/>
            <w:vMerge w:val="continue"/>
            <w:vAlign w:val="center"/>
          </w:tcPr>
          <w:p w14:paraId="21F7459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Align w:val="center"/>
          </w:tcPr>
          <w:p w14:paraId="7210C4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val="en-US" w:eastAsia="zh-CN"/>
              </w:rPr>
            </w:pPr>
            <w:r>
              <w:rPr>
                <w:rFonts w:hint="default" w:ascii="Times New Roman" w:hAnsi="Times New Roman" w:eastAsia="宋体" w:cs="Times New Roman"/>
                <w:color w:val="000000"/>
                <w:szCs w:val="21"/>
                <w:highlight w:val="none"/>
                <w:u w:val="single"/>
                <w:lang w:val="en-US" w:eastAsia="zh-CN"/>
              </w:rPr>
              <w:t>1</w:t>
            </w:r>
          </w:p>
        </w:tc>
        <w:tc>
          <w:tcPr>
            <w:tcW w:w="407" w:type="pct"/>
            <w:vAlign w:val="center"/>
          </w:tcPr>
          <w:p w14:paraId="242403A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643" w:type="pct"/>
            <w:vAlign w:val="center"/>
          </w:tcPr>
          <w:p w14:paraId="5FE3221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编织袋装</w:t>
            </w:r>
          </w:p>
        </w:tc>
        <w:tc>
          <w:tcPr>
            <w:tcW w:w="511" w:type="pct"/>
            <w:vAlign w:val="center"/>
          </w:tcPr>
          <w:p w14:paraId="51382EA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kern w:val="0"/>
                <w:szCs w:val="21"/>
                <w:highlight w:val="none"/>
                <w:u w:val="single"/>
                <w:lang w:val="en-US" w:eastAsia="zh-CN" w:bidi="ar"/>
              </w:rPr>
            </w:pPr>
            <w:r>
              <w:rPr>
                <w:rFonts w:hint="default" w:ascii="Times New Roman" w:hAnsi="Times New Roman" w:eastAsia="宋体" w:cs="Times New Roman"/>
                <w:color w:val="000000"/>
                <w:kern w:val="0"/>
                <w:szCs w:val="21"/>
                <w:highlight w:val="none"/>
                <w:u w:val="single"/>
                <w:lang w:val="en-US" w:eastAsia="zh-CN" w:bidi="ar"/>
              </w:rPr>
              <w:t>新增种类</w:t>
            </w:r>
          </w:p>
        </w:tc>
      </w:tr>
      <w:tr w14:paraId="0C3298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restart"/>
            <w:vAlign w:val="center"/>
          </w:tcPr>
          <w:p w14:paraId="2006776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lang w:eastAsia="zh-CN"/>
              </w:rPr>
            </w:pPr>
            <w:r>
              <w:rPr>
                <w:rFonts w:hint="default" w:ascii="Times New Roman" w:hAnsi="Times New Roman" w:eastAsia="宋体" w:cs="Times New Roman"/>
                <w:color w:val="000000"/>
                <w:szCs w:val="21"/>
                <w:highlight w:val="none"/>
                <w:u w:val="single"/>
              </w:rPr>
              <w:t>1</w:t>
            </w:r>
            <w:r>
              <w:rPr>
                <w:rFonts w:hint="default" w:ascii="Times New Roman" w:hAnsi="Times New Roman" w:eastAsia="宋体" w:cs="Times New Roman"/>
                <w:color w:val="000000"/>
                <w:szCs w:val="21"/>
                <w:highlight w:val="none"/>
                <w:u w:val="single"/>
                <w:lang w:val="en-US" w:eastAsia="zh-CN"/>
              </w:rPr>
              <w:t>9</w:t>
            </w:r>
          </w:p>
        </w:tc>
        <w:tc>
          <w:tcPr>
            <w:tcW w:w="820" w:type="pct"/>
            <w:vMerge w:val="restart"/>
            <w:vAlign w:val="center"/>
          </w:tcPr>
          <w:p w14:paraId="3070A0A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HW08</w:t>
            </w:r>
          </w:p>
          <w:p w14:paraId="3A39D45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废矿物油与含废矿物油废物</w:t>
            </w:r>
          </w:p>
        </w:tc>
        <w:tc>
          <w:tcPr>
            <w:tcW w:w="581" w:type="pct"/>
            <w:vAlign w:val="center"/>
          </w:tcPr>
          <w:p w14:paraId="4A80A2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900-199-08</w:t>
            </w:r>
          </w:p>
        </w:tc>
        <w:tc>
          <w:tcPr>
            <w:tcW w:w="395" w:type="pct"/>
            <w:vAlign w:val="center"/>
          </w:tcPr>
          <w:p w14:paraId="7E90C17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T，I</w:t>
            </w:r>
          </w:p>
        </w:tc>
        <w:tc>
          <w:tcPr>
            <w:tcW w:w="551" w:type="pct"/>
            <w:vAlign w:val="center"/>
          </w:tcPr>
          <w:p w14:paraId="6C45FC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液态/半固态</w:t>
            </w:r>
          </w:p>
        </w:tc>
        <w:tc>
          <w:tcPr>
            <w:tcW w:w="417" w:type="pct"/>
            <w:vMerge w:val="restart"/>
            <w:vAlign w:val="center"/>
          </w:tcPr>
          <w:p w14:paraId="1300A9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lang w:val="en-US" w:eastAsia="zh-CN"/>
              </w:rPr>
              <w:t>2</w:t>
            </w:r>
            <w:r>
              <w:rPr>
                <w:rFonts w:hint="eastAsia" w:ascii="Times New Roman" w:hAnsi="Times New Roman" w:cs="Times New Roman"/>
                <w:color w:val="000000"/>
                <w:szCs w:val="21"/>
                <w:highlight w:val="none"/>
                <w:u w:val="single"/>
                <w:lang w:val="en-US" w:eastAsia="zh-CN"/>
              </w:rPr>
              <w:t>1</w:t>
            </w:r>
            <w:r>
              <w:rPr>
                <w:rFonts w:hint="default" w:ascii="Times New Roman" w:hAnsi="Times New Roman" w:eastAsia="宋体" w:cs="Times New Roman"/>
                <w:color w:val="000000"/>
                <w:szCs w:val="21"/>
                <w:highlight w:val="none"/>
                <w:u w:val="single"/>
              </w:rPr>
              <w:t>00</w:t>
            </w:r>
          </w:p>
        </w:tc>
        <w:tc>
          <w:tcPr>
            <w:tcW w:w="417" w:type="pct"/>
            <w:vMerge w:val="restart"/>
            <w:vAlign w:val="center"/>
          </w:tcPr>
          <w:p w14:paraId="725D6F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40</w:t>
            </w:r>
          </w:p>
        </w:tc>
        <w:tc>
          <w:tcPr>
            <w:tcW w:w="407" w:type="pct"/>
            <w:vMerge w:val="restart"/>
            <w:vAlign w:val="center"/>
          </w:tcPr>
          <w:p w14:paraId="0EDB8F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w:t>
            </w:r>
          </w:p>
        </w:tc>
        <w:tc>
          <w:tcPr>
            <w:tcW w:w="643" w:type="pct"/>
            <w:vMerge w:val="restart"/>
            <w:vAlign w:val="center"/>
          </w:tcPr>
          <w:p w14:paraId="57E7359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p w14:paraId="2131F7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储油罐装</w:t>
            </w:r>
          </w:p>
          <w:p w14:paraId="1CE94B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631EFD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60D589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4BB2D2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336B29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3BEB91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900-200-08</w:t>
            </w:r>
          </w:p>
        </w:tc>
        <w:tc>
          <w:tcPr>
            <w:tcW w:w="395" w:type="pct"/>
            <w:vAlign w:val="center"/>
          </w:tcPr>
          <w:p w14:paraId="6D8F119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2EF0D65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液态/半固态</w:t>
            </w:r>
          </w:p>
        </w:tc>
        <w:tc>
          <w:tcPr>
            <w:tcW w:w="417" w:type="pct"/>
            <w:vMerge w:val="continue"/>
            <w:vAlign w:val="center"/>
          </w:tcPr>
          <w:p w14:paraId="1AA5CE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568CC22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5B723CA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61BBA0C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25E497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407AF5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62123A5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257762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600B453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900-201-08</w:t>
            </w:r>
          </w:p>
        </w:tc>
        <w:tc>
          <w:tcPr>
            <w:tcW w:w="395" w:type="pct"/>
            <w:vAlign w:val="center"/>
          </w:tcPr>
          <w:p w14:paraId="507BC29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4ABDED7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5C410FA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5EEE96C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75F167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32F7F75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6B3D004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1C4E65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043906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1BDC9D5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4D995FD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900-203-08</w:t>
            </w:r>
          </w:p>
        </w:tc>
        <w:tc>
          <w:tcPr>
            <w:tcW w:w="395" w:type="pct"/>
            <w:vAlign w:val="center"/>
          </w:tcPr>
          <w:p w14:paraId="284543A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618A091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046D8BF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253E252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54C8691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3050EF0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32D838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25B1DC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7A401F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5D3D83F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250C7B7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900-204-08</w:t>
            </w:r>
          </w:p>
        </w:tc>
        <w:tc>
          <w:tcPr>
            <w:tcW w:w="395" w:type="pct"/>
            <w:vAlign w:val="center"/>
          </w:tcPr>
          <w:p w14:paraId="576136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2DFB1F8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48C616F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12D2C1A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38F5531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5D7631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425E011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51D911E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94790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2C8B8D3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0EF727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900-205-08</w:t>
            </w:r>
          </w:p>
        </w:tc>
        <w:tc>
          <w:tcPr>
            <w:tcW w:w="395" w:type="pct"/>
            <w:vAlign w:val="center"/>
          </w:tcPr>
          <w:p w14:paraId="3EE1D5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w:t>
            </w:r>
          </w:p>
        </w:tc>
        <w:tc>
          <w:tcPr>
            <w:tcW w:w="551" w:type="pct"/>
            <w:vAlign w:val="center"/>
          </w:tcPr>
          <w:p w14:paraId="3C6247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6EEE43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121BFB0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177D3B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7E101C8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21CFF8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09CBB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071D26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0D3924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47C18EE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900-209-08</w:t>
            </w:r>
          </w:p>
        </w:tc>
        <w:tc>
          <w:tcPr>
            <w:tcW w:w="395" w:type="pct"/>
            <w:vAlign w:val="center"/>
          </w:tcPr>
          <w:p w14:paraId="1DC60C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23C0DB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513F9EA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1CC62C5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20171F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31EC700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3715FA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21A65E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7245591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66D7754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1EE503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900-210-08</w:t>
            </w:r>
          </w:p>
        </w:tc>
        <w:tc>
          <w:tcPr>
            <w:tcW w:w="395" w:type="pct"/>
            <w:vAlign w:val="center"/>
          </w:tcPr>
          <w:p w14:paraId="4D2BE9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T</w:t>
            </w:r>
            <w:r>
              <w:rPr>
                <w:rFonts w:hint="default" w:ascii="Times New Roman" w:hAnsi="Times New Roman" w:eastAsia="宋体" w:cs="Times New Roman"/>
                <w:color w:val="000000"/>
                <w:kern w:val="0"/>
                <w:szCs w:val="21"/>
                <w:highlight w:val="none"/>
                <w:u w:val="single"/>
                <w:lang w:bidi="ar"/>
              </w:rPr>
              <w:t>，I</w:t>
            </w:r>
          </w:p>
        </w:tc>
        <w:tc>
          <w:tcPr>
            <w:tcW w:w="551" w:type="pct"/>
            <w:vAlign w:val="center"/>
          </w:tcPr>
          <w:p w14:paraId="3992B92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半固态</w:t>
            </w:r>
          </w:p>
        </w:tc>
        <w:tc>
          <w:tcPr>
            <w:tcW w:w="417" w:type="pct"/>
            <w:vMerge w:val="continue"/>
            <w:vAlign w:val="center"/>
          </w:tcPr>
          <w:p w14:paraId="6B51AC7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7B91A0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6BB8EE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1108BC0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355A2C6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7D9B41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66EFDB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579DEFE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12374ED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900-213-08</w:t>
            </w:r>
          </w:p>
        </w:tc>
        <w:tc>
          <w:tcPr>
            <w:tcW w:w="395" w:type="pct"/>
            <w:vAlign w:val="center"/>
          </w:tcPr>
          <w:p w14:paraId="6B5A8EF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2B59A54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半固态</w:t>
            </w:r>
          </w:p>
        </w:tc>
        <w:tc>
          <w:tcPr>
            <w:tcW w:w="417" w:type="pct"/>
            <w:vMerge w:val="continue"/>
            <w:vAlign w:val="center"/>
          </w:tcPr>
          <w:p w14:paraId="09ABE6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2F6B660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4F6AEDA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4E77DB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4CB144B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0551B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6622C3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9046E6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554B79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900-214-08</w:t>
            </w:r>
          </w:p>
        </w:tc>
        <w:tc>
          <w:tcPr>
            <w:tcW w:w="395" w:type="pct"/>
            <w:vAlign w:val="center"/>
          </w:tcPr>
          <w:p w14:paraId="2A1402E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7CB1229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75B4B88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67B9D3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515EDA0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5A9AF08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396206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032749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7FF946D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68104A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17019D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900-215-08</w:t>
            </w:r>
          </w:p>
        </w:tc>
        <w:tc>
          <w:tcPr>
            <w:tcW w:w="395" w:type="pct"/>
            <w:vAlign w:val="center"/>
          </w:tcPr>
          <w:p w14:paraId="7F18771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3531D31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半固态</w:t>
            </w:r>
          </w:p>
        </w:tc>
        <w:tc>
          <w:tcPr>
            <w:tcW w:w="417" w:type="pct"/>
            <w:vMerge w:val="continue"/>
            <w:vAlign w:val="center"/>
          </w:tcPr>
          <w:p w14:paraId="4662589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3F87753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4BCABA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14EB776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18835F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5A68FA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FB3D9E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D38DC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64D9B13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900-216-08</w:t>
            </w:r>
          </w:p>
        </w:tc>
        <w:tc>
          <w:tcPr>
            <w:tcW w:w="395" w:type="pct"/>
            <w:vAlign w:val="center"/>
          </w:tcPr>
          <w:p w14:paraId="504D846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341A71E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3E4F08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09DD9F3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11B5368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2B25A75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11BF02D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7F39E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2FBEAFB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003242A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7456800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900-217-08</w:t>
            </w:r>
          </w:p>
        </w:tc>
        <w:tc>
          <w:tcPr>
            <w:tcW w:w="395" w:type="pct"/>
            <w:vAlign w:val="center"/>
          </w:tcPr>
          <w:p w14:paraId="18D0913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7E233D2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w:t>
            </w:r>
          </w:p>
        </w:tc>
        <w:tc>
          <w:tcPr>
            <w:tcW w:w="417" w:type="pct"/>
            <w:vMerge w:val="continue"/>
            <w:vAlign w:val="center"/>
          </w:tcPr>
          <w:p w14:paraId="32BCA8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5B590CD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548CE01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59A9BF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5DBF2AA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04D6B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0DE8929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4F09E3E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001B344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900-218-08</w:t>
            </w:r>
          </w:p>
        </w:tc>
        <w:tc>
          <w:tcPr>
            <w:tcW w:w="395" w:type="pct"/>
            <w:vAlign w:val="center"/>
          </w:tcPr>
          <w:p w14:paraId="1529A7A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564C7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742515D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337E7C3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0AC08C2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7F4026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7C4B3FB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3D94CB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069203B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7453F9E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4058ECD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900-219-08</w:t>
            </w:r>
          </w:p>
        </w:tc>
        <w:tc>
          <w:tcPr>
            <w:tcW w:w="395" w:type="pct"/>
            <w:vAlign w:val="center"/>
          </w:tcPr>
          <w:p w14:paraId="490DCE2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6C694EE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18671A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0DBCCD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45C712B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368CFF3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356DC3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07D8C0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52DCF8C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9568309">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6C55140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900-220-08</w:t>
            </w:r>
          </w:p>
        </w:tc>
        <w:tc>
          <w:tcPr>
            <w:tcW w:w="395" w:type="pct"/>
            <w:vAlign w:val="center"/>
          </w:tcPr>
          <w:p w14:paraId="443CE2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151E7F3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液态</w:t>
            </w:r>
          </w:p>
        </w:tc>
        <w:tc>
          <w:tcPr>
            <w:tcW w:w="417" w:type="pct"/>
            <w:vMerge w:val="continue"/>
            <w:vAlign w:val="center"/>
          </w:tcPr>
          <w:p w14:paraId="1DE1194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4A086A0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422B465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6C15C56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697771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3373AA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3ED7509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35FB841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444F268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900-221-08</w:t>
            </w:r>
          </w:p>
        </w:tc>
        <w:tc>
          <w:tcPr>
            <w:tcW w:w="395" w:type="pct"/>
            <w:vAlign w:val="center"/>
          </w:tcPr>
          <w:p w14:paraId="707B0B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5DA100F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半固态</w:t>
            </w:r>
          </w:p>
        </w:tc>
        <w:tc>
          <w:tcPr>
            <w:tcW w:w="417" w:type="pct"/>
            <w:vMerge w:val="continue"/>
            <w:vAlign w:val="center"/>
          </w:tcPr>
          <w:p w14:paraId="646B09A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3743941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2CD7D72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554E238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6EFCF2A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2F5F3C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4" w:type="pct"/>
            <w:vMerge w:val="continue"/>
            <w:vAlign w:val="center"/>
          </w:tcPr>
          <w:p w14:paraId="70DD3CC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820" w:type="pct"/>
            <w:vMerge w:val="continue"/>
            <w:vAlign w:val="center"/>
          </w:tcPr>
          <w:p w14:paraId="6968DC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581" w:type="pct"/>
            <w:vAlign w:val="center"/>
          </w:tcPr>
          <w:p w14:paraId="7C5AFF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900-249-08</w:t>
            </w:r>
          </w:p>
        </w:tc>
        <w:tc>
          <w:tcPr>
            <w:tcW w:w="395" w:type="pct"/>
            <w:vAlign w:val="center"/>
          </w:tcPr>
          <w:p w14:paraId="6E26DD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kern w:val="0"/>
                <w:szCs w:val="21"/>
                <w:highlight w:val="none"/>
                <w:u w:val="single"/>
                <w:lang w:bidi="ar"/>
              </w:rPr>
              <w:t>T，I</w:t>
            </w:r>
          </w:p>
        </w:tc>
        <w:tc>
          <w:tcPr>
            <w:tcW w:w="551" w:type="pct"/>
            <w:vAlign w:val="center"/>
          </w:tcPr>
          <w:p w14:paraId="285D23E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r>
              <w:rPr>
                <w:rFonts w:hint="default" w:ascii="Times New Roman" w:hAnsi="Times New Roman" w:eastAsia="宋体" w:cs="Times New Roman"/>
                <w:color w:val="000000"/>
                <w:szCs w:val="21"/>
                <w:highlight w:val="none"/>
                <w:u w:val="single"/>
              </w:rPr>
              <w:t>液态/半固态</w:t>
            </w:r>
          </w:p>
        </w:tc>
        <w:tc>
          <w:tcPr>
            <w:tcW w:w="417" w:type="pct"/>
            <w:vMerge w:val="continue"/>
            <w:vAlign w:val="center"/>
          </w:tcPr>
          <w:p w14:paraId="205979E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color w:val="000000"/>
                <w:szCs w:val="21"/>
                <w:highlight w:val="none"/>
                <w:u w:val="single"/>
              </w:rPr>
            </w:pPr>
          </w:p>
        </w:tc>
        <w:tc>
          <w:tcPr>
            <w:tcW w:w="417" w:type="pct"/>
            <w:vMerge w:val="continue"/>
            <w:vAlign w:val="center"/>
          </w:tcPr>
          <w:p w14:paraId="281FE58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407" w:type="pct"/>
            <w:vMerge w:val="continue"/>
            <w:vAlign w:val="center"/>
          </w:tcPr>
          <w:p w14:paraId="004093B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Cs w:val="21"/>
                <w:highlight w:val="none"/>
                <w:u w:val="single"/>
              </w:rPr>
            </w:pPr>
          </w:p>
        </w:tc>
        <w:tc>
          <w:tcPr>
            <w:tcW w:w="643" w:type="pct"/>
            <w:vMerge w:val="continue"/>
            <w:vAlign w:val="center"/>
          </w:tcPr>
          <w:p w14:paraId="56C956B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p>
        </w:tc>
        <w:tc>
          <w:tcPr>
            <w:tcW w:w="511" w:type="pct"/>
            <w:vAlign w:val="center"/>
          </w:tcPr>
          <w:p w14:paraId="35619AA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kern w:val="0"/>
                <w:szCs w:val="21"/>
                <w:highlight w:val="none"/>
                <w:u w:val="single"/>
                <w:lang w:bidi="ar"/>
              </w:rPr>
            </w:pPr>
            <w:r>
              <w:rPr>
                <w:rFonts w:hint="default" w:ascii="Times New Roman" w:hAnsi="Times New Roman" w:eastAsia="宋体" w:cs="Times New Roman"/>
                <w:color w:val="000000"/>
                <w:kern w:val="0"/>
                <w:szCs w:val="21"/>
                <w:highlight w:val="none"/>
                <w:u w:val="single"/>
                <w:lang w:bidi="ar"/>
              </w:rPr>
              <w:t>现有种类</w:t>
            </w:r>
          </w:p>
        </w:tc>
      </w:tr>
      <w:tr w14:paraId="0ADAA7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74" w:type="pct"/>
            <w:gridSpan w:val="2"/>
            <w:vAlign w:val="center"/>
          </w:tcPr>
          <w:p w14:paraId="0EDD4EC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szCs w:val="21"/>
                <w:highlight w:val="none"/>
                <w:u w:val="single"/>
              </w:rPr>
              <w:t>合计</w:t>
            </w:r>
          </w:p>
        </w:tc>
        <w:tc>
          <w:tcPr>
            <w:tcW w:w="581" w:type="pct"/>
            <w:vAlign w:val="center"/>
          </w:tcPr>
          <w:p w14:paraId="4FD0272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szCs w:val="21"/>
                <w:highlight w:val="none"/>
                <w:u w:val="single"/>
              </w:rPr>
              <w:t>/</w:t>
            </w:r>
          </w:p>
        </w:tc>
        <w:tc>
          <w:tcPr>
            <w:tcW w:w="395" w:type="pct"/>
            <w:vAlign w:val="center"/>
          </w:tcPr>
          <w:p w14:paraId="3A43DA0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szCs w:val="21"/>
                <w:highlight w:val="none"/>
                <w:u w:val="single"/>
              </w:rPr>
            </w:pPr>
          </w:p>
        </w:tc>
        <w:tc>
          <w:tcPr>
            <w:tcW w:w="551" w:type="pct"/>
            <w:vAlign w:val="center"/>
          </w:tcPr>
          <w:p w14:paraId="1A23C07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szCs w:val="21"/>
                <w:highlight w:val="none"/>
                <w:u w:val="single"/>
              </w:rPr>
              <w:t>/</w:t>
            </w:r>
          </w:p>
        </w:tc>
        <w:tc>
          <w:tcPr>
            <w:tcW w:w="417" w:type="pct"/>
            <w:vAlign w:val="center"/>
          </w:tcPr>
          <w:p w14:paraId="33B9352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szCs w:val="21"/>
                <w:highlight w:val="none"/>
                <w:u w:val="single"/>
              </w:rPr>
              <w:t>144</w:t>
            </w:r>
            <w:r>
              <w:rPr>
                <w:rFonts w:hint="default" w:ascii="Times New Roman" w:hAnsi="Times New Roman" w:eastAsia="宋体" w:cs="Times New Roman"/>
                <w:b/>
                <w:bCs/>
                <w:color w:val="000000"/>
                <w:szCs w:val="21"/>
                <w:highlight w:val="none"/>
                <w:u w:val="single"/>
                <w:lang w:val="en-US" w:eastAsia="zh-CN"/>
              </w:rPr>
              <w:t>0</w:t>
            </w:r>
            <w:r>
              <w:rPr>
                <w:rFonts w:hint="default" w:ascii="Times New Roman" w:hAnsi="Times New Roman" w:eastAsia="宋体" w:cs="Times New Roman"/>
                <w:b/>
                <w:bCs/>
                <w:color w:val="000000"/>
                <w:szCs w:val="21"/>
                <w:highlight w:val="none"/>
                <w:u w:val="single"/>
              </w:rPr>
              <w:t>0</w:t>
            </w:r>
          </w:p>
        </w:tc>
        <w:tc>
          <w:tcPr>
            <w:tcW w:w="417" w:type="pct"/>
            <w:vAlign w:val="center"/>
          </w:tcPr>
          <w:p w14:paraId="7FC0DF3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szCs w:val="21"/>
                <w:highlight w:val="none"/>
                <w:u w:val="single"/>
              </w:rPr>
              <w:t>158</w:t>
            </w:r>
          </w:p>
        </w:tc>
        <w:tc>
          <w:tcPr>
            <w:tcW w:w="407" w:type="pct"/>
            <w:vAlign w:val="center"/>
          </w:tcPr>
          <w:p w14:paraId="7B8D1E26">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szCs w:val="21"/>
                <w:highlight w:val="none"/>
                <w:u w:val="single"/>
              </w:rPr>
              <w:t>/</w:t>
            </w:r>
          </w:p>
        </w:tc>
        <w:tc>
          <w:tcPr>
            <w:tcW w:w="643" w:type="pct"/>
            <w:vAlign w:val="center"/>
          </w:tcPr>
          <w:p w14:paraId="72DADA28">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szCs w:val="21"/>
                <w:highlight w:val="none"/>
                <w:u w:val="single"/>
              </w:rPr>
            </w:pPr>
            <w:r>
              <w:rPr>
                <w:rFonts w:hint="default" w:ascii="Times New Roman" w:hAnsi="Times New Roman" w:eastAsia="宋体" w:cs="Times New Roman"/>
                <w:b/>
                <w:bCs/>
                <w:color w:val="000000"/>
                <w:szCs w:val="21"/>
                <w:highlight w:val="none"/>
                <w:u w:val="single"/>
              </w:rPr>
              <w:t>/</w:t>
            </w:r>
          </w:p>
        </w:tc>
        <w:tc>
          <w:tcPr>
            <w:tcW w:w="511" w:type="pct"/>
            <w:vAlign w:val="center"/>
          </w:tcPr>
          <w:p w14:paraId="5E80F4A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000000"/>
                <w:szCs w:val="21"/>
                <w:highlight w:val="none"/>
                <w:u w:val="single"/>
              </w:rPr>
            </w:pPr>
          </w:p>
        </w:tc>
      </w:tr>
    </w:tbl>
    <w:p w14:paraId="3B6BDED4">
      <w:pPr>
        <w:spacing w:line="360" w:lineRule="auto"/>
        <w:jc w:val="center"/>
        <w:rPr>
          <w:rFonts w:hint="default" w:ascii="Times New Roman" w:hAnsi="Times New Roman" w:eastAsia="宋体" w:cs="Times New Roman"/>
          <w:sz w:val="24"/>
          <w:szCs w:val="24"/>
          <w:u w:val="single"/>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2ACED442">
      <w:pPr>
        <w:spacing w:line="360" w:lineRule="auto"/>
        <w:jc w:val="center"/>
        <w:rPr>
          <w:rFonts w:hint="default" w:ascii="Times New Roman" w:hAnsi="Times New Roman" w:eastAsia="宋体" w:cs="Times New Roman"/>
          <w:b/>
          <w:color w:val="FF0000"/>
          <w:szCs w:val="18"/>
          <w:u w:val="single"/>
        </w:rPr>
      </w:pPr>
      <w:r>
        <w:rPr>
          <w:rFonts w:hint="default" w:ascii="Times New Roman" w:hAnsi="Times New Roman" w:eastAsia="宋体" w:cs="Times New Roman"/>
          <w:b/>
          <w:szCs w:val="18"/>
          <w:u w:val="single"/>
        </w:rPr>
        <w:t>表4.3-</w:t>
      </w:r>
      <w:r>
        <w:rPr>
          <w:rFonts w:hint="default" w:ascii="Times New Roman" w:hAnsi="Times New Roman" w:eastAsia="宋体" w:cs="Times New Roman"/>
          <w:b/>
          <w:szCs w:val="18"/>
          <w:u w:val="single"/>
          <w:lang w:val="en-US" w:eastAsia="zh-CN"/>
        </w:rPr>
        <w:t>3</w:t>
      </w:r>
      <w:r>
        <w:rPr>
          <w:rFonts w:hint="default" w:ascii="Times New Roman" w:hAnsi="Times New Roman" w:eastAsia="宋体" w:cs="Times New Roman"/>
          <w:b/>
          <w:szCs w:val="18"/>
          <w:u w:val="single"/>
        </w:rPr>
        <w:t xml:space="preserve">  </w:t>
      </w:r>
      <w:r>
        <w:rPr>
          <w:rFonts w:hint="default" w:ascii="Times New Roman" w:hAnsi="Times New Roman" w:eastAsia="宋体" w:cs="Times New Roman"/>
          <w:b/>
          <w:szCs w:val="18"/>
          <w:u w:val="single"/>
          <w:lang w:val="en-US" w:eastAsia="zh-CN"/>
        </w:rPr>
        <w:t>现有</w:t>
      </w:r>
      <w:r>
        <w:rPr>
          <w:rFonts w:hint="default" w:ascii="Times New Roman" w:hAnsi="Times New Roman" w:eastAsia="宋体" w:cs="Times New Roman"/>
          <w:b/>
          <w:szCs w:val="18"/>
          <w:u w:val="single"/>
        </w:rPr>
        <w:t>项目</w:t>
      </w:r>
      <w:r>
        <w:rPr>
          <w:rFonts w:hint="default" w:ascii="Times New Roman" w:hAnsi="Times New Roman" w:eastAsia="宋体" w:cs="Times New Roman"/>
          <w:b/>
          <w:szCs w:val="18"/>
          <w:u w:val="single"/>
          <w:lang w:val="en-US" w:eastAsia="zh-CN"/>
        </w:rPr>
        <w:t>搬迁</w:t>
      </w:r>
      <w:r>
        <w:rPr>
          <w:rFonts w:hint="default" w:ascii="Times New Roman" w:hAnsi="Times New Roman" w:eastAsia="宋体" w:cs="Times New Roman"/>
          <w:b/>
          <w:szCs w:val="18"/>
          <w:u w:val="single"/>
        </w:rPr>
        <w:t>前后拟收集贮存的危险废物类别及变化情况</w:t>
      </w:r>
      <w:r>
        <w:rPr>
          <w:rFonts w:hint="default" w:ascii="Times New Roman" w:hAnsi="Times New Roman" w:eastAsia="宋体" w:cs="Times New Roman"/>
          <w:b/>
          <w:color w:val="FF0000"/>
          <w:szCs w:val="18"/>
          <w:u w:val="single"/>
        </w:rPr>
        <w:t>（</w:t>
      </w:r>
      <w:r>
        <w:rPr>
          <w:rFonts w:hint="default" w:ascii="Times New Roman" w:hAnsi="Times New Roman" w:eastAsia="宋体" w:cs="Times New Roman"/>
          <w:b/>
          <w:color w:val="FF0000"/>
          <w:szCs w:val="18"/>
          <w:u w:val="single"/>
          <w:lang w:val="en-US" w:eastAsia="zh-CN"/>
        </w:rPr>
        <w:t>注：</w:t>
      </w:r>
      <w:r>
        <w:rPr>
          <w:rFonts w:hint="default" w:ascii="Times New Roman" w:hAnsi="Times New Roman" w:eastAsia="宋体" w:cs="Times New Roman"/>
          <w:b/>
          <w:color w:val="FF0000"/>
          <w:szCs w:val="18"/>
          <w:u w:val="single"/>
        </w:rPr>
        <w:t>红色加粗为本次新增的类别及代码）</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65"/>
        <w:gridCol w:w="2142"/>
        <w:gridCol w:w="5599"/>
        <w:gridCol w:w="1362"/>
        <w:gridCol w:w="1302"/>
        <w:gridCol w:w="1302"/>
        <w:gridCol w:w="1302"/>
      </w:tblGrid>
      <w:tr w14:paraId="35F3DE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3BF4A3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类别</w:t>
            </w:r>
          </w:p>
        </w:tc>
        <w:tc>
          <w:tcPr>
            <w:tcW w:w="755" w:type="pct"/>
            <w:vAlign w:val="center"/>
          </w:tcPr>
          <w:p w14:paraId="56C058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废物名称</w:t>
            </w:r>
          </w:p>
        </w:tc>
        <w:tc>
          <w:tcPr>
            <w:tcW w:w="1974" w:type="pct"/>
            <w:vAlign w:val="center"/>
          </w:tcPr>
          <w:p w14:paraId="6FA7C6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废物代码</w:t>
            </w:r>
          </w:p>
        </w:tc>
        <w:tc>
          <w:tcPr>
            <w:tcW w:w="480" w:type="pct"/>
            <w:vAlign w:val="center"/>
          </w:tcPr>
          <w:p w14:paraId="2451B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危害特性</w:t>
            </w:r>
          </w:p>
        </w:tc>
        <w:tc>
          <w:tcPr>
            <w:tcW w:w="459" w:type="pct"/>
            <w:vAlign w:val="center"/>
          </w:tcPr>
          <w:p w14:paraId="41B4A8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lang w:val="en-US" w:eastAsia="zh-CN"/>
              </w:rPr>
              <w:t>搬迁</w:t>
            </w:r>
            <w:r>
              <w:rPr>
                <w:rFonts w:hint="default" w:ascii="Times New Roman" w:hAnsi="Times New Roman" w:eastAsia="宋体" w:cs="Times New Roman"/>
                <w:b/>
                <w:bCs/>
                <w:highlight w:val="none"/>
                <w:u w:val="single"/>
              </w:rPr>
              <w:t>后</w:t>
            </w:r>
          </w:p>
          <w:p w14:paraId="06686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数量（吨）</w:t>
            </w:r>
          </w:p>
        </w:tc>
        <w:tc>
          <w:tcPr>
            <w:tcW w:w="459" w:type="pct"/>
            <w:vAlign w:val="center"/>
          </w:tcPr>
          <w:p w14:paraId="5218B5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lang w:val="en-US" w:eastAsia="zh-CN"/>
              </w:rPr>
              <w:t>搬迁</w:t>
            </w:r>
            <w:r>
              <w:rPr>
                <w:rFonts w:hint="default" w:ascii="Times New Roman" w:hAnsi="Times New Roman" w:eastAsia="宋体" w:cs="Times New Roman"/>
                <w:b/>
                <w:bCs/>
                <w:highlight w:val="none"/>
                <w:u w:val="single"/>
              </w:rPr>
              <w:t>前</w:t>
            </w:r>
          </w:p>
          <w:p w14:paraId="004122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数量（吨）</w:t>
            </w:r>
          </w:p>
        </w:tc>
        <w:tc>
          <w:tcPr>
            <w:tcW w:w="459" w:type="pct"/>
            <w:vAlign w:val="center"/>
          </w:tcPr>
          <w:p w14:paraId="7FCA9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变化量</w:t>
            </w:r>
          </w:p>
          <w:p w14:paraId="4EB563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rPr>
            </w:pPr>
            <w:r>
              <w:rPr>
                <w:rFonts w:hint="default" w:ascii="Times New Roman" w:hAnsi="Times New Roman" w:eastAsia="宋体" w:cs="Times New Roman"/>
                <w:b/>
                <w:bCs/>
                <w:highlight w:val="none"/>
                <w:u w:val="single"/>
              </w:rPr>
              <w:t>（吨）</w:t>
            </w:r>
          </w:p>
        </w:tc>
      </w:tr>
      <w:tr w14:paraId="523107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02216A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lang w:val="en-US" w:eastAsia="zh-CN"/>
              </w:rPr>
            </w:pPr>
            <w:r>
              <w:rPr>
                <w:rFonts w:hint="default" w:ascii="Times New Roman" w:hAnsi="Times New Roman" w:eastAsia="宋体" w:cs="Times New Roman"/>
                <w:b/>
                <w:bCs/>
                <w:color w:val="FF0000"/>
                <w:highlight w:val="none"/>
                <w:u w:val="single"/>
                <w:lang w:val="en-US" w:eastAsia="zh-CN"/>
              </w:rPr>
              <w:t>HW02</w:t>
            </w:r>
          </w:p>
        </w:tc>
        <w:tc>
          <w:tcPr>
            <w:tcW w:w="755" w:type="pct"/>
            <w:vAlign w:val="center"/>
          </w:tcPr>
          <w:p w14:paraId="0D3099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医药废物</w:t>
            </w:r>
          </w:p>
        </w:tc>
        <w:tc>
          <w:tcPr>
            <w:tcW w:w="1974" w:type="pct"/>
            <w:vAlign w:val="center"/>
          </w:tcPr>
          <w:p w14:paraId="33E64D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lang w:val="en-US" w:eastAsia="zh-CN"/>
              </w:rPr>
            </w:pPr>
            <w:r>
              <w:rPr>
                <w:rFonts w:hint="default" w:ascii="Times New Roman" w:hAnsi="Times New Roman" w:eastAsia="宋体" w:cs="Times New Roman"/>
                <w:b/>
                <w:bCs/>
                <w:color w:val="FF0000"/>
                <w:highlight w:val="none"/>
                <w:u w:val="single"/>
              </w:rPr>
              <w:t>271-001-02</w:t>
            </w:r>
            <w:r>
              <w:rPr>
                <w:rFonts w:hint="default" w:ascii="Times New Roman" w:hAnsi="Times New Roman" w:eastAsia="宋体" w:cs="Times New Roman"/>
                <w:b/>
                <w:bCs/>
                <w:color w:val="FF0000"/>
                <w:highlight w:val="none"/>
                <w:u w:val="single"/>
                <w:lang w:val="en-US" w:eastAsia="zh-CN"/>
              </w:rPr>
              <w:t>、</w:t>
            </w:r>
            <w:r>
              <w:rPr>
                <w:rFonts w:hint="default" w:ascii="Times New Roman" w:hAnsi="Times New Roman" w:eastAsia="宋体" w:cs="Times New Roman"/>
                <w:b/>
                <w:bCs/>
                <w:color w:val="FF0000"/>
                <w:highlight w:val="none"/>
                <w:u w:val="single"/>
              </w:rPr>
              <w:t>271-00</w:t>
            </w:r>
            <w:r>
              <w:rPr>
                <w:rFonts w:hint="default" w:ascii="Times New Roman" w:hAnsi="Times New Roman" w:eastAsia="宋体" w:cs="Times New Roman"/>
                <w:b/>
                <w:bCs/>
                <w:color w:val="FF0000"/>
                <w:highlight w:val="none"/>
                <w:u w:val="single"/>
                <w:lang w:val="en-US" w:eastAsia="zh-CN"/>
              </w:rPr>
              <w:t>4</w:t>
            </w:r>
            <w:r>
              <w:rPr>
                <w:rFonts w:hint="default" w:ascii="Times New Roman" w:hAnsi="Times New Roman" w:eastAsia="宋体" w:cs="Times New Roman"/>
                <w:b/>
                <w:bCs/>
                <w:color w:val="FF0000"/>
                <w:highlight w:val="none"/>
                <w:u w:val="single"/>
              </w:rPr>
              <w:t>-02</w:t>
            </w:r>
            <w:r>
              <w:rPr>
                <w:rFonts w:hint="default" w:ascii="Times New Roman" w:hAnsi="Times New Roman" w:eastAsia="宋体" w:cs="Times New Roman"/>
                <w:b/>
                <w:bCs/>
                <w:color w:val="FF0000"/>
                <w:highlight w:val="none"/>
                <w:u w:val="single"/>
                <w:lang w:val="en-US" w:eastAsia="zh-CN"/>
              </w:rPr>
              <w:t>、</w:t>
            </w:r>
            <w:r>
              <w:rPr>
                <w:rFonts w:hint="default" w:ascii="Times New Roman" w:hAnsi="Times New Roman" w:eastAsia="宋体" w:cs="Times New Roman"/>
                <w:b/>
                <w:bCs/>
                <w:color w:val="FF0000"/>
                <w:highlight w:val="none"/>
                <w:u w:val="single"/>
              </w:rPr>
              <w:t>271-00</w:t>
            </w:r>
            <w:r>
              <w:rPr>
                <w:rFonts w:hint="default" w:ascii="Times New Roman" w:hAnsi="Times New Roman" w:eastAsia="宋体" w:cs="Times New Roman"/>
                <w:b/>
                <w:bCs/>
                <w:color w:val="FF0000"/>
                <w:highlight w:val="none"/>
                <w:u w:val="single"/>
                <w:lang w:val="en-US" w:eastAsia="zh-CN"/>
              </w:rPr>
              <w:t>5</w:t>
            </w:r>
            <w:r>
              <w:rPr>
                <w:rFonts w:hint="default" w:ascii="Times New Roman" w:hAnsi="Times New Roman" w:eastAsia="宋体" w:cs="Times New Roman"/>
                <w:b/>
                <w:bCs/>
                <w:color w:val="FF0000"/>
                <w:highlight w:val="none"/>
                <w:u w:val="single"/>
              </w:rPr>
              <w:t>-02</w:t>
            </w:r>
            <w:r>
              <w:rPr>
                <w:rFonts w:hint="default" w:ascii="Times New Roman" w:hAnsi="Times New Roman" w:eastAsia="宋体" w:cs="Times New Roman"/>
                <w:b/>
                <w:bCs/>
                <w:color w:val="FF0000"/>
                <w:highlight w:val="none"/>
                <w:u w:val="single"/>
                <w:lang w:val="en-US" w:eastAsia="zh-CN"/>
              </w:rPr>
              <w:t>、</w:t>
            </w:r>
            <w:r>
              <w:rPr>
                <w:rFonts w:hint="default" w:ascii="Times New Roman" w:hAnsi="Times New Roman" w:eastAsia="宋体" w:cs="Times New Roman"/>
                <w:b/>
                <w:bCs/>
                <w:color w:val="FF0000"/>
                <w:highlight w:val="none"/>
                <w:u w:val="single"/>
              </w:rPr>
              <w:t>27</w:t>
            </w:r>
            <w:r>
              <w:rPr>
                <w:rFonts w:hint="default" w:ascii="Times New Roman" w:hAnsi="Times New Roman" w:eastAsia="宋体" w:cs="Times New Roman"/>
                <w:b/>
                <w:bCs/>
                <w:color w:val="FF0000"/>
                <w:highlight w:val="none"/>
                <w:u w:val="single"/>
                <w:lang w:val="en-US" w:eastAsia="zh-CN"/>
              </w:rPr>
              <w:t>2</w:t>
            </w:r>
            <w:r>
              <w:rPr>
                <w:rFonts w:hint="default" w:ascii="Times New Roman" w:hAnsi="Times New Roman" w:eastAsia="宋体" w:cs="Times New Roman"/>
                <w:b/>
                <w:bCs/>
                <w:color w:val="FF0000"/>
                <w:highlight w:val="none"/>
                <w:u w:val="single"/>
              </w:rPr>
              <w:t>-00</w:t>
            </w:r>
            <w:r>
              <w:rPr>
                <w:rFonts w:hint="default" w:ascii="Times New Roman" w:hAnsi="Times New Roman" w:eastAsia="宋体" w:cs="Times New Roman"/>
                <w:b/>
                <w:bCs/>
                <w:color w:val="FF0000"/>
                <w:highlight w:val="none"/>
                <w:u w:val="single"/>
                <w:lang w:val="en-US" w:eastAsia="zh-CN"/>
              </w:rPr>
              <w:t>3</w:t>
            </w:r>
            <w:r>
              <w:rPr>
                <w:rFonts w:hint="default" w:ascii="Times New Roman" w:hAnsi="Times New Roman" w:eastAsia="宋体" w:cs="Times New Roman"/>
                <w:b/>
                <w:bCs/>
                <w:color w:val="FF0000"/>
                <w:highlight w:val="none"/>
                <w:u w:val="single"/>
              </w:rPr>
              <w:t>-02</w:t>
            </w:r>
            <w:r>
              <w:rPr>
                <w:rFonts w:hint="default" w:ascii="Times New Roman" w:hAnsi="Times New Roman" w:eastAsia="宋体" w:cs="Times New Roman"/>
                <w:b/>
                <w:bCs/>
                <w:color w:val="FF0000"/>
                <w:highlight w:val="none"/>
                <w:u w:val="single"/>
                <w:lang w:val="en-US" w:eastAsia="zh-CN"/>
              </w:rPr>
              <w:t>、</w:t>
            </w:r>
            <w:r>
              <w:rPr>
                <w:rFonts w:hint="default" w:ascii="Times New Roman" w:hAnsi="Times New Roman" w:eastAsia="宋体" w:cs="Times New Roman"/>
                <w:b/>
                <w:bCs/>
                <w:color w:val="FF0000"/>
                <w:highlight w:val="none"/>
                <w:u w:val="single"/>
              </w:rPr>
              <w:t>27</w:t>
            </w:r>
            <w:r>
              <w:rPr>
                <w:rFonts w:hint="default" w:ascii="Times New Roman" w:hAnsi="Times New Roman" w:eastAsia="宋体" w:cs="Times New Roman"/>
                <w:b/>
                <w:bCs/>
                <w:color w:val="FF0000"/>
                <w:highlight w:val="none"/>
                <w:u w:val="single"/>
                <w:lang w:val="en-US" w:eastAsia="zh-CN"/>
              </w:rPr>
              <w:t>2</w:t>
            </w:r>
            <w:r>
              <w:rPr>
                <w:rFonts w:hint="default" w:ascii="Times New Roman" w:hAnsi="Times New Roman" w:eastAsia="宋体" w:cs="Times New Roman"/>
                <w:b/>
                <w:bCs/>
                <w:color w:val="FF0000"/>
                <w:highlight w:val="none"/>
                <w:u w:val="single"/>
              </w:rPr>
              <w:t>-00</w:t>
            </w:r>
            <w:r>
              <w:rPr>
                <w:rFonts w:hint="default" w:ascii="Times New Roman" w:hAnsi="Times New Roman" w:eastAsia="宋体" w:cs="Times New Roman"/>
                <w:b/>
                <w:bCs/>
                <w:color w:val="FF0000"/>
                <w:highlight w:val="none"/>
                <w:u w:val="single"/>
                <w:lang w:val="en-US" w:eastAsia="zh-CN"/>
              </w:rPr>
              <w:t>5</w:t>
            </w:r>
            <w:r>
              <w:rPr>
                <w:rFonts w:hint="default" w:ascii="Times New Roman" w:hAnsi="Times New Roman" w:eastAsia="宋体" w:cs="Times New Roman"/>
                <w:b/>
                <w:bCs/>
                <w:color w:val="FF0000"/>
                <w:highlight w:val="none"/>
                <w:u w:val="single"/>
              </w:rPr>
              <w:t>-02</w:t>
            </w:r>
            <w:r>
              <w:rPr>
                <w:rFonts w:hint="default" w:ascii="Times New Roman" w:hAnsi="Times New Roman" w:eastAsia="宋体" w:cs="Times New Roman"/>
                <w:b/>
                <w:bCs/>
                <w:color w:val="FF0000"/>
                <w:highlight w:val="none"/>
                <w:u w:val="single"/>
                <w:lang w:val="en-US" w:eastAsia="zh-CN"/>
              </w:rPr>
              <w:t>、</w:t>
            </w:r>
            <w:r>
              <w:rPr>
                <w:rFonts w:hint="default" w:ascii="Times New Roman" w:hAnsi="Times New Roman" w:eastAsia="宋体" w:cs="Times New Roman"/>
                <w:b/>
                <w:bCs/>
                <w:color w:val="FF0000"/>
                <w:highlight w:val="none"/>
                <w:u w:val="single"/>
              </w:rPr>
              <w:t>27</w:t>
            </w:r>
            <w:r>
              <w:rPr>
                <w:rFonts w:hint="default" w:ascii="Times New Roman" w:hAnsi="Times New Roman" w:eastAsia="宋体" w:cs="Times New Roman"/>
                <w:b/>
                <w:bCs/>
                <w:color w:val="FF0000"/>
                <w:highlight w:val="none"/>
                <w:u w:val="single"/>
                <w:lang w:val="en-US" w:eastAsia="zh-CN"/>
              </w:rPr>
              <w:t>6</w:t>
            </w:r>
            <w:r>
              <w:rPr>
                <w:rFonts w:hint="default" w:ascii="Times New Roman" w:hAnsi="Times New Roman" w:eastAsia="宋体" w:cs="Times New Roman"/>
                <w:b/>
                <w:bCs/>
                <w:color w:val="FF0000"/>
                <w:highlight w:val="none"/>
                <w:u w:val="single"/>
              </w:rPr>
              <w:t>-00</w:t>
            </w:r>
            <w:r>
              <w:rPr>
                <w:rFonts w:hint="default" w:ascii="Times New Roman" w:hAnsi="Times New Roman" w:eastAsia="宋体" w:cs="Times New Roman"/>
                <w:b/>
                <w:bCs/>
                <w:color w:val="FF0000"/>
                <w:highlight w:val="none"/>
                <w:u w:val="single"/>
                <w:lang w:val="en-US" w:eastAsia="zh-CN"/>
              </w:rPr>
              <w:t>3</w:t>
            </w:r>
            <w:r>
              <w:rPr>
                <w:rFonts w:hint="default" w:ascii="Times New Roman" w:hAnsi="Times New Roman" w:eastAsia="宋体" w:cs="Times New Roman"/>
                <w:b/>
                <w:bCs/>
                <w:color w:val="FF0000"/>
                <w:highlight w:val="none"/>
                <w:u w:val="single"/>
              </w:rPr>
              <w:t>-02</w:t>
            </w:r>
          </w:p>
        </w:tc>
        <w:tc>
          <w:tcPr>
            <w:tcW w:w="480" w:type="pct"/>
            <w:vAlign w:val="center"/>
          </w:tcPr>
          <w:p w14:paraId="6EAAB3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lang w:val="en-US" w:eastAsia="zh-CN"/>
              </w:rPr>
            </w:pPr>
            <w:r>
              <w:rPr>
                <w:rFonts w:hint="default" w:ascii="Times New Roman" w:hAnsi="Times New Roman" w:eastAsia="宋体" w:cs="Times New Roman"/>
                <w:b/>
                <w:bCs/>
                <w:highlight w:val="none"/>
                <w:u w:val="single"/>
                <w:lang w:val="en-US" w:eastAsia="zh-CN"/>
              </w:rPr>
              <w:t>T</w:t>
            </w:r>
          </w:p>
        </w:tc>
        <w:tc>
          <w:tcPr>
            <w:tcW w:w="459" w:type="pct"/>
            <w:vAlign w:val="center"/>
          </w:tcPr>
          <w:p w14:paraId="6C9E6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lang w:val="en-US" w:eastAsia="zh-CN"/>
              </w:rPr>
            </w:pPr>
            <w:r>
              <w:rPr>
                <w:rFonts w:hint="default" w:ascii="Times New Roman" w:hAnsi="Times New Roman" w:eastAsia="宋体" w:cs="Times New Roman"/>
                <w:b/>
                <w:bCs/>
                <w:highlight w:val="none"/>
                <w:u w:val="single"/>
                <w:lang w:val="en-US" w:eastAsia="zh-CN"/>
              </w:rPr>
              <w:t>100</w:t>
            </w:r>
          </w:p>
        </w:tc>
        <w:tc>
          <w:tcPr>
            <w:tcW w:w="459" w:type="pct"/>
            <w:vAlign w:val="center"/>
          </w:tcPr>
          <w:p w14:paraId="05FA86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lang w:val="en-US" w:eastAsia="zh-CN"/>
              </w:rPr>
            </w:pPr>
            <w:r>
              <w:rPr>
                <w:rFonts w:hint="default" w:ascii="Times New Roman" w:hAnsi="Times New Roman" w:eastAsia="宋体" w:cs="Times New Roman"/>
                <w:b/>
                <w:bCs/>
                <w:highlight w:val="none"/>
                <w:u w:val="single"/>
                <w:lang w:val="en-US" w:eastAsia="zh-CN"/>
              </w:rPr>
              <w:t>0</w:t>
            </w:r>
          </w:p>
        </w:tc>
        <w:tc>
          <w:tcPr>
            <w:tcW w:w="459" w:type="pct"/>
            <w:vAlign w:val="center"/>
          </w:tcPr>
          <w:p w14:paraId="405BF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highlight w:val="none"/>
                <w:u w:val="single"/>
                <w:lang w:val="en-US" w:eastAsia="zh-CN"/>
              </w:rPr>
            </w:pPr>
            <w:r>
              <w:rPr>
                <w:rFonts w:hint="default" w:ascii="Times New Roman" w:hAnsi="Times New Roman" w:eastAsia="宋体" w:cs="Times New Roman"/>
                <w:b/>
                <w:bCs/>
                <w:highlight w:val="none"/>
                <w:u w:val="single"/>
                <w:lang w:val="en-US" w:eastAsia="zh-CN"/>
              </w:rPr>
              <w:t>+100</w:t>
            </w:r>
          </w:p>
        </w:tc>
      </w:tr>
      <w:tr w14:paraId="3A4EA9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33280A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HW03</w:t>
            </w:r>
          </w:p>
        </w:tc>
        <w:tc>
          <w:tcPr>
            <w:tcW w:w="755" w:type="pct"/>
            <w:vAlign w:val="center"/>
          </w:tcPr>
          <w:p w14:paraId="72836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废药物、药品</w:t>
            </w:r>
          </w:p>
        </w:tc>
        <w:tc>
          <w:tcPr>
            <w:tcW w:w="1974" w:type="pct"/>
            <w:vAlign w:val="center"/>
          </w:tcPr>
          <w:p w14:paraId="7CF2E4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900-002-03</w:t>
            </w:r>
          </w:p>
        </w:tc>
        <w:tc>
          <w:tcPr>
            <w:tcW w:w="480" w:type="pct"/>
            <w:vAlign w:val="center"/>
          </w:tcPr>
          <w:p w14:paraId="7D8DD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3E21DC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100</w:t>
            </w:r>
          </w:p>
        </w:tc>
        <w:tc>
          <w:tcPr>
            <w:tcW w:w="459" w:type="pct"/>
            <w:vAlign w:val="center"/>
          </w:tcPr>
          <w:p w14:paraId="14461C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100</w:t>
            </w:r>
          </w:p>
        </w:tc>
        <w:tc>
          <w:tcPr>
            <w:tcW w:w="459" w:type="pct"/>
            <w:vAlign w:val="center"/>
          </w:tcPr>
          <w:p w14:paraId="6CAF92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lang w:val="en-US"/>
              </w:rPr>
            </w:pPr>
            <w:r>
              <w:rPr>
                <w:rFonts w:hint="default" w:ascii="Times New Roman" w:hAnsi="Times New Roman" w:eastAsia="宋体" w:cs="Times New Roman"/>
                <w:highlight w:val="none"/>
                <w:u w:val="single"/>
                <w:lang w:val="en-US" w:eastAsia="zh-CN"/>
              </w:rPr>
              <w:t>--</w:t>
            </w:r>
          </w:p>
        </w:tc>
      </w:tr>
      <w:tr w14:paraId="4ECBCB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39B4E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HW06</w:t>
            </w:r>
          </w:p>
        </w:tc>
        <w:tc>
          <w:tcPr>
            <w:tcW w:w="755" w:type="pct"/>
            <w:vAlign w:val="center"/>
          </w:tcPr>
          <w:p w14:paraId="53F8D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废有机溶剂与含有机溶剂废物</w:t>
            </w:r>
          </w:p>
        </w:tc>
        <w:tc>
          <w:tcPr>
            <w:tcW w:w="1974" w:type="pct"/>
            <w:vAlign w:val="center"/>
          </w:tcPr>
          <w:p w14:paraId="48F390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rPr>
              <w:t>900-402-06 、</w:t>
            </w:r>
            <w:r>
              <w:rPr>
                <w:rFonts w:hint="default" w:ascii="Times New Roman" w:hAnsi="Times New Roman" w:eastAsia="宋体" w:cs="Times New Roman"/>
                <w:b/>
                <w:bCs/>
                <w:color w:val="FF0000"/>
                <w:highlight w:val="none"/>
                <w:u w:val="single"/>
              </w:rPr>
              <w:t>900-404-06</w:t>
            </w:r>
            <w:r>
              <w:rPr>
                <w:rFonts w:hint="default" w:ascii="Times New Roman" w:hAnsi="Times New Roman" w:eastAsia="宋体" w:cs="Times New Roman"/>
                <w:b/>
                <w:bCs/>
                <w:color w:val="FF0000"/>
                <w:highlight w:val="none"/>
                <w:u w:val="single"/>
                <w:lang w:eastAsia="zh-CN"/>
              </w:rPr>
              <w:t>、</w:t>
            </w:r>
            <w:r>
              <w:rPr>
                <w:rFonts w:hint="default" w:ascii="Times New Roman" w:hAnsi="Times New Roman" w:eastAsia="宋体" w:cs="Times New Roman"/>
                <w:b/>
                <w:bCs/>
                <w:color w:val="FF0000"/>
                <w:spacing w:val="-1"/>
                <w:sz w:val="22"/>
                <w:szCs w:val="22"/>
                <w:highlight w:val="none"/>
                <w:u w:val="single"/>
                <w:lang w:val="en-US" w:eastAsia="zh-CN"/>
              </w:rPr>
              <w:t>900-405-06、900-407-06、900-409-06</w:t>
            </w:r>
          </w:p>
        </w:tc>
        <w:tc>
          <w:tcPr>
            <w:tcW w:w="480" w:type="pct"/>
            <w:vAlign w:val="center"/>
          </w:tcPr>
          <w:p w14:paraId="629543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r>
              <w:rPr>
                <w:rFonts w:hint="default" w:ascii="Times New Roman" w:hAnsi="Times New Roman" w:eastAsia="宋体" w:cs="Times New Roman"/>
                <w:highlight w:val="none"/>
                <w:u w:val="single"/>
                <w:lang w:val="en-US" w:eastAsia="zh-CN"/>
              </w:rPr>
              <w:t>/</w:t>
            </w:r>
            <w:r>
              <w:rPr>
                <w:rFonts w:hint="default" w:ascii="Times New Roman" w:hAnsi="Times New Roman" w:eastAsia="宋体" w:cs="Times New Roman"/>
                <w:highlight w:val="none"/>
                <w:u w:val="single"/>
              </w:rPr>
              <w:t>I</w:t>
            </w:r>
          </w:p>
        </w:tc>
        <w:tc>
          <w:tcPr>
            <w:tcW w:w="459" w:type="pct"/>
            <w:vAlign w:val="center"/>
          </w:tcPr>
          <w:p w14:paraId="61D4E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500</w:t>
            </w:r>
          </w:p>
        </w:tc>
        <w:tc>
          <w:tcPr>
            <w:tcW w:w="459" w:type="pct"/>
            <w:vAlign w:val="center"/>
          </w:tcPr>
          <w:p w14:paraId="2DAD30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100</w:t>
            </w:r>
          </w:p>
        </w:tc>
        <w:tc>
          <w:tcPr>
            <w:tcW w:w="459" w:type="pct"/>
            <w:vAlign w:val="center"/>
          </w:tcPr>
          <w:p w14:paraId="12F853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+400</w:t>
            </w:r>
          </w:p>
        </w:tc>
      </w:tr>
      <w:tr w14:paraId="467DE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restart"/>
            <w:vAlign w:val="center"/>
          </w:tcPr>
          <w:p w14:paraId="1BD544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HW08</w:t>
            </w:r>
          </w:p>
        </w:tc>
        <w:tc>
          <w:tcPr>
            <w:tcW w:w="755" w:type="pct"/>
            <w:vMerge w:val="restart"/>
            <w:vAlign w:val="center"/>
          </w:tcPr>
          <w:p w14:paraId="7B2B11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废矿物油与含矿物油废物</w:t>
            </w:r>
          </w:p>
        </w:tc>
        <w:tc>
          <w:tcPr>
            <w:tcW w:w="1974" w:type="pct"/>
            <w:vAlign w:val="center"/>
          </w:tcPr>
          <w:p w14:paraId="69029E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900-203-08、900-204-08、900-205-08、</w:t>
            </w:r>
          </w:p>
        </w:tc>
        <w:tc>
          <w:tcPr>
            <w:tcW w:w="480" w:type="pct"/>
            <w:vAlign w:val="center"/>
          </w:tcPr>
          <w:p w14:paraId="6E61F5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Merge w:val="restart"/>
            <w:vAlign w:val="center"/>
          </w:tcPr>
          <w:p w14:paraId="72F87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lang w:val="en-US" w:eastAsia="zh-CN"/>
              </w:rPr>
              <w:t>2</w:t>
            </w:r>
            <w:r>
              <w:rPr>
                <w:rFonts w:hint="eastAsia" w:ascii="Times New Roman" w:hAnsi="Times New Roman" w:cs="Times New Roman"/>
                <w:highlight w:val="none"/>
                <w:u w:val="single"/>
                <w:lang w:val="en-US" w:eastAsia="zh-CN"/>
              </w:rPr>
              <w:t>1</w:t>
            </w:r>
            <w:r>
              <w:rPr>
                <w:rFonts w:hint="default" w:ascii="Times New Roman" w:hAnsi="Times New Roman" w:eastAsia="宋体" w:cs="Times New Roman"/>
                <w:highlight w:val="none"/>
                <w:u w:val="single"/>
              </w:rPr>
              <w:t>00</w:t>
            </w:r>
          </w:p>
        </w:tc>
        <w:tc>
          <w:tcPr>
            <w:tcW w:w="459" w:type="pct"/>
            <w:vMerge w:val="restart"/>
            <w:vAlign w:val="center"/>
          </w:tcPr>
          <w:p w14:paraId="6D6DAF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4000</w:t>
            </w:r>
          </w:p>
        </w:tc>
        <w:tc>
          <w:tcPr>
            <w:tcW w:w="459" w:type="pct"/>
            <w:vMerge w:val="restart"/>
            <w:vAlign w:val="center"/>
          </w:tcPr>
          <w:p w14:paraId="71933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w:t>
            </w:r>
            <w:r>
              <w:rPr>
                <w:rFonts w:hint="eastAsia" w:ascii="Times New Roman" w:hAnsi="Times New Roman" w:cs="Times New Roman"/>
                <w:highlight w:val="none"/>
                <w:u w:val="single"/>
                <w:lang w:val="en-US" w:eastAsia="zh-CN"/>
              </w:rPr>
              <w:t>9</w:t>
            </w:r>
            <w:r>
              <w:rPr>
                <w:rFonts w:hint="default" w:ascii="Times New Roman" w:hAnsi="Times New Roman" w:eastAsia="宋体" w:cs="Times New Roman"/>
                <w:highlight w:val="none"/>
                <w:u w:val="single"/>
              </w:rPr>
              <w:t>00</w:t>
            </w:r>
          </w:p>
        </w:tc>
      </w:tr>
      <w:tr w14:paraId="3786E3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14:paraId="0AD0DD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755" w:type="pct"/>
            <w:vMerge w:val="continue"/>
            <w:vAlign w:val="center"/>
          </w:tcPr>
          <w:p w14:paraId="63879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1974" w:type="pct"/>
            <w:vAlign w:val="center"/>
          </w:tcPr>
          <w:p w14:paraId="325612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900-199-08、900-200-08、900-201-08、900-209-08、</w:t>
            </w:r>
          </w:p>
          <w:p w14:paraId="7BE3F4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900-210-08、900-213-08、900-214-08、</w:t>
            </w:r>
          </w:p>
          <w:p w14:paraId="04776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900-215-08、900-216-08、900-217-08、900-218-08、</w:t>
            </w:r>
          </w:p>
          <w:p w14:paraId="58E4BE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900-219-08、900-220-08、900-249-08、900-221-08</w:t>
            </w:r>
          </w:p>
        </w:tc>
        <w:tc>
          <w:tcPr>
            <w:tcW w:w="480" w:type="pct"/>
            <w:vAlign w:val="center"/>
          </w:tcPr>
          <w:p w14:paraId="0AFA3E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r>
              <w:rPr>
                <w:rFonts w:hint="default" w:ascii="Times New Roman" w:hAnsi="Times New Roman" w:eastAsia="宋体" w:cs="Times New Roman"/>
                <w:highlight w:val="none"/>
                <w:u w:val="single"/>
                <w:lang w:val="en-US" w:eastAsia="zh-CN"/>
              </w:rPr>
              <w:t>/</w:t>
            </w:r>
            <w:r>
              <w:rPr>
                <w:rFonts w:hint="default" w:ascii="Times New Roman" w:hAnsi="Times New Roman" w:eastAsia="宋体" w:cs="Times New Roman"/>
                <w:highlight w:val="none"/>
                <w:u w:val="single"/>
              </w:rPr>
              <w:t>I</w:t>
            </w:r>
          </w:p>
        </w:tc>
        <w:tc>
          <w:tcPr>
            <w:tcW w:w="459" w:type="pct"/>
            <w:vMerge w:val="continue"/>
            <w:vAlign w:val="center"/>
          </w:tcPr>
          <w:p w14:paraId="3F2F99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21E52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593982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r>
      <w:tr w14:paraId="7A27F9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51BF84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HW09</w:t>
            </w:r>
          </w:p>
        </w:tc>
        <w:tc>
          <w:tcPr>
            <w:tcW w:w="755" w:type="pct"/>
            <w:vAlign w:val="center"/>
          </w:tcPr>
          <w:p w14:paraId="628EBD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油/水、烃/水混合物或乳化液</w:t>
            </w:r>
          </w:p>
        </w:tc>
        <w:tc>
          <w:tcPr>
            <w:tcW w:w="1974" w:type="pct"/>
            <w:vAlign w:val="center"/>
          </w:tcPr>
          <w:p w14:paraId="0AB4F3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900-005-09、900-006-09、900-007-09</w:t>
            </w:r>
          </w:p>
        </w:tc>
        <w:tc>
          <w:tcPr>
            <w:tcW w:w="480" w:type="pct"/>
            <w:vAlign w:val="center"/>
          </w:tcPr>
          <w:p w14:paraId="7FE0B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2B4C04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1200</w:t>
            </w:r>
          </w:p>
        </w:tc>
        <w:tc>
          <w:tcPr>
            <w:tcW w:w="459" w:type="pct"/>
            <w:vAlign w:val="center"/>
          </w:tcPr>
          <w:p w14:paraId="1261E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1100</w:t>
            </w:r>
          </w:p>
        </w:tc>
        <w:tc>
          <w:tcPr>
            <w:tcW w:w="459" w:type="pct"/>
            <w:vAlign w:val="center"/>
          </w:tcPr>
          <w:p w14:paraId="47C29F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+100</w:t>
            </w:r>
          </w:p>
        </w:tc>
      </w:tr>
      <w:tr w14:paraId="01DE22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6132A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HW10</w:t>
            </w:r>
          </w:p>
        </w:tc>
        <w:tc>
          <w:tcPr>
            <w:tcW w:w="755" w:type="pct"/>
            <w:vAlign w:val="center"/>
          </w:tcPr>
          <w:p w14:paraId="5FB41B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多氯（溴）联苯类废物</w:t>
            </w:r>
          </w:p>
        </w:tc>
        <w:tc>
          <w:tcPr>
            <w:tcW w:w="1974" w:type="pct"/>
            <w:vAlign w:val="center"/>
          </w:tcPr>
          <w:p w14:paraId="4E351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lang w:eastAsia="zh-CN"/>
              </w:rPr>
            </w:pPr>
            <w:r>
              <w:rPr>
                <w:rFonts w:hint="default" w:ascii="Times New Roman" w:hAnsi="Times New Roman" w:eastAsia="宋体" w:cs="Times New Roman"/>
                <w:color w:val="000000"/>
                <w:kern w:val="0"/>
                <w:szCs w:val="21"/>
                <w:u w:val="single"/>
                <w:lang w:bidi="ar"/>
              </w:rPr>
              <w:t>900-008-10</w:t>
            </w:r>
          </w:p>
        </w:tc>
        <w:tc>
          <w:tcPr>
            <w:tcW w:w="480" w:type="pct"/>
            <w:vAlign w:val="center"/>
          </w:tcPr>
          <w:p w14:paraId="71017F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3FA4FB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50</w:t>
            </w:r>
          </w:p>
        </w:tc>
        <w:tc>
          <w:tcPr>
            <w:tcW w:w="459" w:type="pct"/>
            <w:vAlign w:val="center"/>
          </w:tcPr>
          <w:p w14:paraId="36CE0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30</w:t>
            </w:r>
          </w:p>
        </w:tc>
        <w:tc>
          <w:tcPr>
            <w:tcW w:w="459" w:type="pct"/>
            <w:vAlign w:val="center"/>
          </w:tcPr>
          <w:p w14:paraId="407600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lang w:val="en-US" w:eastAsia="zh-CN"/>
              </w:rPr>
              <w:t>+2</w:t>
            </w:r>
            <w:r>
              <w:rPr>
                <w:rFonts w:hint="default" w:ascii="Times New Roman" w:hAnsi="Times New Roman" w:eastAsia="宋体" w:cs="Times New Roman"/>
                <w:highlight w:val="none"/>
                <w:u w:val="single"/>
              </w:rPr>
              <w:t>0</w:t>
            </w:r>
          </w:p>
        </w:tc>
      </w:tr>
      <w:tr w14:paraId="737AD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718783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HW11</w:t>
            </w:r>
          </w:p>
        </w:tc>
        <w:tc>
          <w:tcPr>
            <w:tcW w:w="755" w:type="pct"/>
            <w:vAlign w:val="center"/>
          </w:tcPr>
          <w:p w14:paraId="0ECBBD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精(蒸)馏残渣</w:t>
            </w:r>
          </w:p>
        </w:tc>
        <w:tc>
          <w:tcPr>
            <w:tcW w:w="1974" w:type="pct"/>
            <w:vAlign w:val="center"/>
          </w:tcPr>
          <w:p w14:paraId="5621B4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lang w:val="en-US" w:eastAsia="zh-CN"/>
              </w:rPr>
            </w:pPr>
            <w:r>
              <w:rPr>
                <w:rFonts w:hint="default" w:ascii="Times New Roman" w:hAnsi="Times New Roman" w:eastAsia="宋体" w:cs="Times New Roman"/>
                <w:b/>
                <w:bCs/>
                <w:color w:val="FF0000"/>
                <w:highlight w:val="none"/>
                <w:u w:val="single"/>
              </w:rPr>
              <w:t>252-010-11、252-011-11、</w:t>
            </w:r>
            <w:r>
              <w:rPr>
                <w:rFonts w:hint="default" w:ascii="Times New Roman" w:hAnsi="Times New Roman" w:eastAsia="宋体" w:cs="Times New Roman"/>
                <w:b/>
                <w:bCs/>
                <w:color w:val="FF0000"/>
                <w:highlight w:val="none"/>
                <w:u w:val="single"/>
                <w:lang w:eastAsia="zh-CN"/>
              </w:rPr>
              <w:t>900-013-11</w:t>
            </w:r>
            <w:r>
              <w:rPr>
                <w:rFonts w:hint="default" w:ascii="Times New Roman" w:hAnsi="Times New Roman" w:eastAsia="宋体" w:cs="Times New Roman"/>
                <w:b/>
                <w:bCs/>
                <w:color w:val="FF0000"/>
                <w:highlight w:val="none"/>
                <w:u w:val="single"/>
              </w:rPr>
              <w:t>，252-016-11</w:t>
            </w:r>
            <w:r>
              <w:rPr>
                <w:rFonts w:hint="default" w:ascii="Times New Roman" w:hAnsi="Times New Roman" w:eastAsia="宋体" w:cs="Times New Roman"/>
                <w:b/>
                <w:bCs/>
                <w:color w:val="FF0000"/>
                <w:highlight w:val="none"/>
                <w:u w:val="single"/>
                <w:lang w:eastAsia="zh-CN"/>
              </w:rPr>
              <w:t>、</w:t>
            </w:r>
            <w:r>
              <w:rPr>
                <w:rFonts w:hint="default" w:ascii="Times New Roman" w:hAnsi="Times New Roman" w:eastAsia="宋体" w:cs="Times New Roman"/>
                <w:b/>
                <w:bCs/>
                <w:color w:val="FF0000"/>
                <w:spacing w:val="-2"/>
                <w:sz w:val="22"/>
                <w:szCs w:val="22"/>
                <w:highlight w:val="none"/>
                <w:u w:val="single"/>
                <w:lang w:val="en-US" w:eastAsia="zh-CN"/>
              </w:rPr>
              <w:t>900-013-11</w:t>
            </w:r>
            <w:r>
              <w:rPr>
                <w:rFonts w:hint="eastAsia" w:ascii="Times New Roman" w:hAnsi="Times New Roman" w:cs="Times New Roman"/>
                <w:b/>
                <w:bCs/>
                <w:color w:val="FF0000"/>
                <w:spacing w:val="-2"/>
                <w:sz w:val="22"/>
                <w:szCs w:val="22"/>
                <w:highlight w:val="none"/>
                <w:u w:val="single"/>
                <w:lang w:val="en-US" w:eastAsia="zh-CN"/>
              </w:rPr>
              <w:t>、261-026-11</w:t>
            </w:r>
          </w:p>
        </w:tc>
        <w:tc>
          <w:tcPr>
            <w:tcW w:w="480" w:type="pct"/>
            <w:vAlign w:val="center"/>
          </w:tcPr>
          <w:p w14:paraId="6CD5A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6DAD94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eastAsia" w:ascii="Times New Roman" w:hAnsi="Times New Roman" w:cs="Times New Roman"/>
                <w:highlight w:val="none"/>
                <w:u w:val="single"/>
                <w:lang w:val="en-US" w:eastAsia="zh-CN"/>
              </w:rPr>
              <w:t>25</w:t>
            </w:r>
            <w:r>
              <w:rPr>
                <w:rFonts w:hint="default" w:ascii="Times New Roman" w:hAnsi="Times New Roman" w:eastAsia="宋体" w:cs="Times New Roman"/>
                <w:highlight w:val="none"/>
                <w:u w:val="single"/>
              </w:rPr>
              <w:t>0</w:t>
            </w:r>
          </w:p>
        </w:tc>
        <w:tc>
          <w:tcPr>
            <w:tcW w:w="459" w:type="pct"/>
            <w:vAlign w:val="center"/>
          </w:tcPr>
          <w:p w14:paraId="7799A5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0</w:t>
            </w:r>
          </w:p>
        </w:tc>
        <w:tc>
          <w:tcPr>
            <w:tcW w:w="459" w:type="pct"/>
            <w:vAlign w:val="center"/>
          </w:tcPr>
          <w:p w14:paraId="198491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w:t>
            </w:r>
            <w:r>
              <w:rPr>
                <w:rFonts w:hint="eastAsia" w:ascii="Times New Roman" w:hAnsi="Times New Roman" w:cs="Times New Roman"/>
                <w:highlight w:val="none"/>
                <w:u w:val="single"/>
                <w:lang w:val="en-US" w:eastAsia="zh-CN"/>
              </w:rPr>
              <w:t>25</w:t>
            </w:r>
            <w:r>
              <w:rPr>
                <w:rFonts w:hint="default" w:ascii="Times New Roman" w:hAnsi="Times New Roman" w:eastAsia="宋体" w:cs="Times New Roman"/>
                <w:highlight w:val="none"/>
                <w:u w:val="single"/>
              </w:rPr>
              <w:t>0</w:t>
            </w:r>
          </w:p>
        </w:tc>
      </w:tr>
      <w:tr w14:paraId="4F4D2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restart"/>
            <w:vAlign w:val="center"/>
          </w:tcPr>
          <w:p w14:paraId="6B0730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HW12</w:t>
            </w:r>
          </w:p>
        </w:tc>
        <w:tc>
          <w:tcPr>
            <w:tcW w:w="755" w:type="pct"/>
            <w:vMerge w:val="restart"/>
            <w:vAlign w:val="center"/>
          </w:tcPr>
          <w:p w14:paraId="78FDC3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染料、涂料废物</w:t>
            </w:r>
          </w:p>
        </w:tc>
        <w:tc>
          <w:tcPr>
            <w:tcW w:w="1974" w:type="pct"/>
            <w:vAlign w:val="center"/>
          </w:tcPr>
          <w:p w14:paraId="43B20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900-299-12</w:t>
            </w:r>
          </w:p>
        </w:tc>
        <w:tc>
          <w:tcPr>
            <w:tcW w:w="480" w:type="pct"/>
            <w:vAlign w:val="center"/>
          </w:tcPr>
          <w:p w14:paraId="53F28A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Merge w:val="restart"/>
            <w:vAlign w:val="center"/>
          </w:tcPr>
          <w:p w14:paraId="1FC6A1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500</w:t>
            </w:r>
          </w:p>
        </w:tc>
        <w:tc>
          <w:tcPr>
            <w:tcW w:w="459" w:type="pct"/>
            <w:vMerge w:val="restart"/>
            <w:vAlign w:val="center"/>
          </w:tcPr>
          <w:p w14:paraId="5DBDF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800</w:t>
            </w:r>
          </w:p>
        </w:tc>
        <w:tc>
          <w:tcPr>
            <w:tcW w:w="459" w:type="pct"/>
            <w:vMerge w:val="restart"/>
            <w:vAlign w:val="center"/>
          </w:tcPr>
          <w:p w14:paraId="5BBDE7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-300</w:t>
            </w:r>
          </w:p>
        </w:tc>
      </w:tr>
      <w:tr w14:paraId="37DBCD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14:paraId="3F8B1D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755" w:type="pct"/>
            <w:vMerge w:val="continue"/>
            <w:vAlign w:val="center"/>
          </w:tcPr>
          <w:p w14:paraId="481042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1974" w:type="pct"/>
            <w:vAlign w:val="center"/>
          </w:tcPr>
          <w:p w14:paraId="603C32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b/>
                <w:bCs/>
                <w:color w:val="FF0000"/>
                <w:highlight w:val="none"/>
                <w:u w:val="single"/>
              </w:rPr>
              <w:t>900-250-12、900-251-12</w:t>
            </w:r>
            <w:r>
              <w:rPr>
                <w:rFonts w:hint="default" w:ascii="Times New Roman" w:hAnsi="Times New Roman" w:eastAsia="宋体" w:cs="Times New Roman"/>
                <w:highlight w:val="none"/>
                <w:u w:val="single"/>
              </w:rPr>
              <w:t>、900-252-12、</w:t>
            </w:r>
            <w:r>
              <w:rPr>
                <w:rFonts w:hint="default" w:ascii="Times New Roman" w:hAnsi="Times New Roman" w:eastAsia="宋体" w:cs="Times New Roman"/>
                <w:b/>
                <w:bCs/>
                <w:color w:val="FF0000"/>
                <w:highlight w:val="none"/>
                <w:u w:val="single"/>
              </w:rPr>
              <w:t>900-253-12、900-254-12</w:t>
            </w:r>
            <w:r>
              <w:rPr>
                <w:rFonts w:hint="default" w:ascii="Times New Roman" w:hAnsi="Times New Roman" w:eastAsia="宋体" w:cs="Times New Roman"/>
                <w:b/>
                <w:bCs/>
                <w:color w:val="FF0000"/>
                <w:highlight w:val="none"/>
                <w:u w:val="single"/>
                <w:lang w:eastAsia="zh-CN"/>
              </w:rPr>
              <w:t>、</w:t>
            </w:r>
            <w:r>
              <w:rPr>
                <w:rFonts w:hint="default" w:ascii="Times New Roman" w:hAnsi="Times New Roman" w:eastAsia="宋体" w:cs="Times New Roman"/>
                <w:b/>
                <w:bCs/>
                <w:color w:val="FF0000"/>
                <w:highlight w:val="none"/>
                <w:u w:val="single"/>
              </w:rPr>
              <w:t>900-299-12、900-012-12</w:t>
            </w:r>
          </w:p>
        </w:tc>
        <w:tc>
          <w:tcPr>
            <w:tcW w:w="480" w:type="pct"/>
            <w:vAlign w:val="center"/>
          </w:tcPr>
          <w:p w14:paraId="19CB4A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p w14:paraId="664919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I</w:t>
            </w:r>
          </w:p>
        </w:tc>
        <w:tc>
          <w:tcPr>
            <w:tcW w:w="459" w:type="pct"/>
            <w:vMerge w:val="continue"/>
            <w:vAlign w:val="center"/>
          </w:tcPr>
          <w:p w14:paraId="63ECDD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29016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3354A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r>
      <w:tr w14:paraId="553D1C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11" w:type="pct"/>
            <w:vAlign w:val="center"/>
          </w:tcPr>
          <w:p w14:paraId="28E78B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HW13</w:t>
            </w:r>
          </w:p>
        </w:tc>
        <w:tc>
          <w:tcPr>
            <w:tcW w:w="755" w:type="pct"/>
            <w:vAlign w:val="center"/>
          </w:tcPr>
          <w:p w14:paraId="49CA70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有机树脂类废物</w:t>
            </w:r>
          </w:p>
        </w:tc>
        <w:tc>
          <w:tcPr>
            <w:tcW w:w="1974" w:type="pct"/>
            <w:vAlign w:val="center"/>
          </w:tcPr>
          <w:p w14:paraId="48F987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265-101-13、</w:t>
            </w:r>
            <w:r>
              <w:rPr>
                <w:rFonts w:hint="default" w:ascii="Times New Roman" w:hAnsi="Times New Roman" w:eastAsia="宋体" w:cs="Times New Roman"/>
                <w:b/>
                <w:bCs/>
                <w:color w:val="FF0000"/>
                <w:highlight w:val="none"/>
                <w:u w:val="single"/>
              </w:rPr>
              <w:t>265-10</w:t>
            </w:r>
            <w:r>
              <w:rPr>
                <w:rFonts w:hint="default" w:ascii="Times New Roman" w:hAnsi="Times New Roman" w:eastAsia="宋体" w:cs="Times New Roman"/>
                <w:b/>
                <w:bCs/>
                <w:color w:val="FF0000"/>
                <w:highlight w:val="none"/>
                <w:u w:val="single"/>
                <w:lang w:val="en-US" w:eastAsia="zh-CN"/>
              </w:rPr>
              <w:t>2</w:t>
            </w:r>
            <w:r>
              <w:rPr>
                <w:rFonts w:hint="default" w:ascii="Times New Roman" w:hAnsi="Times New Roman" w:eastAsia="宋体" w:cs="Times New Roman"/>
                <w:b/>
                <w:bCs/>
                <w:color w:val="FF0000"/>
                <w:highlight w:val="none"/>
                <w:u w:val="single"/>
              </w:rPr>
              <w:t>-13、265-10</w:t>
            </w:r>
            <w:r>
              <w:rPr>
                <w:rFonts w:hint="default" w:ascii="Times New Roman" w:hAnsi="Times New Roman" w:eastAsia="宋体" w:cs="Times New Roman"/>
                <w:b/>
                <w:bCs/>
                <w:color w:val="FF0000"/>
                <w:highlight w:val="none"/>
                <w:u w:val="single"/>
                <w:lang w:val="en-US" w:eastAsia="zh-CN"/>
              </w:rPr>
              <w:t>3</w:t>
            </w:r>
            <w:r>
              <w:rPr>
                <w:rFonts w:hint="default" w:ascii="Times New Roman" w:hAnsi="Times New Roman" w:eastAsia="宋体" w:cs="Times New Roman"/>
                <w:b/>
                <w:bCs/>
                <w:color w:val="FF0000"/>
                <w:highlight w:val="none"/>
                <w:u w:val="single"/>
              </w:rPr>
              <w:t>-13、265-104-13、900-014-13、900-015-13、900-451-13</w:t>
            </w:r>
          </w:p>
        </w:tc>
        <w:tc>
          <w:tcPr>
            <w:tcW w:w="480" w:type="pct"/>
            <w:vAlign w:val="center"/>
          </w:tcPr>
          <w:p w14:paraId="0037BD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2BDA1B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lang w:val="en-US" w:eastAsia="zh-CN"/>
              </w:rPr>
              <w:t>250</w:t>
            </w:r>
          </w:p>
        </w:tc>
        <w:tc>
          <w:tcPr>
            <w:tcW w:w="459" w:type="pct"/>
            <w:vAlign w:val="center"/>
          </w:tcPr>
          <w:p w14:paraId="1E31D0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lang w:val="en-US" w:eastAsia="zh-CN"/>
              </w:rPr>
              <w:t>40</w:t>
            </w:r>
            <w:r>
              <w:rPr>
                <w:rFonts w:hint="default" w:ascii="Times New Roman" w:hAnsi="Times New Roman" w:eastAsia="宋体" w:cs="Times New Roman"/>
                <w:highlight w:val="none"/>
                <w:u w:val="single"/>
              </w:rPr>
              <w:t>0</w:t>
            </w:r>
          </w:p>
        </w:tc>
        <w:tc>
          <w:tcPr>
            <w:tcW w:w="459" w:type="pct"/>
            <w:vAlign w:val="center"/>
          </w:tcPr>
          <w:p w14:paraId="7CCC91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+150</w:t>
            </w:r>
          </w:p>
        </w:tc>
      </w:tr>
      <w:tr w14:paraId="3549ED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54D38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HW16</w:t>
            </w:r>
          </w:p>
        </w:tc>
        <w:tc>
          <w:tcPr>
            <w:tcW w:w="755" w:type="pct"/>
            <w:vAlign w:val="center"/>
          </w:tcPr>
          <w:p w14:paraId="3A074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感光材料废物</w:t>
            </w:r>
          </w:p>
        </w:tc>
        <w:tc>
          <w:tcPr>
            <w:tcW w:w="1974" w:type="pct"/>
            <w:vAlign w:val="center"/>
          </w:tcPr>
          <w:p w14:paraId="3AD5BA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b/>
                <w:bCs/>
                <w:color w:val="FF0000"/>
                <w:highlight w:val="none"/>
                <w:u w:val="single"/>
              </w:rPr>
              <w:t>266-009-16,266-010-16，</w:t>
            </w:r>
            <w:r>
              <w:rPr>
                <w:rFonts w:hint="default" w:ascii="Times New Roman" w:hAnsi="Times New Roman" w:eastAsia="宋体" w:cs="Times New Roman"/>
                <w:highlight w:val="none"/>
                <w:u w:val="single"/>
              </w:rPr>
              <w:t>231-001-16、</w:t>
            </w:r>
            <w:r>
              <w:rPr>
                <w:rFonts w:hint="default" w:ascii="Times New Roman" w:hAnsi="Times New Roman" w:eastAsia="宋体" w:cs="Times New Roman"/>
                <w:b/>
                <w:bCs/>
                <w:color w:val="FF0000"/>
                <w:highlight w:val="none"/>
                <w:u w:val="single"/>
              </w:rPr>
              <w:t>231-00</w:t>
            </w:r>
            <w:r>
              <w:rPr>
                <w:rFonts w:hint="default" w:ascii="Times New Roman" w:hAnsi="Times New Roman" w:eastAsia="宋体" w:cs="Times New Roman"/>
                <w:b/>
                <w:bCs/>
                <w:color w:val="FF0000"/>
                <w:highlight w:val="none"/>
                <w:u w:val="single"/>
                <w:lang w:val="en-US" w:eastAsia="zh-CN"/>
              </w:rPr>
              <w:t>2</w:t>
            </w:r>
            <w:r>
              <w:rPr>
                <w:rFonts w:hint="default" w:ascii="Times New Roman" w:hAnsi="Times New Roman" w:eastAsia="宋体" w:cs="Times New Roman"/>
                <w:b/>
                <w:bCs/>
                <w:color w:val="FF0000"/>
                <w:highlight w:val="none"/>
                <w:u w:val="single"/>
              </w:rPr>
              <w:t>-16</w:t>
            </w:r>
            <w:r>
              <w:rPr>
                <w:rFonts w:hint="default" w:ascii="Times New Roman" w:hAnsi="Times New Roman" w:eastAsia="宋体" w:cs="Times New Roman"/>
                <w:highlight w:val="none"/>
                <w:u w:val="single"/>
              </w:rPr>
              <w:t>、806-001-16，</w:t>
            </w:r>
            <w:r>
              <w:rPr>
                <w:rFonts w:hint="default" w:ascii="Times New Roman" w:hAnsi="Times New Roman" w:eastAsia="宋体" w:cs="Times New Roman"/>
                <w:b/>
                <w:bCs/>
                <w:color w:val="FF0000"/>
                <w:highlight w:val="none"/>
                <w:u w:val="single"/>
              </w:rPr>
              <w:t>900-019-16</w:t>
            </w:r>
          </w:p>
        </w:tc>
        <w:tc>
          <w:tcPr>
            <w:tcW w:w="480" w:type="pct"/>
            <w:vAlign w:val="center"/>
          </w:tcPr>
          <w:p w14:paraId="7ED13C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6E7C24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200</w:t>
            </w:r>
          </w:p>
        </w:tc>
        <w:tc>
          <w:tcPr>
            <w:tcW w:w="459" w:type="pct"/>
            <w:vAlign w:val="center"/>
          </w:tcPr>
          <w:p w14:paraId="4BCC38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30</w:t>
            </w:r>
          </w:p>
        </w:tc>
        <w:tc>
          <w:tcPr>
            <w:tcW w:w="459" w:type="pct"/>
            <w:vAlign w:val="center"/>
          </w:tcPr>
          <w:p w14:paraId="7AC1E2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+170</w:t>
            </w:r>
          </w:p>
        </w:tc>
      </w:tr>
      <w:tr w14:paraId="190541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6B6BBF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HW17</w:t>
            </w:r>
          </w:p>
        </w:tc>
        <w:tc>
          <w:tcPr>
            <w:tcW w:w="755" w:type="pct"/>
            <w:vAlign w:val="center"/>
          </w:tcPr>
          <w:p w14:paraId="2ACC2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表面处理废物</w:t>
            </w:r>
          </w:p>
        </w:tc>
        <w:tc>
          <w:tcPr>
            <w:tcW w:w="1974" w:type="pct"/>
            <w:vAlign w:val="center"/>
          </w:tcPr>
          <w:p w14:paraId="5F9B2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lang w:eastAsia="zh-CN"/>
              </w:rPr>
            </w:pPr>
            <w:r>
              <w:rPr>
                <w:rFonts w:hint="default" w:ascii="Times New Roman" w:hAnsi="Times New Roman" w:eastAsia="宋体" w:cs="Times New Roman"/>
                <w:b/>
                <w:bCs/>
                <w:color w:val="FF0000"/>
                <w:highlight w:val="none"/>
                <w:u w:val="single"/>
              </w:rPr>
              <w:t>336-052-17</w:t>
            </w:r>
            <w:r>
              <w:rPr>
                <w:rFonts w:hint="default" w:ascii="Times New Roman" w:hAnsi="Times New Roman" w:eastAsia="宋体" w:cs="Times New Roman"/>
                <w:b/>
                <w:bCs/>
                <w:color w:val="FF0000"/>
                <w:highlight w:val="none"/>
                <w:u w:val="single"/>
                <w:lang w:eastAsia="zh-CN"/>
              </w:rPr>
              <w:t>、</w:t>
            </w:r>
            <w:r>
              <w:rPr>
                <w:rFonts w:hint="default" w:ascii="Times New Roman" w:hAnsi="Times New Roman" w:eastAsia="宋体" w:cs="Times New Roman"/>
                <w:b/>
                <w:bCs/>
                <w:color w:val="FF0000"/>
                <w:highlight w:val="none"/>
                <w:u w:val="single"/>
              </w:rPr>
              <w:t>336-064-17、336-058-17、336-062-17、336-069-17</w:t>
            </w:r>
            <w:r>
              <w:rPr>
                <w:rFonts w:hint="default" w:ascii="Times New Roman" w:hAnsi="Times New Roman" w:eastAsia="宋体" w:cs="Times New Roman"/>
                <w:b/>
                <w:bCs/>
                <w:color w:val="FF0000"/>
                <w:highlight w:val="none"/>
                <w:u w:val="single"/>
                <w:lang w:eastAsia="zh-CN"/>
              </w:rPr>
              <w:t>、</w:t>
            </w:r>
            <w:r>
              <w:rPr>
                <w:rFonts w:hint="default" w:ascii="Times New Roman" w:hAnsi="Times New Roman" w:eastAsia="宋体" w:cs="Times New Roman"/>
                <w:b/>
                <w:bCs/>
                <w:color w:val="FF0000"/>
                <w:spacing w:val="-1"/>
                <w:sz w:val="23"/>
                <w:szCs w:val="23"/>
                <w:highlight w:val="none"/>
                <w:u w:val="single"/>
                <w:lang w:val="en-US" w:eastAsia="zh-CN"/>
              </w:rPr>
              <w:t>336-063-17</w:t>
            </w:r>
          </w:p>
        </w:tc>
        <w:tc>
          <w:tcPr>
            <w:tcW w:w="480" w:type="pct"/>
            <w:vAlign w:val="center"/>
          </w:tcPr>
          <w:p w14:paraId="689FCA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314096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eastAsia" w:ascii="Times New Roman" w:hAnsi="Times New Roman" w:cs="Times New Roman"/>
                <w:highlight w:val="none"/>
                <w:u w:val="single"/>
                <w:lang w:val="en-US" w:eastAsia="zh-CN"/>
              </w:rPr>
              <w:t>10</w:t>
            </w:r>
            <w:r>
              <w:rPr>
                <w:rFonts w:hint="default" w:ascii="Times New Roman" w:hAnsi="Times New Roman" w:eastAsia="宋体" w:cs="Times New Roman"/>
                <w:highlight w:val="none"/>
                <w:u w:val="single"/>
              </w:rPr>
              <w:t>00</w:t>
            </w:r>
          </w:p>
        </w:tc>
        <w:tc>
          <w:tcPr>
            <w:tcW w:w="459" w:type="pct"/>
            <w:vAlign w:val="center"/>
          </w:tcPr>
          <w:p w14:paraId="04FA92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0</w:t>
            </w:r>
          </w:p>
        </w:tc>
        <w:tc>
          <w:tcPr>
            <w:tcW w:w="459" w:type="pct"/>
            <w:vAlign w:val="center"/>
          </w:tcPr>
          <w:p w14:paraId="2C8854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w:t>
            </w:r>
            <w:r>
              <w:rPr>
                <w:rFonts w:hint="eastAsia" w:ascii="Times New Roman" w:hAnsi="Times New Roman" w:cs="Times New Roman"/>
                <w:highlight w:val="none"/>
                <w:u w:val="single"/>
                <w:lang w:val="en-US" w:eastAsia="zh-CN"/>
              </w:rPr>
              <w:t>10</w:t>
            </w:r>
            <w:r>
              <w:rPr>
                <w:rFonts w:hint="default" w:ascii="Times New Roman" w:hAnsi="Times New Roman" w:eastAsia="宋体" w:cs="Times New Roman"/>
                <w:highlight w:val="none"/>
                <w:u w:val="single"/>
              </w:rPr>
              <w:t>00</w:t>
            </w:r>
          </w:p>
        </w:tc>
      </w:tr>
      <w:tr w14:paraId="07F73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184E5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HW22</w:t>
            </w:r>
          </w:p>
        </w:tc>
        <w:tc>
          <w:tcPr>
            <w:tcW w:w="755" w:type="pct"/>
            <w:vAlign w:val="center"/>
          </w:tcPr>
          <w:p w14:paraId="68911E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含铜废物</w:t>
            </w:r>
          </w:p>
        </w:tc>
        <w:tc>
          <w:tcPr>
            <w:tcW w:w="1974" w:type="pct"/>
            <w:vAlign w:val="center"/>
          </w:tcPr>
          <w:p w14:paraId="498530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304-001-22,398-004-22</w:t>
            </w:r>
          </w:p>
        </w:tc>
        <w:tc>
          <w:tcPr>
            <w:tcW w:w="480" w:type="pct"/>
            <w:vAlign w:val="center"/>
          </w:tcPr>
          <w:p w14:paraId="12F32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2C99CA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100</w:t>
            </w:r>
          </w:p>
        </w:tc>
        <w:tc>
          <w:tcPr>
            <w:tcW w:w="459" w:type="pct"/>
            <w:vAlign w:val="center"/>
          </w:tcPr>
          <w:p w14:paraId="1D4286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0</w:t>
            </w:r>
          </w:p>
        </w:tc>
        <w:tc>
          <w:tcPr>
            <w:tcW w:w="459" w:type="pct"/>
            <w:vAlign w:val="center"/>
          </w:tcPr>
          <w:p w14:paraId="7F28B6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+100</w:t>
            </w:r>
          </w:p>
        </w:tc>
      </w:tr>
      <w:tr w14:paraId="6F4F81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37B84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HW29</w:t>
            </w:r>
          </w:p>
        </w:tc>
        <w:tc>
          <w:tcPr>
            <w:tcW w:w="755" w:type="pct"/>
            <w:vAlign w:val="center"/>
          </w:tcPr>
          <w:p w14:paraId="0A5D0F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含汞废物</w:t>
            </w:r>
          </w:p>
        </w:tc>
        <w:tc>
          <w:tcPr>
            <w:tcW w:w="1974" w:type="pct"/>
            <w:vAlign w:val="center"/>
          </w:tcPr>
          <w:p w14:paraId="18D0E5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900-023-29、</w:t>
            </w:r>
            <w:r>
              <w:rPr>
                <w:rFonts w:hint="default" w:ascii="Times New Roman" w:hAnsi="Times New Roman" w:eastAsia="宋体" w:cs="Times New Roman"/>
                <w:b/>
                <w:bCs/>
                <w:color w:val="FF0000"/>
                <w:highlight w:val="none"/>
                <w:u w:val="single"/>
              </w:rPr>
              <w:t>900-024-29</w:t>
            </w:r>
          </w:p>
        </w:tc>
        <w:tc>
          <w:tcPr>
            <w:tcW w:w="480" w:type="pct"/>
            <w:vAlign w:val="center"/>
          </w:tcPr>
          <w:p w14:paraId="514607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3C3495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50</w:t>
            </w:r>
          </w:p>
        </w:tc>
        <w:tc>
          <w:tcPr>
            <w:tcW w:w="459" w:type="pct"/>
            <w:vAlign w:val="center"/>
          </w:tcPr>
          <w:p w14:paraId="7FA357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30</w:t>
            </w:r>
          </w:p>
        </w:tc>
        <w:tc>
          <w:tcPr>
            <w:tcW w:w="459" w:type="pct"/>
            <w:vAlign w:val="center"/>
          </w:tcPr>
          <w:p w14:paraId="43A64F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+20</w:t>
            </w:r>
          </w:p>
        </w:tc>
      </w:tr>
      <w:tr w14:paraId="5294D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23D3CB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HW31</w:t>
            </w:r>
          </w:p>
        </w:tc>
        <w:tc>
          <w:tcPr>
            <w:tcW w:w="755" w:type="pct"/>
            <w:vAlign w:val="center"/>
          </w:tcPr>
          <w:p w14:paraId="5F24C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含铅废物</w:t>
            </w:r>
          </w:p>
        </w:tc>
        <w:tc>
          <w:tcPr>
            <w:tcW w:w="1974" w:type="pct"/>
            <w:vAlign w:val="center"/>
          </w:tcPr>
          <w:p w14:paraId="07395A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lang w:val="en-US" w:eastAsia="zh-CN"/>
              </w:rPr>
            </w:pPr>
            <w:r>
              <w:rPr>
                <w:rFonts w:hint="default" w:ascii="Times New Roman" w:hAnsi="Times New Roman" w:eastAsia="宋体" w:cs="Times New Roman"/>
                <w:b/>
                <w:bCs/>
                <w:color w:val="FF0000"/>
                <w:highlight w:val="none"/>
                <w:u w:val="single"/>
              </w:rPr>
              <w:t>900-052-31</w:t>
            </w:r>
            <w:r>
              <w:rPr>
                <w:rFonts w:hint="default" w:ascii="Times New Roman" w:hAnsi="Times New Roman" w:eastAsia="宋体" w:cs="Times New Roman"/>
                <w:b/>
                <w:bCs/>
                <w:color w:val="FF0000"/>
                <w:highlight w:val="none"/>
                <w:u w:val="single"/>
                <w:lang w:eastAsia="zh-CN"/>
              </w:rPr>
              <w:t>、</w:t>
            </w:r>
            <w:r>
              <w:rPr>
                <w:rFonts w:hint="default" w:ascii="Times New Roman" w:hAnsi="Times New Roman" w:eastAsia="宋体" w:cs="Times New Roman"/>
                <w:b/>
                <w:bCs/>
                <w:color w:val="FF0000"/>
                <w:spacing w:val="-1"/>
                <w:sz w:val="23"/>
                <w:szCs w:val="23"/>
                <w:highlight w:val="none"/>
                <w:u w:val="single"/>
                <w:lang w:val="en-US" w:eastAsia="zh-CN"/>
              </w:rPr>
              <w:t>900-025-31、304-002-31、398-052-31</w:t>
            </w:r>
          </w:p>
        </w:tc>
        <w:tc>
          <w:tcPr>
            <w:tcW w:w="480" w:type="pct"/>
            <w:vAlign w:val="center"/>
          </w:tcPr>
          <w:p w14:paraId="3A8BC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r>
              <w:rPr>
                <w:rFonts w:hint="default" w:ascii="Times New Roman" w:hAnsi="Times New Roman" w:eastAsia="宋体" w:cs="Times New Roman"/>
                <w:highlight w:val="none"/>
                <w:u w:val="single"/>
                <w:lang w:val="en-US" w:eastAsia="zh-CN"/>
              </w:rPr>
              <w:t>/</w:t>
            </w:r>
            <w:r>
              <w:rPr>
                <w:rFonts w:hint="default" w:ascii="Times New Roman" w:hAnsi="Times New Roman" w:eastAsia="宋体" w:cs="Times New Roman"/>
                <w:highlight w:val="none"/>
                <w:u w:val="single"/>
              </w:rPr>
              <w:t>C</w:t>
            </w:r>
          </w:p>
        </w:tc>
        <w:tc>
          <w:tcPr>
            <w:tcW w:w="459" w:type="pct"/>
            <w:vAlign w:val="center"/>
          </w:tcPr>
          <w:p w14:paraId="59FC7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4000</w:t>
            </w:r>
          </w:p>
        </w:tc>
        <w:tc>
          <w:tcPr>
            <w:tcW w:w="459" w:type="pct"/>
            <w:vAlign w:val="center"/>
          </w:tcPr>
          <w:p w14:paraId="1329AA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0</w:t>
            </w:r>
          </w:p>
        </w:tc>
        <w:tc>
          <w:tcPr>
            <w:tcW w:w="459" w:type="pct"/>
            <w:vAlign w:val="center"/>
          </w:tcPr>
          <w:p w14:paraId="130F71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+4000</w:t>
            </w:r>
          </w:p>
        </w:tc>
      </w:tr>
      <w:tr w14:paraId="3E1EA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31EEF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HW34</w:t>
            </w:r>
          </w:p>
        </w:tc>
        <w:tc>
          <w:tcPr>
            <w:tcW w:w="755" w:type="pct"/>
            <w:vAlign w:val="center"/>
          </w:tcPr>
          <w:p w14:paraId="40AFC7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废酸</w:t>
            </w:r>
          </w:p>
        </w:tc>
        <w:tc>
          <w:tcPr>
            <w:tcW w:w="1974" w:type="pct"/>
            <w:vAlign w:val="center"/>
          </w:tcPr>
          <w:p w14:paraId="3F895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398-005-34，900-300-34、900-349-34</w:t>
            </w:r>
          </w:p>
        </w:tc>
        <w:tc>
          <w:tcPr>
            <w:tcW w:w="480" w:type="pct"/>
            <w:vAlign w:val="center"/>
          </w:tcPr>
          <w:p w14:paraId="67F118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r>
              <w:rPr>
                <w:rFonts w:hint="default" w:ascii="Times New Roman" w:hAnsi="Times New Roman" w:eastAsia="宋体" w:cs="Times New Roman"/>
                <w:highlight w:val="none"/>
                <w:u w:val="single"/>
                <w:lang w:val="en-US" w:eastAsia="zh-CN"/>
              </w:rPr>
              <w:t>/</w:t>
            </w:r>
            <w:r>
              <w:rPr>
                <w:rFonts w:hint="default" w:ascii="Times New Roman" w:hAnsi="Times New Roman" w:eastAsia="宋体" w:cs="Times New Roman"/>
                <w:highlight w:val="none"/>
                <w:u w:val="single"/>
              </w:rPr>
              <w:t>C</w:t>
            </w:r>
          </w:p>
        </w:tc>
        <w:tc>
          <w:tcPr>
            <w:tcW w:w="459" w:type="pct"/>
            <w:vAlign w:val="center"/>
          </w:tcPr>
          <w:p w14:paraId="4B502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100</w:t>
            </w:r>
          </w:p>
        </w:tc>
        <w:tc>
          <w:tcPr>
            <w:tcW w:w="459" w:type="pct"/>
            <w:vAlign w:val="center"/>
          </w:tcPr>
          <w:p w14:paraId="4BA451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0</w:t>
            </w:r>
          </w:p>
        </w:tc>
        <w:tc>
          <w:tcPr>
            <w:tcW w:w="459" w:type="pct"/>
            <w:vAlign w:val="center"/>
          </w:tcPr>
          <w:p w14:paraId="17FCE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+100</w:t>
            </w:r>
          </w:p>
        </w:tc>
      </w:tr>
      <w:tr w14:paraId="255C8B0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534E4A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HW35</w:t>
            </w:r>
          </w:p>
        </w:tc>
        <w:tc>
          <w:tcPr>
            <w:tcW w:w="755" w:type="pct"/>
            <w:vAlign w:val="center"/>
          </w:tcPr>
          <w:p w14:paraId="4062D8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废碱</w:t>
            </w:r>
          </w:p>
        </w:tc>
        <w:tc>
          <w:tcPr>
            <w:tcW w:w="1974" w:type="pct"/>
            <w:vAlign w:val="center"/>
          </w:tcPr>
          <w:p w14:paraId="00779F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lang w:eastAsia="zh-CN"/>
              </w:rPr>
            </w:pPr>
            <w:r>
              <w:rPr>
                <w:rFonts w:hint="default" w:ascii="Times New Roman" w:hAnsi="Times New Roman" w:eastAsia="宋体" w:cs="Times New Roman"/>
                <w:b/>
                <w:bCs/>
                <w:color w:val="FF0000"/>
                <w:highlight w:val="none"/>
                <w:u w:val="single"/>
              </w:rPr>
              <w:t>900-399-35</w:t>
            </w:r>
            <w:r>
              <w:rPr>
                <w:rFonts w:hint="default" w:ascii="Times New Roman" w:hAnsi="Times New Roman" w:eastAsia="宋体" w:cs="Times New Roman"/>
                <w:b/>
                <w:bCs/>
                <w:color w:val="FF0000"/>
                <w:highlight w:val="none"/>
                <w:u w:val="single"/>
                <w:lang w:eastAsia="zh-CN"/>
              </w:rPr>
              <w:t>、</w:t>
            </w:r>
            <w:r>
              <w:rPr>
                <w:rFonts w:hint="default" w:ascii="Times New Roman" w:hAnsi="Times New Roman" w:eastAsia="宋体" w:cs="Times New Roman"/>
                <w:b/>
                <w:bCs/>
                <w:color w:val="FF0000"/>
                <w:spacing w:val="-1"/>
                <w:sz w:val="23"/>
                <w:szCs w:val="23"/>
                <w:highlight w:val="none"/>
                <w:u w:val="single"/>
                <w:lang w:val="en-US" w:eastAsia="zh-CN"/>
              </w:rPr>
              <w:t>900-352-35、900-353-35、900-354-35</w:t>
            </w:r>
          </w:p>
        </w:tc>
        <w:tc>
          <w:tcPr>
            <w:tcW w:w="480" w:type="pct"/>
            <w:vAlign w:val="center"/>
          </w:tcPr>
          <w:p w14:paraId="0D5C02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r>
              <w:rPr>
                <w:rFonts w:hint="default" w:ascii="Times New Roman" w:hAnsi="Times New Roman" w:eastAsia="宋体" w:cs="Times New Roman"/>
                <w:highlight w:val="none"/>
                <w:u w:val="single"/>
                <w:lang w:val="en-US" w:eastAsia="zh-CN"/>
              </w:rPr>
              <w:t>/</w:t>
            </w:r>
            <w:r>
              <w:rPr>
                <w:rFonts w:hint="default" w:ascii="Times New Roman" w:hAnsi="Times New Roman" w:eastAsia="宋体" w:cs="Times New Roman"/>
                <w:highlight w:val="none"/>
                <w:u w:val="single"/>
              </w:rPr>
              <w:t>C</w:t>
            </w:r>
          </w:p>
        </w:tc>
        <w:tc>
          <w:tcPr>
            <w:tcW w:w="459" w:type="pct"/>
            <w:vAlign w:val="center"/>
          </w:tcPr>
          <w:p w14:paraId="69944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100</w:t>
            </w:r>
          </w:p>
        </w:tc>
        <w:tc>
          <w:tcPr>
            <w:tcW w:w="459" w:type="pct"/>
            <w:vAlign w:val="center"/>
          </w:tcPr>
          <w:p w14:paraId="2452D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0</w:t>
            </w:r>
          </w:p>
        </w:tc>
        <w:tc>
          <w:tcPr>
            <w:tcW w:w="459" w:type="pct"/>
            <w:vAlign w:val="center"/>
          </w:tcPr>
          <w:p w14:paraId="77C177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+100</w:t>
            </w:r>
          </w:p>
        </w:tc>
      </w:tr>
      <w:tr w14:paraId="385C6E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60EF5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HW36</w:t>
            </w:r>
          </w:p>
        </w:tc>
        <w:tc>
          <w:tcPr>
            <w:tcW w:w="755" w:type="pct"/>
            <w:vAlign w:val="center"/>
          </w:tcPr>
          <w:p w14:paraId="7EE330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石棉废物</w:t>
            </w:r>
          </w:p>
        </w:tc>
        <w:tc>
          <w:tcPr>
            <w:tcW w:w="1974" w:type="pct"/>
            <w:vAlign w:val="center"/>
          </w:tcPr>
          <w:p w14:paraId="2114B2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lang w:eastAsia="zh-CN"/>
              </w:rPr>
            </w:pPr>
            <w:r>
              <w:rPr>
                <w:rFonts w:hint="default" w:ascii="Times New Roman" w:hAnsi="Times New Roman" w:eastAsia="宋体" w:cs="Times New Roman"/>
                <w:b/>
                <w:bCs/>
                <w:color w:val="FF0000"/>
                <w:highlight w:val="none"/>
                <w:u w:val="single"/>
              </w:rPr>
              <w:t>900-030-36</w:t>
            </w:r>
            <w:r>
              <w:rPr>
                <w:rFonts w:hint="default" w:ascii="Times New Roman" w:hAnsi="Times New Roman" w:eastAsia="宋体" w:cs="Times New Roman"/>
                <w:highlight w:val="none"/>
                <w:u w:val="single"/>
              </w:rPr>
              <w:t>、900-032-36</w:t>
            </w:r>
            <w:r>
              <w:rPr>
                <w:rFonts w:hint="default" w:ascii="Times New Roman" w:hAnsi="Times New Roman" w:eastAsia="宋体" w:cs="Times New Roman"/>
                <w:highlight w:val="none"/>
                <w:u w:val="single"/>
                <w:lang w:eastAsia="zh-CN"/>
              </w:rPr>
              <w:t>、</w:t>
            </w:r>
            <w:r>
              <w:rPr>
                <w:rFonts w:hint="default" w:ascii="Times New Roman" w:hAnsi="Times New Roman" w:eastAsia="宋体" w:cs="Times New Roman"/>
                <w:b/>
                <w:bCs/>
                <w:color w:val="FF0000"/>
                <w:spacing w:val="-1"/>
                <w:position w:val="-2"/>
                <w:sz w:val="23"/>
                <w:szCs w:val="23"/>
                <w:highlight w:val="none"/>
                <w:u w:val="single"/>
                <w:lang w:val="en-US" w:eastAsia="zh-CN"/>
              </w:rPr>
              <w:t>367-001-36</w:t>
            </w:r>
          </w:p>
        </w:tc>
        <w:tc>
          <w:tcPr>
            <w:tcW w:w="480" w:type="pct"/>
            <w:vAlign w:val="center"/>
          </w:tcPr>
          <w:p w14:paraId="07FA1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2B5F02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lang w:val="en-US" w:eastAsia="zh-CN"/>
              </w:rPr>
              <w:t>1</w:t>
            </w:r>
            <w:r>
              <w:rPr>
                <w:rFonts w:hint="default" w:ascii="Times New Roman" w:hAnsi="Times New Roman" w:eastAsia="宋体" w:cs="Times New Roman"/>
                <w:highlight w:val="none"/>
                <w:u w:val="single"/>
              </w:rPr>
              <w:t>00</w:t>
            </w:r>
          </w:p>
        </w:tc>
        <w:tc>
          <w:tcPr>
            <w:tcW w:w="459" w:type="pct"/>
            <w:vAlign w:val="center"/>
          </w:tcPr>
          <w:p w14:paraId="794A5B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200</w:t>
            </w:r>
          </w:p>
        </w:tc>
        <w:tc>
          <w:tcPr>
            <w:tcW w:w="459" w:type="pct"/>
            <w:vAlign w:val="center"/>
          </w:tcPr>
          <w:p w14:paraId="6E442B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lang w:val="en-US" w:eastAsia="zh-CN"/>
              </w:rPr>
              <w:t>-</w:t>
            </w:r>
            <w:r>
              <w:rPr>
                <w:rFonts w:hint="default" w:ascii="Times New Roman" w:hAnsi="Times New Roman" w:eastAsia="宋体" w:cs="Times New Roman"/>
                <w:highlight w:val="none"/>
                <w:u w:val="single"/>
              </w:rPr>
              <w:t>100</w:t>
            </w:r>
          </w:p>
        </w:tc>
      </w:tr>
      <w:tr w14:paraId="127D5F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57" w:hRule="atLeast"/>
        </w:trPr>
        <w:tc>
          <w:tcPr>
            <w:tcW w:w="411" w:type="pct"/>
            <w:vMerge w:val="restart"/>
            <w:vAlign w:val="center"/>
          </w:tcPr>
          <w:p w14:paraId="36CEAB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HW49</w:t>
            </w:r>
          </w:p>
        </w:tc>
        <w:tc>
          <w:tcPr>
            <w:tcW w:w="755" w:type="pct"/>
            <w:vMerge w:val="restart"/>
            <w:vAlign w:val="center"/>
          </w:tcPr>
          <w:p w14:paraId="795A9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其他废物</w:t>
            </w:r>
          </w:p>
        </w:tc>
        <w:tc>
          <w:tcPr>
            <w:tcW w:w="1974" w:type="pct"/>
            <w:vAlign w:val="center"/>
          </w:tcPr>
          <w:p w14:paraId="79894F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900-039-49、900-044-49、900-045-49、</w:t>
            </w:r>
            <w:r>
              <w:rPr>
                <w:rFonts w:hint="default" w:ascii="Times New Roman" w:hAnsi="Times New Roman" w:eastAsia="宋体" w:cs="Times New Roman"/>
                <w:b/>
                <w:bCs/>
                <w:color w:val="FF0000"/>
                <w:highlight w:val="none"/>
                <w:u w:val="single"/>
              </w:rPr>
              <w:t>900-046-49</w:t>
            </w:r>
          </w:p>
        </w:tc>
        <w:tc>
          <w:tcPr>
            <w:tcW w:w="480" w:type="pct"/>
            <w:vAlign w:val="center"/>
          </w:tcPr>
          <w:p w14:paraId="3CE39F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Merge w:val="restart"/>
            <w:vAlign w:val="center"/>
          </w:tcPr>
          <w:p w14:paraId="465C55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3</w:t>
            </w:r>
            <w:r>
              <w:rPr>
                <w:rFonts w:hint="default" w:ascii="Times New Roman" w:hAnsi="Times New Roman" w:eastAsia="宋体" w:cs="Times New Roman"/>
                <w:highlight w:val="none"/>
                <w:u w:val="single"/>
                <w:lang w:val="en-US" w:eastAsia="zh-CN"/>
              </w:rPr>
              <w:t>4</w:t>
            </w:r>
            <w:r>
              <w:rPr>
                <w:rFonts w:hint="default" w:ascii="Times New Roman" w:hAnsi="Times New Roman" w:eastAsia="宋体" w:cs="Times New Roman"/>
                <w:highlight w:val="none"/>
                <w:u w:val="single"/>
              </w:rPr>
              <w:t>00</w:t>
            </w:r>
          </w:p>
        </w:tc>
        <w:tc>
          <w:tcPr>
            <w:tcW w:w="459" w:type="pct"/>
            <w:vMerge w:val="restart"/>
            <w:vAlign w:val="center"/>
          </w:tcPr>
          <w:p w14:paraId="73E23B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2860</w:t>
            </w:r>
          </w:p>
        </w:tc>
        <w:tc>
          <w:tcPr>
            <w:tcW w:w="459" w:type="pct"/>
            <w:vMerge w:val="restart"/>
            <w:vAlign w:val="center"/>
          </w:tcPr>
          <w:p w14:paraId="15B0E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w:t>
            </w:r>
            <w:r>
              <w:rPr>
                <w:rFonts w:hint="default" w:ascii="Times New Roman" w:hAnsi="Times New Roman" w:eastAsia="宋体" w:cs="Times New Roman"/>
                <w:highlight w:val="none"/>
                <w:u w:val="single"/>
                <w:lang w:val="en-US" w:eastAsia="zh-CN"/>
              </w:rPr>
              <w:t>54</w:t>
            </w:r>
            <w:r>
              <w:rPr>
                <w:rFonts w:hint="default" w:ascii="Times New Roman" w:hAnsi="Times New Roman" w:eastAsia="宋体" w:cs="Times New Roman"/>
                <w:highlight w:val="none"/>
                <w:u w:val="single"/>
              </w:rPr>
              <w:t>0</w:t>
            </w:r>
          </w:p>
        </w:tc>
      </w:tr>
      <w:tr w14:paraId="7A9345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14:paraId="39BB16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755" w:type="pct"/>
            <w:vMerge w:val="continue"/>
            <w:vAlign w:val="center"/>
          </w:tcPr>
          <w:p w14:paraId="1B85CF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1974" w:type="pct"/>
            <w:vAlign w:val="center"/>
          </w:tcPr>
          <w:p w14:paraId="3D6948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900-041-49、</w:t>
            </w:r>
            <w:r>
              <w:rPr>
                <w:rFonts w:hint="default" w:ascii="Times New Roman" w:hAnsi="Times New Roman" w:eastAsia="宋体" w:cs="Times New Roman"/>
                <w:b/>
                <w:bCs/>
                <w:color w:val="FF0000"/>
                <w:highlight w:val="none"/>
                <w:u w:val="single"/>
              </w:rPr>
              <w:t>772-006-49</w:t>
            </w:r>
          </w:p>
        </w:tc>
        <w:tc>
          <w:tcPr>
            <w:tcW w:w="480" w:type="pct"/>
            <w:vAlign w:val="center"/>
          </w:tcPr>
          <w:p w14:paraId="0AE74C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T/In</w:t>
            </w:r>
          </w:p>
        </w:tc>
        <w:tc>
          <w:tcPr>
            <w:tcW w:w="459" w:type="pct"/>
            <w:vMerge w:val="continue"/>
            <w:vAlign w:val="center"/>
          </w:tcPr>
          <w:p w14:paraId="2EB460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0B0950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4784B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r>
      <w:tr w14:paraId="3A119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14:paraId="7B203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755" w:type="pct"/>
            <w:vMerge w:val="continue"/>
            <w:vAlign w:val="center"/>
          </w:tcPr>
          <w:p w14:paraId="401139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1974" w:type="pct"/>
            <w:vAlign w:val="center"/>
          </w:tcPr>
          <w:p w14:paraId="2ECCCC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900-042-49</w:t>
            </w:r>
          </w:p>
        </w:tc>
        <w:tc>
          <w:tcPr>
            <w:tcW w:w="480" w:type="pct"/>
            <w:vAlign w:val="center"/>
          </w:tcPr>
          <w:p w14:paraId="6B6E13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T/C/I/R/In</w:t>
            </w:r>
          </w:p>
        </w:tc>
        <w:tc>
          <w:tcPr>
            <w:tcW w:w="459" w:type="pct"/>
            <w:vMerge w:val="continue"/>
            <w:vAlign w:val="center"/>
          </w:tcPr>
          <w:p w14:paraId="18DA1B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63BA5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1C6CA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r>
      <w:tr w14:paraId="5059A4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Merge w:val="continue"/>
            <w:vAlign w:val="center"/>
          </w:tcPr>
          <w:p w14:paraId="429711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755" w:type="pct"/>
            <w:vMerge w:val="continue"/>
            <w:vAlign w:val="center"/>
          </w:tcPr>
          <w:p w14:paraId="3CBC17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1974" w:type="pct"/>
            <w:vAlign w:val="center"/>
          </w:tcPr>
          <w:p w14:paraId="6AC573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900-047-49、900-999-49</w:t>
            </w:r>
          </w:p>
        </w:tc>
        <w:tc>
          <w:tcPr>
            <w:tcW w:w="480" w:type="pct"/>
            <w:vAlign w:val="center"/>
          </w:tcPr>
          <w:p w14:paraId="1C5AC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T/C/I/R</w:t>
            </w:r>
          </w:p>
        </w:tc>
        <w:tc>
          <w:tcPr>
            <w:tcW w:w="459" w:type="pct"/>
            <w:vMerge w:val="continue"/>
            <w:vAlign w:val="center"/>
          </w:tcPr>
          <w:p w14:paraId="71DF5D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151F2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c>
          <w:tcPr>
            <w:tcW w:w="459" w:type="pct"/>
            <w:vMerge w:val="continue"/>
            <w:vAlign w:val="center"/>
          </w:tcPr>
          <w:p w14:paraId="525C0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p>
        </w:tc>
      </w:tr>
      <w:tr w14:paraId="210DC4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0F070B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HW50</w:t>
            </w:r>
          </w:p>
        </w:tc>
        <w:tc>
          <w:tcPr>
            <w:tcW w:w="755" w:type="pct"/>
            <w:vAlign w:val="center"/>
          </w:tcPr>
          <w:p w14:paraId="5DE98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废催化剂</w:t>
            </w:r>
          </w:p>
        </w:tc>
        <w:tc>
          <w:tcPr>
            <w:tcW w:w="1974" w:type="pct"/>
            <w:vAlign w:val="center"/>
          </w:tcPr>
          <w:p w14:paraId="55EBDE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rPr>
              <w:t>261-151-50、900-048-50、900-049-50</w:t>
            </w:r>
            <w:r>
              <w:rPr>
                <w:rFonts w:hint="default" w:ascii="Times New Roman" w:hAnsi="Times New Roman" w:eastAsia="宋体" w:cs="Times New Roman"/>
                <w:highlight w:val="none"/>
                <w:u w:val="single"/>
                <w:lang w:eastAsia="zh-CN"/>
              </w:rPr>
              <w:t>、</w:t>
            </w:r>
            <w:r>
              <w:rPr>
                <w:rFonts w:hint="default" w:ascii="Times New Roman" w:hAnsi="Times New Roman" w:eastAsia="宋体" w:cs="Times New Roman"/>
                <w:b/>
                <w:bCs/>
                <w:color w:val="FF0000"/>
                <w:highlight w:val="none"/>
                <w:u w:val="single"/>
                <w:lang w:val="en-US" w:eastAsia="zh-CN"/>
              </w:rPr>
              <w:t>772-007-50</w:t>
            </w:r>
          </w:p>
        </w:tc>
        <w:tc>
          <w:tcPr>
            <w:tcW w:w="480" w:type="pct"/>
            <w:vAlign w:val="center"/>
          </w:tcPr>
          <w:p w14:paraId="50AA62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T</w:t>
            </w:r>
          </w:p>
        </w:tc>
        <w:tc>
          <w:tcPr>
            <w:tcW w:w="459" w:type="pct"/>
            <w:vAlign w:val="center"/>
          </w:tcPr>
          <w:p w14:paraId="52ED3D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eastAsia" w:ascii="Times New Roman" w:hAnsi="Times New Roman" w:cs="Times New Roman"/>
                <w:highlight w:val="none"/>
                <w:u w:val="single"/>
                <w:lang w:val="en-US" w:eastAsia="zh-CN"/>
              </w:rPr>
              <w:t>15</w:t>
            </w:r>
            <w:r>
              <w:rPr>
                <w:rFonts w:hint="default" w:ascii="Times New Roman" w:hAnsi="Times New Roman" w:eastAsia="宋体" w:cs="Times New Roman"/>
                <w:highlight w:val="none"/>
                <w:u w:val="single"/>
              </w:rPr>
              <w:t>0</w:t>
            </w:r>
          </w:p>
        </w:tc>
        <w:tc>
          <w:tcPr>
            <w:tcW w:w="459" w:type="pct"/>
            <w:vAlign w:val="center"/>
          </w:tcPr>
          <w:p w14:paraId="23B7EA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rPr>
            </w:pPr>
            <w:r>
              <w:rPr>
                <w:rFonts w:hint="default" w:ascii="Times New Roman" w:hAnsi="Times New Roman" w:eastAsia="宋体" w:cs="Times New Roman"/>
                <w:highlight w:val="none"/>
                <w:u w:val="single"/>
              </w:rPr>
              <w:t>400</w:t>
            </w:r>
          </w:p>
        </w:tc>
        <w:tc>
          <w:tcPr>
            <w:tcW w:w="459" w:type="pct"/>
            <w:vAlign w:val="center"/>
          </w:tcPr>
          <w:p w14:paraId="61110D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highlight w:val="none"/>
                <w:u w:val="single"/>
                <w:lang w:val="en-US" w:eastAsia="zh-CN"/>
              </w:rPr>
            </w:pPr>
            <w:r>
              <w:rPr>
                <w:rFonts w:hint="default" w:ascii="Times New Roman" w:hAnsi="Times New Roman" w:eastAsia="宋体" w:cs="Times New Roman"/>
                <w:highlight w:val="none"/>
                <w:u w:val="single"/>
                <w:lang w:val="en-US" w:eastAsia="zh-CN"/>
              </w:rPr>
              <w:t>-</w:t>
            </w:r>
            <w:r>
              <w:rPr>
                <w:rFonts w:hint="eastAsia" w:ascii="Times New Roman" w:hAnsi="Times New Roman" w:cs="Times New Roman"/>
                <w:highlight w:val="none"/>
                <w:u w:val="single"/>
                <w:lang w:val="en-US" w:eastAsia="zh-CN"/>
              </w:rPr>
              <w:t>250</w:t>
            </w:r>
          </w:p>
        </w:tc>
      </w:tr>
      <w:tr w14:paraId="7FEB76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11" w:type="pct"/>
            <w:vAlign w:val="center"/>
          </w:tcPr>
          <w:p w14:paraId="49E151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合计</w:t>
            </w:r>
          </w:p>
        </w:tc>
        <w:tc>
          <w:tcPr>
            <w:tcW w:w="755" w:type="pct"/>
            <w:vAlign w:val="center"/>
          </w:tcPr>
          <w:p w14:paraId="2F24B4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p>
        </w:tc>
        <w:tc>
          <w:tcPr>
            <w:tcW w:w="1974" w:type="pct"/>
            <w:vAlign w:val="center"/>
          </w:tcPr>
          <w:p w14:paraId="44F27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p>
        </w:tc>
        <w:tc>
          <w:tcPr>
            <w:tcW w:w="480" w:type="pct"/>
            <w:vAlign w:val="center"/>
          </w:tcPr>
          <w:p w14:paraId="69D20A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p>
        </w:tc>
        <w:tc>
          <w:tcPr>
            <w:tcW w:w="459" w:type="pct"/>
            <w:vAlign w:val="center"/>
          </w:tcPr>
          <w:p w14:paraId="1F92D4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144</w:t>
            </w:r>
            <w:r>
              <w:rPr>
                <w:rFonts w:hint="default" w:ascii="Times New Roman" w:hAnsi="Times New Roman" w:eastAsia="宋体" w:cs="Times New Roman"/>
                <w:b/>
                <w:bCs/>
                <w:color w:val="FF0000"/>
                <w:highlight w:val="none"/>
                <w:u w:val="single"/>
                <w:lang w:val="en-US" w:eastAsia="zh-CN"/>
              </w:rPr>
              <w:t>0</w:t>
            </w:r>
            <w:r>
              <w:rPr>
                <w:rFonts w:hint="default" w:ascii="Times New Roman" w:hAnsi="Times New Roman" w:eastAsia="宋体" w:cs="Times New Roman"/>
                <w:b/>
                <w:bCs/>
                <w:color w:val="FF0000"/>
                <w:highlight w:val="none"/>
                <w:u w:val="single"/>
              </w:rPr>
              <w:t>0</w:t>
            </w:r>
          </w:p>
        </w:tc>
        <w:tc>
          <w:tcPr>
            <w:tcW w:w="459" w:type="pct"/>
            <w:vAlign w:val="center"/>
          </w:tcPr>
          <w:p w14:paraId="5C5BC8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9800</w:t>
            </w:r>
          </w:p>
        </w:tc>
        <w:tc>
          <w:tcPr>
            <w:tcW w:w="459" w:type="pct"/>
            <w:vAlign w:val="center"/>
          </w:tcPr>
          <w:p w14:paraId="0E9FCD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b/>
                <w:bCs/>
                <w:color w:val="FF0000"/>
                <w:highlight w:val="none"/>
                <w:u w:val="single"/>
              </w:rPr>
            </w:pPr>
            <w:r>
              <w:rPr>
                <w:rFonts w:hint="default" w:ascii="Times New Roman" w:hAnsi="Times New Roman" w:eastAsia="宋体" w:cs="Times New Roman"/>
                <w:b/>
                <w:bCs/>
                <w:color w:val="FF0000"/>
                <w:highlight w:val="none"/>
                <w:u w:val="single"/>
              </w:rPr>
              <w:t>+46</w:t>
            </w:r>
            <w:r>
              <w:rPr>
                <w:rFonts w:hint="default" w:ascii="Times New Roman" w:hAnsi="Times New Roman" w:eastAsia="宋体" w:cs="Times New Roman"/>
                <w:b/>
                <w:bCs/>
                <w:color w:val="FF0000"/>
                <w:highlight w:val="none"/>
                <w:u w:val="single"/>
                <w:lang w:val="en-US" w:eastAsia="zh-CN"/>
              </w:rPr>
              <w:t>0</w:t>
            </w:r>
            <w:r>
              <w:rPr>
                <w:rFonts w:hint="default" w:ascii="Times New Roman" w:hAnsi="Times New Roman" w:eastAsia="宋体" w:cs="Times New Roman"/>
                <w:b/>
                <w:bCs/>
                <w:color w:val="FF0000"/>
                <w:highlight w:val="none"/>
                <w:u w:val="single"/>
              </w:rPr>
              <w:t>0</w:t>
            </w:r>
          </w:p>
        </w:tc>
      </w:tr>
    </w:tbl>
    <w:p w14:paraId="7A3B721D">
      <w:pPr>
        <w:spacing w:line="360" w:lineRule="auto"/>
        <w:jc w:val="left"/>
        <w:rPr>
          <w:rFonts w:hint="default" w:ascii="Times New Roman" w:hAnsi="Times New Roman" w:eastAsia="宋体" w:cs="Times New Roman"/>
          <w:sz w:val="24"/>
          <w:szCs w:val="24"/>
          <w:u w:val="single"/>
          <w:lang w:val="en-US" w:eastAsia="zh-CN"/>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b/>
          <w:bCs/>
          <w:sz w:val="24"/>
          <w:szCs w:val="24"/>
          <w:u w:val="single"/>
          <w:lang w:val="en-US" w:eastAsia="zh-CN"/>
        </w:rPr>
        <w:t>危险废物分区贮存要求：评价要求，项目方应尽量将产生VOCs等废气的危险废物统一分区贮存，以便于废气的收集处置；含汞废物要设置单独的贮存间，配套集气系统并接入UV+活性炭吸附处置装置；严禁将具有反应性的危险废物混合贮存在同一贮存间内。</w:t>
      </w:r>
    </w:p>
    <w:p w14:paraId="63D14490">
      <w:pPr>
        <w:pStyle w:val="4"/>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4.3.2危险废物综合利用方案</w:t>
      </w:r>
    </w:p>
    <w:p w14:paraId="19E87D81">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扩建部分的危险废物年综合利用种类包括：HW08（900-249-08）和HW49类（900-041-49）危险废物20000t，限定为沾染矿物油的废包装容器和金属包容器（900-249-08），以及废弃包装物、容器和废金属机油滤芯（900-041-49）。</w:t>
      </w:r>
    </w:p>
    <w:p w14:paraId="274B6AE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项目危险废物利用情况一览表如表4.3-</w:t>
      </w: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所示，危险废物综合利用方案如下表4.3-</w:t>
      </w:r>
      <w:r>
        <w:rPr>
          <w:rFonts w:hint="default" w:ascii="Times New Roman" w:hAnsi="Times New Roman" w:eastAsia="宋体" w:cs="Times New Roman"/>
          <w:sz w:val="24"/>
          <w:szCs w:val="24"/>
          <w:lang w:val="en-US" w:eastAsia="zh-CN"/>
        </w:rPr>
        <w:t>5</w:t>
      </w:r>
      <w:r>
        <w:rPr>
          <w:rFonts w:hint="default" w:ascii="Times New Roman" w:hAnsi="Times New Roman" w:eastAsia="宋体" w:cs="Times New Roman"/>
          <w:sz w:val="24"/>
          <w:szCs w:val="24"/>
        </w:rPr>
        <w:t>所示。</w:t>
      </w:r>
    </w:p>
    <w:p w14:paraId="11254D3A">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rPr>
        <w:t>表4.3-</w:t>
      </w:r>
      <w:r>
        <w:rPr>
          <w:rFonts w:hint="default" w:ascii="Times New Roman" w:hAnsi="Times New Roman" w:eastAsia="宋体" w:cs="Times New Roman"/>
          <w:b/>
          <w:bCs/>
          <w:lang w:val="en-US" w:eastAsia="zh-CN"/>
        </w:rPr>
        <w:t>4</w:t>
      </w:r>
      <w:r>
        <w:rPr>
          <w:rFonts w:hint="default" w:ascii="Times New Roman" w:hAnsi="Times New Roman" w:eastAsia="宋体" w:cs="Times New Roman"/>
          <w:b/>
          <w:bCs/>
        </w:rPr>
        <w:tab/>
      </w:r>
      <w:r>
        <w:rPr>
          <w:rFonts w:hint="default" w:ascii="Times New Roman" w:hAnsi="Times New Roman" w:eastAsia="宋体" w:cs="Times New Roman"/>
          <w:b/>
          <w:bCs/>
        </w:rPr>
        <w:t>项目危险废物利用方案</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555"/>
        <w:gridCol w:w="1284"/>
        <w:gridCol w:w="1286"/>
        <w:gridCol w:w="2713"/>
        <w:gridCol w:w="1498"/>
      </w:tblGrid>
      <w:tr w14:paraId="295C0CE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87" w:hRule="atLeast"/>
        </w:trPr>
        <w:tc>
          <w:tcPr>
            <w:tcW w:w="933" w:type="pct"/>
            <w:tcBorders>
              <w:bottom w:val="single" w:color="000000" w:sz="4" w:space="0"/>
              <w:right w:val="single" w:color="000000" w:sz="4" w:space="0"/>
            </w:tcBorders>
            <w:vAlign w:val="center"/>
          </w:tcPr>
          <w:p w14:paraId="13FCD295">
            <w:pPr>
              <w:pStyle w:val="60"/>
              <w:spacing w:line="247" w:lineRule="exact"/>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名称</w:t>
            </w:r>
          </w:p>
        </w:tc>
        <w:tc>
          <w:tcPr>
            <w:tcW w:w="770" w:type="pct"/>
            <w:tcBorders>
              <w:left w:val="single" w:color="000000" w:sz="4" w:space="0"/>
              <w:bottom w:val="single" w:color="000000" w:sz="4" w:space="0"/>
              <w:right w:val="single" w:color="000000" w:sz="4" w:space="0"/>
            </w:tcBorders>
            <w:vAlign w:val="center"/>
          </w:tcPr>
          <w:p w14:paraId="1ACC540A">
            <w:pPr>
              <w:pStyle w:val="60"/>
              <w:spacing w:line="247" w:lineRule="exact"/>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行业来源</w:t>
            </w:r>
          </w:p>
        </w:tc>
        <w:tc>
          <w:tcPr>
            <w:tcW w:w="771" w:type="pct"/>
            <w:tcBorders>
              <w:left w:val="single" w:color="000000" w:sz="4" w:space="0"/>
              <w:bottom w:val="single" w:color="000000" w:sz="4" w:space="0"/>
              <w:right w:val="single" w:color="000000" w:sz="4" w:space="0"/>
            </w:tcBorders>
            <w:vAlign w:val="center"/>
          </w:tcPr>
          <w:p w14:paraId="16BC0812">
            <w:pPr>
              <w:pStyle w:val="60"/>
              <w:spacing w:line="247" w:lineRule="exact"/>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废物代码</w:t>
            </w:r>
          </w:p>
        </w:tc>
        <w:tc>
          <w:tcPr>
            <w:tcW w:w="1627" w:type="pct"/>
            <w:tcBorders>
              <w:left w:val="single" w:color="000000" w:sz="4" w:space="0"/>
              <w:bottom w:val="single" w:color="000000" w:sz="4" w:space="0"/>
              <w:right w:val="single" w:color="000000" w:sz="4" w:space="0"/>
            </w:tcBorders>
            <w:vAlign w:val="center"/>
          </w:tcPr>
          <w:p w14:paraId="61FC29C8">
            <w:pPr>
              <w:pStyle w:val="60"/>
              <w:spacing w:line="247" w:lineRule="exact"/>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类型</w:t>
            </w:r>
          </w:p>
        </w:tc>
        <w:tc>
          <w:tcPr>
            <w:tcW w:w="898" w:type="pct"/>
            <w:tcBorders>
              <w:left w:val="single" w:color="000000" w:sz="4" w:space="0"/>
              <w:bottom w:val="single" w:color="000000" w:sz="4" w:space="0"/>
            </w:tcBorders>
            <w:vAlign w:val="center"/>
          </w:tcPr>
          <w:p w14:paraId="3F8A2DA2">
            <w:pPr>
              <w:pStyle w:val="60"/>
              <w:spacing w:line="247" w:lineRule="exact"/>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危险特性</w:t>
            </w:r>
          </w:p>
        </w:tc>
      </w:tr>
      <w:tr w14:paraId="75B920E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44" w:hRule="atLeast"/>
        </w:trPr>
        <w:tc>
          <w:tcPr>
            <w:tcW w:w="933" w:type="pct"/>
            <w:tcBorders>
              <w:top w:val="single" w:color="000000" w:sz="4" w:space="0"/>
              <w:bottom w:val="single" w:color="000000" w:sz="4" w:space="0"/>
              <w:right w:val="single" w:color="000000" w:sz="4" w:space="0"/>
            </w:tcBorders>
            <w:vAlign w:val="center"/>
          </w:tcPr>
          <w:p w14:paraId="43BAD002">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HW08</w:t>
            </w:r>
          </w:p>
          <w:p w14:paraId="4EFCF93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废矿物油与含矿物油废物</w:t>
            </w:r>
          </w:p>
        </w:tc>
        <w:tc>
          <w:tcPr>
            <w:tcW w:w="770" w:type="pct"/>
            <w:tcBorders>
              <w:top w:val="single" w:color="000000" w:sz="4" w:space="0"/>
              <w:left w:val="single" w:color="000000" w:sz="4" w:space="0"/>
              <w:bottom w:val="single" w:color="000000" w:sz="4" w:space="0"/>
              <w:right w:val="single" w:color="000000" w:sz="4" w:space="0"/>
            </w:tcBorders>
            <w:vAlign w:val="center"/>
          </w:tcPr>
          <w:p w14:paraId="5DD89EF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非特定行业</w:t>
            </w:r>
          </w:p>
        </w:tc>
        <w:tc>
          <w:tcPr>
            <w:tcW w:w="771" w:type="pct"/>
            <w:tcBorders>
              <w:top w:val="single" w:color="000000" w:sz="4" w:space="0"/>
              <w:left w:val="single" w:color="000000" w:sz="4" w:space="0"/>
              <w:bottom w:val="single" w:color="000000" w:sz="4" w:space="0"/>
              <w:right w:val="single" w:color="000000" w:sz="4" w:space="0"/>
            </w:tcBorders>
            <w:vAlign w:val="center"/>
          </w:tcPr>
          <w:p w14:paraId="732E867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900-249-08</w:t>
            </w:r>
          </w:p>
        </w:tc>
        <w:tc>
          <w:tcPr>
            <w:tcW w:w="1627" w:type="pct"/>
            <w:tcBorders>
              <w:top w:val="single" w:color="000000" w:sz="4" w:space="0"/>
              <w:left w:val="single" w:color="000000" w:sz="4" w:space="0"/>
              <w:bottom w:val="single" w:color="000000" w:sz="4" w:space="0"/>
              <w:right w:val="single" w:color="000000" w:sz="4" w:space="0"/>
            </w:tcBorders>
            <w:vAlign w:val="center"/>
          </w:tcPr>
          <w:p w14:paraId="712A14D6">
            <w:pPr>
              <w:pStyle w:val="60"/>
              <w:spacing w:line="244" w:lineRule="auto"/>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限沾染矿物油的废包装容器和金属包容器</w:t>
            </w:r>
          </w:p>
        </w:tc>
        <w:tc>
          <w:tcPr>
            <w:tcW w:w="898" w:type="pct"/>
            <w:tcBorders>
              <w:top w:val="single" w:color="000000" w:sz="4" w:space="0"/>
              <w:left w:val="single" w:color="000000" w:sz="4" w:space="0"/>
              <w:bottom w:val="single" w:color="000000" w:sz="4" w:space="0"/>
            </w:tcBorders>
            <w:vAlign w:val="center"/>
          </w:tcPr>
          <w:p w14:paraId="19F9DB98">
            <w:pPr>
              <w:pStyle w:val="60"/>
              <w:spacing w:line="244" w:lineRule="auto"/>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T（毒性）</w:t>
            </w:r>
          </w:p>
          <w:p w14:paraId="57CC06BF">
            <w:pPr>
              <w:pStyle w:val="60"/>
              <w:spacing w:line="244" w:lineRule="auto"/>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I（易燃性）</w:t>
            </w:r>
          </w:p>
        </w:tc>
      </w:tr>
      <w:tr w14:paraId="5181C4A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44" w:hRule="atLeast"/>
        </w:trPr>
        <w:tc>
          <w:tcPr>
            <w:tcW w:w="933" w:type="pct"/>
            <w:tcBorders>
              <w:top w:val="single" w:color="000000" w:sz="4" w:space="0"/>
              <w:bottom w:val="single" w:color="000000" w:sz="4" w:space="0"/>
              <w:right w:val="single" w:color="000000" w:sz="4" w:space="0"/>
            </w:tcBorders>
            <w:vAlign w:val="center"/>
          </w:tcPr>
          <w:p w14:paraId="2F90EBE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HW49</w:t>
            </w:r>
          </w:p>
          <w:p w14:paraId="3A0AD8F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其他废物</w:t>
            </w:r>
          </w:p>
        </w:tc>
        <w:tc>
          <w:tcPr>
            <w:tcW w:w="770" w:type="pct"/>
            <w:tcBorders>
              <w:top w:val="single" w:color="000000" w:sz="4" w:space="0"/>
              <w:left w:val="single" w:color="000000" w:sz="4" w:space="0"/>
              <w:bottom w:val="single" w:color="000000" w:sz="4" w:space="0"/>
              <w:right w:val="single" w:color="000000" w:sz="4" w:space="0"/>
            </w:tcBorders>
            <w:vAlign w:val="center"/>
          </w:tcPr>
          <w:p w14:paraId="0B8A4F8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非特定行业</w:t>
            </w:r>
          </w:p>
        </w:tc>
        <w:tc>
          <w:tcPr>
            <w:tcW w:w="771" w:type="pct"/>
            <w:tcBorders>
              <w:top w:val="single" w:color="000000" w:sz="4" w:space="0"/>
              <w:left w:val="single" w:color="000000" w:sz="4" w:space="0"/>
              <w:bottom w:val="single" w:color="000000" w:sz="4" w:space="0"/>
              <w:right w:val="single" w:color="000000" w:sz="4" w:space="0"/>
            </w:tcBorders>
            <w:vAlign w:val="center"/>
          </w:tcPr>
          <w:p w14:paraId="10C85A9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900-041-49</w:t>
            </w:r>
          </w:p>
        </w:tc>
        <w:tc>
          <w:tcPr>
            <w:tcW w:w="1627" w:type="pct"/>
            <w:tcBorders>
              <w:top w:val="single" w:color="000000" w:sz="4" w:space="0"/>
              <w:left w:val="single" w:color="000000" w:sz="4" w:space="0"/>
              <w:bottom w:val="single" w:color="000000" w:sz="4" w:space="0"/>
              <w:right w:val="single" w:color="000000" w:sz="4" w:space="0"/>
            </w:tcBorders>
            <w:vAlign w:val="center"/>
          </w:tcPr>
          <w:p w14:paraId="62C03316">
            <w:pPr>
              <w:pStyle w:val="60"/>
              <w:spacing w:line="244" w:lineRule="auto"/>
              <w:rPr>
                <w:rFonts w:hint="default" w:ascii="Times New Roman" w:hAnsi="Times New Roman" w:eastAsia="宋体" w:cs="Times New Roman"/>
                <w:sz w:val="21"/>
                <w:lang w:eastAsia="zh-CN"/>
              </w:rPr>
            </w:pPr>
            <w:r>
              <w:rPr>
                <w:rFonts w:hint="default" w:ascii="Times New Roman" w:hAnsi="Times New Roman" w:eastAsia="宋体" w:cs="Times New Roman"/>
                <w:sz w:val="21"/>
                <w:szCs w:val="21"/>
                <w:lang w:eastAsia="zh-CN"/>
              </w:rPr>
              <w:t>限废弃包装物、容器和废金属机油滤芯</w:t>
            </w:r>
          </w:p>
        </w:tc>
        <w:tc>
          <w:tcPr>
            <w:tcW w:w="898" w:type="pct"/>
            <w:tcBorders>
              <w:top w:val="single" w:color="000000" w:sz="4" w:space="0"/>
              <w:left w:val="single" w:color="000000" w:sz="4" w:space="0"/>
              <w:bottom w:val="single" w:color="000000" w:sz="4" w:space="0"/>
            </w:tcBorders>
            <w:vAlign w:val="center"/>
          </w:tcPr>
          <w:p w14:paraId="764125BB">
            <w:pPr>
              <w:pStyle w:val="60"/>
              <w:spacing w:line="244" w:lineRule="auto"/>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T（毒性）</w:t>
            </w:r>
          </w:p>
        </w:tc>
      </w:tr>
    </w:tbl>
    <w:p w14:paraId="7DDA6077">
      <w:pPr>
        <w:spacing w:line="360" w:lineRule="auto"/>
        <w:ind w:firstLine="482" w:firstLineChars="200"/>
        <w:rPr>
          <w:rFonts w:hint="default" w:ascii="Times New Roman" w:hAnsi="Times New Roman" w:eastAsia="宋体" w:cs="Times New Roman"/>
          <w:b/>
          <w:bCs/>
          <w:sz w:val="24"/>
          <w:szCs w:val="24"/>
          <w:u w:val="single"/>
        </w:rPr>
      </w:pPr>
      <w:r>
        <w:rPr>
          <w:rFonts w:hint="default" w:ascii="Times New Roman" w:hAnsi="Times New Roman" w:eastAsia="宋体" w:cs="Times New Roman"/>
          <w:b/>
          <w:bCs/>
          <w:sz w:val="24"/>
          <w:szCs w:val="24"/>
          <w:u w:val="single"/>
          <w:lang w:val="en-US" w:eastAsia="zh-CN"/>
        </w:rPr>
        <w:t>根据项目环评审批会商表的意见（见附件6）：</w:t>
      </w:r>
      <w:r>
        <w:rPr>
          <w:rFonts w:hint="default" w:ascii="Times New Roman" w:hAnsi="Times New Roman" w:eastAsia="宋体" w:cs="Times New Roman"/>
          <w:b/>
          <w:bCs/>
          <w:sz w:val="24"/>
          <w:szCs w:val="24"/>
          <w:u w:val="single"/>
        </w:rPr>
        <w:t>项目不得接收</w:t>
      </w:r>
      <w:r>
        <w:rPr>
          <w:rFonts w:hint="default" w:ascii="Times New Roman" w:hAnsi="Times New Roman" w:eastAsia="宋体" w:cs="Times New Roman"/>
          <w:b/>
          <w:bCs/>
          <w:sz w:val="24"/>
          <w:szCs w:val="24"/>
          <w:u w:val="single"/>
          <w:lang w:val="en-US" w:eastAsia="zh-CN"/>
        </w:rPr>
        <w:t>利用</w:t>
      </w:r>
      <w:r>
        <w:rPr>
          <w:rFonts w:hint="default" w:ascii="Times New Roman" w:hAnsi="Times New Roman" w:eastAsia="宋体" w:cs="Times New Roman"/>
          <w:b/>
          <w:bCs/>
          <w:sz w:val="24"/>
          <w:szCs w:val="24"/>
          <w:u w:val="single"/>
        </w:rPr>
        <w:t>含氰化物等剧毒类物质废包装容器、含爆炸性物质包装容器、感染性废弃包装物、含</w:t>
      </w:r>
      <w:r>
        <w:rPr>
          <w:rFonts w:hint="default" w:ascii="Times New Roman" w:hAnsi="Times New Roman" w:eastAsia="宋体" w:cs="Times New Roman"/>
          <w:b/>
          <w:bCs/>
          <w:sz w:val="24"/>
          <w:szCs w:val="24"/>
          <w:u w:val="single"/>
          <w:lang w:val="en-US" w:eastAsia="zh-CN"/>
        </w:rPr>
        <w:t>/沾染</w:t>
      </w:r>
      <w:r>
        <w:rPr>
          <w:rFonts w:hint="default" w:ascii="Times New Roman" w:hAnsi="Times New Roman" w:eastAsia="宋体" w:cs="Times New Roman"/>
          <w:b/>
          <w:bCs/>
          <w:sz w:val="24"/>
          <w:szCs w:val="24"/>
          <w:u w:val="single"/>
        </w:rPr>
        <w:t>重金属包装容器</w:t>
      </w:r>
      <w:r>
        <w:rPr>
          <w:rFonts w:hint="default" w:ascii="Times New Roman" w:hAnsi="Times New Roman" w:eastAsia="宋体" w:cs="Times New Roman"/>
          <w:b/>
          <w:bCs/>
          <w:sz w:val="24"/>
          <w:szCs w:val="24"/>
          <w:u w:val="single"/>
          <w:lang w:eastAsia="zh-CN"/>
        </w:rPr>
        <w:t>、</w:t>
      </w:r>
      <w:r>
        <w:rPr>
          <w:rFonts w:hint="default" w:ascii="Times New Roman" w:hAnsi="Times New Roman" w:eastAsia="宋体" w:cs="Times New Roman"/>
          <w:b/>
          <w:bCs/>
          <w:sz w:val="24"/>
          <w:szCs w:val="24"/>
          <w:u w:val="single"/>
          <w:lang w:val="en-US" w:eastAsia="zh-CN"/>
        </w:rPr>
        <w:t>含/沾染一类污染物的包装容器</w:t>
      </w:r>
      <w:r>
        <w:rPr>
          <w:rFonts w:hint="default" w:ascii="Times New Roman" w:hAnsi="Times New Roman" w:eastAsia="宋体" w:cs="Times New Roman"/>
          <w:b/>
          <w:bCs/>
          <w:sz w:val="24"/>
          <w:szCs w:val="24"/>
          <w:u w:val="single"/>
        </w:rPr>
        <w:t>。</w:t>
      </w:r>
    </w:p>
    <w:p w14:paraId="71CC9D03">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表4.3-</w:t>
      </w:r>
      <w:r>
        <w:rPr>
          <w:rFonts w:hint="default" w:ascii="Times New Roman" w:hAnsi="Times New Roman" w:eastAsia="宋体" w:cs="Times New Roman"/>
          <w:b/>
          <w:bCs/>
          <w:szCs w:val="21"/>
          <w:u w:val="single"/>
          <w:lang w:val="en-US" w:eastAsia="zh-CN"/>
        </w:rPr>
        <w:t>5</w:t>
      </w:r>
      <w:r>
        <w:rPr>
          <w:rFonts w:hint="default" w:ascii="Times New Roman" w:hAnsi="Times New Roman" w:eastAsia="宋体" w:cs="Times New Roman"/>
          <w:b/>
          <w:bCs/>
          <w:szCs w:val="21"/>
          <w:u w:val="single"/>
        </w:rPr>
        <w:t xml:space="preserve">  本项目收集的危险废物处置及利用方案</w:t>
      </w:r>
    </w:p>
    <w:tbl>
      <w:tblPr>
        <w:tblStyle w:val="59"/>
        <w:tblW w:w="5018"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50"/>
        <w:gridCol w:w="1095"/>
        <w:gridCol w:w="1718"/>
        <w:gridCol w:w="1431"/>
        <w:gridCol w:w="2048"/>
        <w:gridCol w:w="1324"/>
      </w:tblGrid>
      <w:tr w14:paraId="7C6A106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Align w:val="center"/>
          </w:tcPr>
          <w:p w14:paraId="715D6C2A">
            <w:pPr>
              <w:pStyle w:val="60"/>
              <w:adjustRightInd w:val="0"/>
              <w:snapToGrid w:val="0"/>
              <w:rPr>
                <w:rFonts w:hint="default" w:ascii="Times New Roman" w:hAnsi="Times New Roman" w:eastAsia="宋体" w:cs="Times New Roman"/>
                <w:b/>
                <w:bCs/>
                <w:sz w:val="21"/>
                <w:szCs w:val="21"/>
                <w:u w:val="single"/>
                <w:lang w:eastAsia="en-US"/>
              </w:rPr>
            </w:pPr>
            <w:bookmarkStart w:id="262" w:name="_Hlk129248615"/>
            <w:r>
              <w:rPr>
                <w:rFonts w:hint="default" w:ascii="Times New Roman" w:hAnsi="Times New Roman" w:eastAsia="宋体" w:cs="Times New Roman"/>
                <w:b/>
                <w:bCs/>
                <w:sz w:val="21"/>
                <w:szCs w:val="21"/>
                <w:u w:val="single"/>
                <w:lang w:eastAsia="en-US"/>
              </w:rPr>
              <w:t>废物</w:t>
            </w:r>
          </w:p>
          <w:p w14:paraId="4F0CE331">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种类</w:t>
            </w:r>
          </w:p>
        </w:tc>
        <w:tc>
          <w:tcPr>
            <w:tcW w:w="654" w:type="pct"/>
            <w:vAlign w:val="center"/>
          </w:tcPr>
          <w:p w14:paraId="70E2AAC7">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年收集量</w:t>
            </w:r>
          </w:p>
          <w:p w14:paraId="6B28320B">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t/a</w:t>
            </w:r>
          </w:p>
        </w:tc>
        <w:tc>
          <w:tcPr>
            <w:tcW w:w="1026" w:type="pct"/>
            <w:vAlign w:val="center"/>
          </w:tcPr>
          <w:p w14:paraId="2575DD4E">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废物类别</w:t>
            </w:r>
          </w:p>
        </w:tc>
        <w:tc>
          <w:tcPr>
            <w:tcW w:w="855" w:type="pct"/>
            <w:vAlign w:val="center"/>
          </w:tcPr>
          <w:p w14:paraId="4B7B7DDE">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zh-CN"/>
              </w:rPr>
              <w:t>主要</w:t>
            </w:r>
            <w:r>
              <w:rPr>
                <w:rFonts w:hint="default" w:ascii="Times New Roman" w:hAnsi="Times New Roman" w:eastAsia="宋体" w:cs="Times New Roman"/>
                <w:b/>
                <w:bCs/>
                <w:sz w:val="21"/>
                <w:szCs w:val="21"/>
                <w:u w:val="single"/>
                <w:lang w:eastAsia="en-US"/>
              </w:rPr>
              <w:t>种类</w:t>
            </w:r>
          </w:p>
        </w:tc>
        <w:tc>
          <w:tcPr>
            <w:tcW w:w="1223" w:type="pct"/>
            <w:vAlign w:val="center"/>
          </w:tcPr>
          <w:p w14:paraId="2AF3C036">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zh-CN"/>
              </w:rPr>
              <w:t>处置利用方案</w:t>
            </w:r>
          </w:p>
        </w:tc>
        <w:tc>
          <w:tcPr>
            <w:tcW w:w="791" w:type="pct"/>
            <w:vAlign w:val="center"/>
          </w:tcPr>
          <w:p w14:paraId="20844A26">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zh-CN"/>
              </w:rPr>
              <w:t>处置利用量t/a</w:t>
            </w:r>
          </w:p>
        </w:tc>
      </w:tr>
      <w:tr w14:paraId="42C25B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448" w:type="pct"/>
            <w:vMerge w:val="restart"/>
            <w:vAlign w:val="center"/>
          </w:tcPr>
          <w:p w14:paraId="035AAFFB">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sz w:val="21"/>
                <w:szCs w:val="21"/>
                <w:u w:val="single"/>
                <w:lang w:eastAsia="en-US"/>
              </w:rPr>
              <w:t>废金属包装容器</w:t>
            </w:r>
          </w:p>
        </w:tc>
        <w:tc>
          <w:tcPr>
            <w:tcW w:w="654" w:type="pct"/>
            <w:vMerge w:val="restart"/>
            <w:vAlign w:val="center"/>
          </w:tcPr>
          <w:p w14:paraId="2B522CAE">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sz w:val="21"/>
                <w:szCs w:val="21"/>
                <w:u w:val="single"/>
                <w:lang w:eastAsia="en-US"/>
              </w:rPr>
              <w:t>5000</w:t>
            </w:r>
          </w:p>
        </w:tc>
        <w:tc>
          <w:tcPr>
            <w:tcW w:w="1026" w:type="pct"/>
            <w:vMerge w:val="restart"/>
            <w:vAlign w:val="center"/>
          </w:tcPr>
          <w:p w14:paraId="441D39FB">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HW08废矿物油与</w:t>
            </w:r>
          </w:p>
          <w:p w14:paraId="44015EF7">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含矿物油废物</w:t>
            </w:r>
          </w:p>
        </w:tc>
        <w:tc>
          <w:tcPr>
            <w:tcW w:w="855" w:type="pct"/>
            <w:vMerge w:val="restart"/>
            <w:vAlign w:val="center"/>
          </w:tcPr>
          <w:p w14:paraId="20AEBEB8">
            <w:pPr>
              <w:pStyle w:val="60"/>
              <w:adjustRightInd w:val="0"/>
              <w:snapToGrid w:val="0"/>
              <w:rPr>
                <w:rFonts w:hint="default" w:ascii="Times New Roman" w:hAnsi="Times New Roman" w:eastAsia="宋体" w:cs="Times New Roman"/>
                <w:b/>
                <w:bCs/>
                <w:sz w:val="21"/>
                <w:szCs w:val="21"/>
                <w:u w:val="single"/>
                <w:lang w:eastAsia="zh-CN"/>
              </w:rPr>
            </w:pPr>
            <w:r>
              <w:rPr>
                <w:rFonts w:hint="default" w:ascii="Times New Roman" w:hAnsi="Times New Roman" w:eastAsia="宋体" w:cs="Times New Roman"/>
                <w:sz w:val="21"/>
                <w:szCs w:val="21"/>
                <w:u w:val="single"/>
                <w:lang w:eastAsia="zh-CN"/>
              </w:rPr>
              <w:t>废弃矿物油桶等</w:t>
            </w:r>
          </w:p>
        </w:tc>
        <w:tc>
          <w:tcPr>
            <w:tcW w:w="1223" w:type="pct"/>
            <w:tcBorders>
              <w:bottom w:val="single" w:color="000000" w:sz="4" w:space="0"/>
            </w:tcBorders>
            <w:vAlign w:val="center"/>
          </w:tcPr>
          <w:p w14:paraId="77C6D6D9">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zh-CN"/>
              </w:rPr>
              <w:t>翻新（</w:t>
            </w:r>
            <w:r>
              <w:rPr>
                <w:rFonts w:hint="default" w:ascii="Times New Roman" w:hAnsi="Times New Roman" w:eastAsia="宋体" w:cs="Times New Roman"/>
                <w:sz w:val="21"/>
                <w:szCs w:val="21"/>
                <w:u w:val="single"/>
                <w:lang w:val="en-US" w:eastAsia="zh-CN"/>
              </w:rPr>
              <w:t>无需喷漆/刷漆</w:t>
            </w:r>
            <w:r>
              <w:rPr>
                <w:rFonts w:hint="default" w:ascii="Times New Roman" w:hAnsi="Times New Roman" w:eastAsia="宋体" w:cs="Times New Roman"/>
                <w:sz w:val="21"/>
                <w:szCs w:val="21"/>
                <w:u w:val="single"/>
                <w:lang w:eastAsia="zh-CN"/>
              </w:rPr>
              <w:t>）</w:t>
            </w:r>
          </w:p>
        </w:tc>
        <w:tc>
          <w:tcPr>
            <w:tcW w:w="791" w:type="pct"/>
            <w:tcBorders>
              <w:bottom w:val="single" w:color="000000" w:sz="4" w:space="0"/>
            </w:tcBorders>
            <w:vAlign w:val="center"/>
          </w:tcPr>
          <w:p w14:paraId="48083A7B">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1000</w:t>
            </w:r>
          </w:p>
        </w:tc>
      </w:tr>
      <w:tr w14:paraId="42EB15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67" w:hRule="atLeast"/>
        </w:trPr>
        <w:tc>
          <w:tcPr>
            <w:tcW w:w="448" w:type="pct"/>
            <w:vMerge w:val="continue"/>
            <w:vAlign w:val="center"/>
          </w:tcPr>
          <w:p w14:paraId="7EC2F6D7">
            <w:pPr>
              <w:pStyle w:val="60"/>
              <w:adjustRightInd w:val="0"/>
              <w:snapToGrid w:val="0"/>
              <w:rPr>
                <w:rFonts w:hint="default" w:ascii="Times New Roman" w:hAnsi="Times New Roman" w:eastAsia="宋体" w:cs="Times New Roman"/>
                <w:sz w:val="21"/>
                <w:szCs w:val="21"/>
                <w:u w:val="single"/>
                <w:lang w:eastAsia="en-US"/>
              </w:rPr>
            </w:pPr>
          </w:p>
        </w:tc>
        <w:tc>
          <w:tcPr>
            <w:tcW w:w="654" w:type="pct"/>
            <w:vMerge w:val="continue"/>
            <w:vAlign w:val="center"/>
          </w:tcPr>
          <w:p w14:paraId="2200D263">
            <w:pPr>
              <w:pStyle w:val="60"/>
              <w:adjustRightInd w:val="0"/>
              <w:snapToGrid w:val="0"/>
              <w:rPr>
                <w:rFonts w:hint="default" w:ascii="Times New Roman" w:hAnsi="Times New Roman" w:eastAsia="宋体" w:cs="Times New Roman"/>
                <w:sz w:val="21"/>
                <w:szCs w:val="21"/>
                <w:u w:val="single"/>
                <w:lang w:eastAsia="en-US"/>
              </w:rPr>
            </w:pPr>
          </w:p>
        </w:tc>
        <w:tc>
          <w:tcPr>
            <w:tcW w:w="1026" w:type="pct"/>
            <w:vMerge w:val="continue"/>
            <w:vAlign w:val="center"/>
          </w:tcPr>
          <w:p w14:paraId="5C348AD7">
            <w:pPr>
              <w:pStyle w:val="60"/>
              <w:adjustRightInd w:val="0"/>
              <w:snapToGrid w:val="0"/>
              <w:rPr>
                <w:rFonts w:hint="default" w:ascii="Times New Roman" w:hAnsi="Times New Roman" w:eastAsia="宋体" w:cs="Times New Roman"/>
                <w:sz w:val="21"/>
                <w:szCs w:val="21"/>
                <w:u w:val="single"/>
                <w:lang w:eastAsia="en-US"/>
              </w:rPr>
            </w:pPr>
          </w:p>
        </w:tc>
        <w:tc>
          <w:tcPr>
            <w:tcW w:w="855" w:type="pct"/>
            <w:vMerge w:val="continue"/>
            <w:vAlign w:val="center"/>
          </w:tcPr>
          <w:p w14:paraId="4E9726AD">
            <w:pPr>
              <w:pStyle w:val="60"/>
              <w:adjustRightInd w:val="0"/>
              <w:snapToGrid w:val="0"/>
              <w:rPr>
                <w:rFonts w:hint="default" w:ascii="Times New Roman" w:hAnsi="Times New Roman" w:eastAsia="宋体" w:cs="Times New Roman"/>
                <w:sz w:val="21"/>
                <w:szCs w:val="21"/>
                <w:u w:val="single"/>
                <w:lang w:eastAsia="en-US"/>
              </w:rPr>
            </w:pPr>
          </w:p>
        </w:tc>
        <w:tc>
          <w:tcPr>
            <w:tcW w:w="1223" w:type="pct"/>
            <w:tcBorders>
              <w:top w:val="single" w:color="000000" w:sz="4" w:space="0"/>
            </w:tcBorders>
            <w:vAlign w:val="center"/>
          </w:tcPr>
          <w:p w14:paraId="4FE7F373">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zh-CN"/>
              </w:rPr>
              <w:t>破碎清洗</w:t>
            </w:r>
          </w:p>
        </w:tc>
        <w:tc>
          <w:tcPr>
            <w:tcW w:w="791" w:type="pct"/>
            <w:tcBorders>
              <w:top w:val="single" w:color="000000" w:sz="4" w:space="0"/>
            </w:tcBorders>
            <w:vAlign w:val="center"/>
          </w:tcPr>
          <w:p w14:paraId="4FA9CFE2">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4000</w:t>
            </w:r>
          </w:p>
        </w:tc>
      </w:tr>
      <w:tr w14:paraId="774CA4F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90" w:hRule="atLeast"/>
        </w:trPr>
        <w:tc>
          <w:tcPr>
            <w:tcW w:w="448" w:type="pct"/>
            <w:vMerge w:val="continue"/>
            <w:vAlign w:val="center"/>
          </w:tcPr>
          <w:p w14:paraId="43C74250">
            <w:pPr>
              <w:pStyle w:val="60"/>
              <w:adjustRightInd w:val="0"/>
              <w:snapToGrid w:val="0"/>
              <w:rPr>
                <w:rFonts w:hint="default" w:ascii="Times New Roman" w:hAnsi="Times New Roman" w:eastAsia="宋体" w:cs="Times New Roman"/>
                <w:sz w:val="21"/>
                <w:szCs w:val="21"/>
                <w:u w:val="single"/>
                <w:lang w:eastAsia="en-US"/>
              </w:rPr>
            </w:pPr>
          </w:p>
        </w:tc>
        <w:tc>
          <w:tcPr>
            <w:tcW w:w="654" w:type="pct"/>
            <w:vMerge w:val="restart"/>
            <w:vAlign w:val="center"/>
          </w:tcPr>
          <w:p w14:paraId="778E30FC">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5000</w:t>
            </w:r>
          </w:p>
        </w:tc>
        <w:tc>
          <w:tcPr>
            <w:tcW w:w="1026" w:type="pct"/>
            <w:vMerge w:val="restart"/>
            <w:vAlign w:val="center"/>
          </w:tcPr>
          <w:p w14:paraId="49B3D4C8">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HW49其他废物</w:t>
            </w:r>
          </w:p>
        </w:tc>
        <w:tc>
          <w:tcPr>
            <w:tcW w:w="855" w:type="pct"/>
            <w:vMerge w:val="restart"/>
            <w:vAlign w:val="center"/>
          </w:tcPr>
          <w:p w14:paraId="57A4AB43">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废弃乳化液桶、涂料桶、稀释剂桶、酯类溶剂桶等</w:t>
            </w:r>
          </w:p>
        </w:tc>
        <w:tc>
          <w:tcPr>
            <w:tcW w:w="1223" w:type="pct"/>
            <w:tcBorders>
              <w:bottom w:val="single" w:color="auto" w:sz="4" w:space="0"/>
            </w:tcBorders>
            <w:vAlign w:val="center"/>
          </w:tcPr>
          <w:p w14:paraId="06EC21FA">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翻新（</w:t>
            </w:r>
            <w:r>
              <w:rPr>
                <w:rFonts w:hint="default" w:ascii="Times New Roman" w:hAnsi="Times New Roman" w:eastAsia="宋体" w:cs="Times New Roman"/>
                <w:sz w:val="21"/>
                <w:szCs w:val="21"/>
                <w:u w:val="single"/>
                <w:lang w:val="en-US" w:eastAsia="zh-CN"/>
              </w:rPr>
              <w:t>无需喷漆/刷漆</w:t>
            </w:r>
            <w:r>
              <w:rPr>
                <w:rFonts w:hint="default" w:ascii="Times New Roman" w:hAnsi="Times New Roman" w:eastAsia="宋体" w:cs="Times New Roman"/>
                <w:sz w:val="21"/>
                <w:szCs w:val="21"/>
                <w:u w:val="single"/>
                <w:lang w:eastAsia="zh-CN"/>
              </w:rPr>
              <w:t>）</w:t>
            </w:r>
          </w:p>
        </w:tc>
        <w:tc>
          <w:tcPr>
            <w:tcW w:w="791" w:type="pct"/>
            <w:tcBorders>
              <w:bottom w:val="single" w:color="auto" w:sz="4" w:space="0"/>
            </w:tcBorders>
            <w:vAlign w:val="center"/>
          </w:tcPr>
          <w:p w14:paraId="4B9044CB">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1000</w:t>
            </w:r>
          </w:p>
        </w:tc>
      </w:tr>
      <w:tr w14:paraId="5DC313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8" w:hRule="atLeast"/>
        </w:trPr>
        <w:tc>
          <w:tcPr>
            <w:tcW w:w="448" w:type="pct"/>
            <w:vMerge w:val="continue"/>
            <w:vAlign w:val="center"/>
          </w:tcPr>
          <w:p w14:paraId="53AE6711">
            <w:pPr>
              <w:pStyle w:val="60"/>
              <w:adjustRightInd w:val="0"/>
              <w:snapToGrid w:val="0"/>
              <w:rPr>
                <w:rFonts w:hint="default" w:ascii="Times New Roman" w:hAnsi="Times New Roman" w:eastAsia="宋体" w:cs="Times New Roman"/>
                <w:sz w:val="21"/>
                <w:szCs w:val="21"/>
                <w:u w:val="single"/>
                <w:lang w:eastAsia="en-US"/>
              </w:rPr>
            </w:pPr>
          </w:p>
        </w:tc>
        <w:tc>
          <w:tcPr>
            <w:tcW w:w="654" w:type="pct"/>
            <w:vMerge w:val="continue"/>
            <w:vAlign w:val="center"/>
          </w:tcPr>
          <w:p w14:paraId="56728A7D">
            <w:pPr>
              <w:pStyle w:val="60"/>
              <w:adjustRightInd w:val="0"/>
              <w:snapToGrid w:val="0"/>
              <w:rPr>
                <w:rFonts w:hint="default" w:ascii="Times New Roman" w:hAnsi="Times New Roman" w:eastAsia="宋体" w:cs="Times New Roman"/>
                <w:sz w:val="21"/>
                <w:szCs w:val="21"/>
                <w:u w:val="single"/>
                <w:lang w:eastAsia="en-US"/>
              </w:rPr>
            </w:pPr>
          </w:p>
        </w:tc>
        <w:tc>
          <w:tcPr>
            <w:tcW w:w="1026" w:type="pct"/>
            <w:vMerge w:val="continue"/>
            <w:vAlign w:val="center"/>
          </w:tcPr>
          <w:p w14:paraId="71ADF7F2">
            <w:pPr>
              <w:pStyle w:val="60"/>
              <w:adjustRightInd w:val="0"/>
              <w:snapToGrid w:val="0"/>
              <w:rPr>
                <w:rFonts w:hint="default" w:ascii="Times New Roman" w:hAnsi="Times New Roman" w:eastAsia="宋体" w:cs="Times New Roman"/>
                <w:sz w:val="21"/>
                <w:szCs w:val="21"/>
                <w:u w:val="single"/>
                <w:lang w:eastAsia="en-US"/>
              </w:rPr>
            </w:pPr>
          </w:p>
        </w:tc>
        <w:tc>
          <w:tcPr>
            <w:tcW w:w="855" w:type="pct"/>
            <w:vMerge w:val="continue"/>
            <w:vAlign w:val="center"/>
          </w:tcPr>
          <w:p w14:paraId="2085EED2">
            <w:pPr>
              <w:pStyle w:val="60"/>
              <w:adjustRightInd w:val="0"/>
              <w:snapToGrid w:val="0"/>
              <w:rPr>
                <w:rFonts w:hint="default" w:ascii="Times New Roman" w:hAnsi="Times New Roman" w:eastAsia="宋体" w:cs="Times New Roman"/>
                <w:sz w:val="21"/>
                <w:szCs w:val="21"/>
                <w:u w:val="single"/>
                <w:lang w:eastAsia="en-US"/>
              </w:rPr>
            </w:pPr>
          </w:p>
        </w:tc>
        <w:tc>
          <w:tcPr>
            <w:tcW w:w="1223" w:type="pct"/>
            <w:tcBorders>
              <w:top w:val="single" w:color="auto" w:sz="4" w:space="0"/>
            </w:tcBorders>
            <w:vAlign w:val="center"/>
          </w:tcPr>
          <w:p w14:paraId="5D2C2A5E">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zh-CN"/>
              </w:rPr>
              <w:t>破碎清洗</w:t>
            </w:r>
          </w:p>
        </w:tc>
        <w:tc>
          <w:tcPr>
            <w:tcW w:w="791" w:type="pct"/>
            <w:tcBorders>
              <w:top w:val="single" w:color="auto" w:sz="4" w:space="0"/>
            </w:tcBorders>
            <w:vAlign w:val="center"/>
          </w:tcPr>
          <w:p w14:paraId="45BB5C4C">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zh-CN"/>
              </w:rPr>
              <w:t>4000</w:t>
            </w:r>
          </w:p>
        </w:tc>
      </w:tr>
      <w:tr w14:paraId="0149ED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Merge w:val="restart"/>
            <w:vAlign w:val="center"/>
          </w:tcPr>
          <w:p w14:paraId="2F319513">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废塑料包装容器</w:t>
            </w:r>
          </w:p>
        </w:tc>
        <w:tc>
          <w:tcPr>
            <w:tcW w:w="654" w:type="pct"/>
            <w:vMerge w:val="restart"/>
            <w:vAlign w:val="center"/>
          </w:tcPr>
          <w:p w14:paraId="03AA35CF">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1000</w:t>
            </w:r>
          </w:p>
        </w:tc>
        <w:tc>
          <w:tcPr>
            <w:tcW w:w="1026" w:type="pct"/>
            <w:vMerge w:val="restart"/>
            <w:vAlign w:val="center"/>
          </w:tcPr>
          <w:p w14:paraId="67F16255">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HW49其他废物</w:t>
            </w:r>
          </w:p>
        </w:tc>
        <w:tc>
          <w:tcPr>
            <w:tcW w:w="855" w:type="pct"/>
            <w:vMerge w:val="restart"/>
            <w:vAlign w:val="center"/>
          </w:tcPr>
          <w:p w14:paraId="36492D39">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IBC</w:t>
            </w:r>
            <w:r>
              <w:rPr>
                <w:rFonts w:hint="default" w:ascii="Times New Roman" w:hAnsi="Times New Roman" w:eastAsia="宋体" w:cs="Times New Roman"/>
                <w:sz w:val="21"/>
                <w:szCs w:val="21"/>
                <w:u w:val="single"/>
                <w:lang w:eastAsia="zh-CN"/>
              </w:rPr>
              <w:t>吨</w:t>
            </w:r>
            <w:r>
              <w:rPr>
                <w:rFonts w:hint="default" w:ascii="Times New Roman" w:hAnsi="Times New Roman" w:eastAsia="宋体" w:cs="Times New Roman"/>
                <w:sz w:val="21"/>
                <w:szCs w:val="21"/>
                <w:u w:val="single"/>
                <w:lang w:eastAsia="en-US"/>
              </w:rPr>
              <w:t>桶</w:t>
            </w:r>
          </w:p>
        </w:tc>
        <w:tc>
          <w:tcPr>
            <w:tcW w:w="1223" w:type="pct"/>
            <w:vAlign w:val="center"/>
          </w:tcPr>
          <w:p w14:paraId="512869D8">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zh-CN"/>
              </w:rPr>
              <w:t>翻新（</w:t>
            </w:r>
            <w:r>
              <w:rPr>
                <w:rFonts w:hint="default" w:ascii="Times New Roman" w:hAnsi="Times New Roman" w:eastAsia="宋体" w:cs="Times New Roman"/>
                <w:sz w:val="21"/>
                <w:szCs w:val="21"/>
                <w:u w:val="single"/>
                <w:lang w:val="en-US" w:eastAsia="zh-CN"/>
              </w:rPr>
              <w:t>无需喷漆/刷漆</w:t>
            </w:r>
            <w:r>
              <w:rPr>
                <w:rFonts w:hint="default" w:ascii="Times New Roman" w:hAnsi="Times New Roman" w:eastAsia="宋体" w:cs="Times New Roman"/>
                <w:sz w:val="21"/>
                <w:szCs w:val="21"/>
                <w:u w:val="single"/>
                <w:lang w:eastAsia="zh-CN"/>
              </w:rPr>
              <w:t>）</w:t>
            </w:r>
          </w:p>
        </w:tc>
        <w:tc>
          <w:tcPr>
            <w:tcW w:w="791" w:type="pct"/>
            <w:vAlign w:val="center"/>
          </w:tcPr>
          <w:p w14:paraId="30472A6F">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500</w:t>
            </w:r>
          </w:p>
        </w:tc>
      </w:tr>
      <w:tr w14:paraId="6AA2AD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Merge w:val="continue"/>
            <w:vAlign w:val="center"/>
          </w:tcPr>
          <w:p w14:paraId="6B5D8E52">
            <w:pPr>
              <w:pStyle w:val="60"/>
              <w:adjustRightInd w:val="0"/>
              <w:snapToGrid w:val="0"/>
              <w:rPr>
                <w:rFonts w:hint="default" w:ascii="Times New Roman" w:hAnsi="Times New Roman" w:eastAsia="宋体" w:cs="Times New Roman"/>
                <w:sz w:val="21"/>
                <w:szCs w:val="21"/>
                <w:u w:val="single"/>
                <w:lang w:eastAsia="en-US"/>
              </w:rPr>
            </w:pPr>
          </w:p>
        </w:tc>
        <w:tc>
          <w:tcPr>
            <w:tcW w:w="654" w:type="pct"/>
            <w:vMerge w:val="continue"/>
            <w:vAlign w:val="center"/>
          </w:tcPr>
          <w:p w14:paraId="314AA45F">
            <w:pPr>
              <w:pStyle w:val="60"/>
              <w:adjustRightInd w:val="0"/>
              <w:snapToGrid w:val="0"/>
              <w:rPr>
                <w:rFonts w:hint="default" w:ascii="Times New Roman" w:hAnsi="Times New Roman" w:eastAsia="宋体" w:cs="Times New Roman"/>
                <w:sz w:val="21"/>
                <w:szCs w:val="21"/>
                <w:u w:val="single"/>
                <w:lang w:eastAsia="en-US"/>
              </w:rPr>
            </w:pPr>
          </w:p>
        </w:tc>
        <w:tc>
          <w:tcPr>
            <w:tcW w:w="1026" w:type="pct"/>
            <w:vMerge w:val="continue"/>
            <w:vAlign w:val="center"/>
          </w:tcPr>
          <w:p w14:paraId="54320ECA">
            <w:pPr>
              <w:pStyle w:val="60"/>
              <w:adjustRightInd w:val="0"/>
              <w:snapToGrid w:val="0"/>
              <w:rPr>
                <w:rFonts w:hint="default" w:ascii="Times New Roman" w:hAnsi="Times New Roman" w:eastAsia="宋体" w:cs="Times New Roman"/>
                <w:sz w:val="21"/>
                <w:szCs w:val="21"/>
                <w:u w:val="single"/>
                <w:lang w:eastAsia="en-US"/>
              </w:rPr>
            </w:pPr>
          </w:p>
        </w:tc>
        <w:tc>
          <w:tcPr>
            <w:tcW w:w="855" w:type="pct"/>
            <w:vMerge w:val="continue"/>
            <w:vAlign w:val="center"/>
          </w:tcPr>
          <w:p w14:paraId="1B9FE655">
            <w:pPr>
              <w:pStyle w:val="60"/>
              <w:adjustRightInd w:val="0"/>
              <w:snapToGrid w:val="0"/>
              <w:rPr>
                <w:rFonts w:hint="default" w:ascii="Times New Roman" w:hAnsi="Times New Roman" w:eastAsia="宋体" w:cs="Times New Roman"/>
                <w:sz w:val="21"/>
                <w:szCs w:val="21"/>
                <w:u w:val="single"/>
                <w:lang w:eastAsia="en-US"/>
              </w:rPr>
            </w:pPr>
          </w:p>
        </w:tc>
        <w:tc>
          <w:tcPr>
            <w:tcW w:w="1223" w:type="pct"/>
            <w:vAlign w:val="center"/>
          </w:tcPr>
          <w:p w14:paraId="398381D2">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zh-CN"/>
              </w:rPr>
              <w:t>破碎清洗</w:t>
            </w:r>
          </w:p>
        </w:tc>
        <w:tc>
          <w:tcPr>
            <w:tcW w:w="791" w:type="pct"/>
            <w:vAlign w:val="center"/>
          </w:tcPr>
          <w:p w14:paraId="25B936A4">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500</w:t>
            </w:r>
          </w:p>
        </w:tc>
      </w:tr>
      <w:tr w14:paraId="6226E2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26" w:hRule="atLeast"/>
        </w:trPr>
        <w:tc>
          <w:tcPr>
            <w:tcW w:w="448" w:type="pct"/>
            <w:vMerge w:val="continue"/>
            <w:vAlign w:val="center"/>
          </w:tcPr>
          <w:p w14:paraId="5158CB3B">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654" w:type="pct"/>
            <w:vAlign w:val="center"/>
          </w:tcPr>
          <w:p w14:paraId="46B35821">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2000</w:t>
            </w:r>
          </w:p>
        </w:tc>
        <w:tc>
          <w:tcPr>
            <w:tcW w:w="1026" w:type="pct"/>
            <w:vAlign w:val="center"/>
          </w:tcPr>
          <w:p w14:paraId="26FCC39A">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HW49其他废物</w:t>
            </w:r>
          </w:p>
        </w:tc>
        <w:tc>
          <w:tcPr>
            <w:tcW w:w="855" w:type="pct"/>
            <w:vAlign w:val="center"/>
          </w:tcPr>
          <w:p w14:paraId="1B2117C3">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废弃pr桶、酯类溶剂桶、剥离液桶、乳胶漆桶等</w:t>
            </w:r>
          </w:p>
        </w:tc>
        <w:tc>
          <w:tcPr>
            <w:tcW w:w="1223" w:type="pct"/>
            <w:vAlign w:val="center"/>
          </w:tcPr>
          <w:p w14:paraId="7A51B9EA">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破碎清洗</w:t>
            </w:r>
          </w:p>
        </w:tc>
        <w:tc>
          <w:tcPr>
            <w:tcW w:w="791" w:type="pct"/>
            <w:vAlign w:val="center"/>
          </w:tcPr>
          <w:p w14:paraId="4BEA0CA3">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2000</w:t>
            </w:r>
          </w:p>
        </w:tc>
      </w:tr>
      <w:tr w14:paraId="67E355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Merge w:val="continue"/>
            <w:vAlign w:val="center"/>
          </w:tcPr>
          <w:p w14:paraId="58691849">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654" w:type="pct"/>
            <w:vAlign w:val="center"/>
          </w:tcPr>
          <w:p w14:paraId="5B4720C5">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2000</w:t>
            </w:r>
          </w:p>
        </w:tc>
        <w:tc>
          <w:tcPr>
            <w:tcW w:w="1026" w:type="pct"/>
            <w:vAlign w:val="center"/>
          </w:tcPr>
          <w:p w14:paraId="6C39DEA4">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HW08废矿物油与</w:t>
            </w:r>
          </w:p>
          <w:p w14:paraId="236E9D8F">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含矿物油废物</w:t>
            </w:r>
          </w:p>
        </w:tc>
        <w:tc>
          <w:tcPr>
            <w:tcW w:w="855" w:type="pct"/>
            <w:vAlign w:val="center"/>
          </w:tcPr>
          <w:p w14:paraId="38842BBC">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zh-CN"/>
              </w:rPr>
              <w:t>废弃</w:t>
            </w:r>
            <w:r>
              <w:rPr>
                <w:rFonts w:hint="default" w:ascii="Times New Roman" w:hAnsi="Times New Roman" w:eastAsia="宋体" w:cs="Times New Roman"/>
                <w:sz w:val="21"/>
                <w:szCs w:val="21"/>
                <w:u w:val="single"/>
                <w:lang w:eastAsia="en-US"/>
              </w:rPr>
              <w:t>矿物油桶</w:t>
            </w:r>
          </w:p>
        </w:tc>
        <w:tc>
          <w:tcPr>
            <w:tcW w:w="1223" w:type="pct"/>
            <w:vAlign w:val="center"/>
          </w:tcPr>
          <w:p w14:paraId="129F6C5B">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zh-CN"/>
              </w:rPr>
              <w:t>破碎清洗</w:t>
            </w:r>
          </w:p>
        </w:tc>
        <w:tc>
          <w:tcPr>
            <w:tcW w:w="791" w:type="pct"/>
            <w:vAlign w:val="center"/>
          </w:tcPr>
          <w:p w14:paraId="6C8963DF">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2000</w:t>
            </w:r>
          </w:p>
        </w:tc>
      </w:tr>
      <w:tr w14:paraId="089CCDC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Align w:val="center"/>
          </w:tcPr>
          <w:p w14:paraId="63095731">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废金属机油滤芯</w:t>
            </w:r>
          </w:p>
        </w:tc>
        <w:tc>
          <w:tcPr>
            <w:tcW w:w="654" w:type="pct"/>
            <w:vAlign w:val="center"/>
          </w:tcPr>
          <w:p w14:paraId="623F4119">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5000</w:t>
            </w:r>
          </w:p>
        </w:tc>
        <w:tc>
          <w:tcPr>
            <w:tcW w:w="1026" w:type="pct"/>
            <w:vAlign w:val="center"/>
          </w:tcPr>
          <w:p w14:paraId="2E045C4F">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HW49其他废物</w:t>
            </w:r>
          </w:p>
        </w:tc>
        <w:tc>
          <w:tcPr>
            <w:tcW w:w="855" w:type="pct"/>
            <w:vAlign w:val="center"/>
          </w:tcPr>
          <w:p w14:paraId="1ED3CAF7">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废金属机油滤</w:t>
            </w:r>
          </w:p>
          <w:p w14:paraId="6D3608F6">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芯</w:t>
            </w:r>
          </w:p>
        </w:tc>
        <w:tc>
          <w:tcPr>
            <w:tcW w:w="1223" w:type="pct"/>
            <w:vAlign w:val="center"/>
          </w:tcPr>
          <w:p w14:paraId="5B0F5853">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zh-CN"/>
              </w:rPr>
              <w:t>破碎清洗</w:t>
            </w:r>
          </w:p>
        </w:tc>
        <w:tc>
          <w:tcPr>
            <w:tcW w:w="791" w:type="pct"/>
            <w:vAlign w:val="center"/>
          </w:tcPr>
          <w:p w14:paraId="720BA90F">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5000</w:t>
            </w:r>
          </w:p>
        </w:tc>
      </w:tr>
      <w:bookmarkEnd w:id="262"/>
    </w:tbl>
    <w:p w14:paraId="48FA4C2E">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表4.3-</w:t>
      </w:r>
      <w:r>
        <w:rPr>
          <w:rFonts w:hint="default" w:ascii="Times New Roman" w:hAnsi="Times New Roman" w:eastAsia="宋体" w:cs="Times New Roman"/>
          <w:b/>
          <w:bCs/>
          <w:szCs w:val="21"/>
          <w:u w:val="single"/>
          <w:lang w:val="en-US" w:eastAsia="zh-CN"/>
        </w:rPr>
        <w:t>6</w:t>
      </w:r>
      <w:r>
        <w:rPr>
          <w:rFonts w:hint="default" w:ascii="Times New Roman" w:hAnsi="Times New Roman" w:eastAsia="宋体" w:cs="Times New Roman"/>
          <w:b/>
          <w:bCs/>
          <w:szCs w:val="21"/>
          <w:u w:val="single"/>
        </w:rPr>
        <w:tab/>
      </w:r>
      <w:r>
        <w:rPr>
          <w:rFonts w:hint="default" w:ascii="Times New Roman" w:hAnsi="Times New Roman" w:eastAsia="宋体" w:cs="Times New Roman"/>
          <w:b/>
          <w:bCs/>
          <w:szCs w:val="21"/>
          <w:u w:val="single"/>
        </w:rPr>
        <w:t>项目危险废物综合利用产品方案</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54"/>
        <w:gridCol w:w="1187"/>
        <w:gridCol w:w="2813"/>
        <w:gridCol w:w="999"/>
        <w:gridCol w:w="2783"/>
      </w:tblGrid>
      <w:tr w14:paraId="4E1C3B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333" w:type="pct"/>
            <w:vAlign w:val="center"/>
          </w:tcPr>
          <w:p w14:paraId="5CF23C6A">
            <w:pPr>
              <w:pStyle w:val="6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序号</w:t>
            </w:r>
          </w:p>
        </w:tc>
        <w:tc>
          <w:tcPr>
            <w:tcW w:w="712" w:type="pct"/>
            <w:vAlign w:val="center"/>
          </w:tcPr>
          <w:p w14:paraId="3A8376E2">
            <w:pPr>
              <w:pStyle w:val="6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zh-CN"/>
              </w:rPr>
              <w:t>产品</w:t>
            </w:r>
            <w:r>
              <w:rPr>
                <w:rFonts w:hint="default" w:ascii="Times New Roman" w:hAnsi="Times New Roman" w:eastAsia="宋体" w:cs="Times New Roman"/>
                <w:b/>
                <w:bCs/>
                <w:sz w:val="21"/>
                <w:u w:val="single"/>
                <w:lang w:eastAsia="en-US"/>
              </w:rPr>
              <w:t>名称</w:t>
            </w:r>
          </w:p>
        </w:tc>
        <w:tc>
          <w:tcPr>
            <w:tcW w:w="1687" w:type="pct"/>
            <w:vAlign w:val="center"/>
          </w:tcPr>
          <w:p w14:paraId="32AEE163">
            <w:pPr>
              <w:pStyle w:val="60"/>
              <w:rPr>
                <w:rFonts w:hint="default" w:ascii="Times New Roman" w:hAnsi="Times New Roman" w:eastAsia="宋体" w:cs="Times New Roman"/>
                <w:b/>
                <w:bCs/>
                <w:sz w:val="21"/>
                <w:u w:val="single"/>
                <w:lang w:eastAsia="zh-CN"/>
              </w:rPr>
            </w:pPr>
            <w:r>
              <w:rPr>
                <w:rFonts w:hint="default" w:ascii="Times New Roman" w:hAnsi="Times New Roman" w:eastAsia="宋体" w:cs="Times New Roman"/>
                <w:b/>
                <w:bCs/>
                <w:sz w:val="21"/>
                <w:u w:val="single"/>
                <w:lang w:eastAsia="zh-CN"/>
              </w:rPr>
              <w:t>危险废物资综合利用量</w:t>
            </w:r>
          </w:p>
        </w:tc>
        <w:tc>
          <w:tcPr>
            <w:tcW w:w="599" w:type="pct"/>
            <w:vAlign w:val="center"/>
          </w:tcPr>
          <w:p w14:paraId="419EE624">
            <w:pPr>
              <w:pStyle w:val="6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产量</w:t>
            </w:r>
          </w:p>
        </w:tc>
        <w:tc>
          <w:tcPr>
            <w:tcW w:w="1669" w:type="pct"/>
            <w:vAlign w:val="center"/>
          </w:tcPr>
          <w:p w14:paraId="364FE8C9">
            <w:pPr>
              <w:pStyle w:val="6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去向</w:t>
            </w:r>
          </w:p>
        </w:tc>
      </w:tr>
      <w:tr w14:paraId="4D38A8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333" w:type="pct"/>
            <w:vAlign w:val="center"/>
          </w:tcPr>
          <w:p w14:paraId="7170D1A4">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712" w:type="pct"/>
            <w:vAlign w:val="center"/>
          </w:tcPr>
          <w:p w14:paraId="15E8FE7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翻新铁桶</w:t>
            </w:r>
          </w:p>
        </w:tc>
        <w:tc>
          <w:tcPr>
            <w:tcW w:w="1687" w:type="pct"/>
            <w:vMerge w:val="restart"/>
            <w:vAlign w:val="center"/>
          </w:tcPr>
          <w:p w14:paraId="52FB16B1">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废金属包装容器利用量 10000t/a、废塑料包装容器利用量 5000t/a、废金属机油滤芯利用量5000t/a</w:t>
            </w:r>
          </w:p>
        </w:tc>
        <w:tc>
          <w:tcPr>
            <w:tcW w:w="599" w:type="pct"/>
            <w:vAlign w:val="center"/>
          </w:tcPr>
          <w:p w14:paraId="0E962CD2">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2000t/a</w:t>
            </w:r>
          </w:p>
        </w:tc>
        <w:tc>
          <w:tcPr>
            <w:tcW w:w="1669" w:type="pct"/>
            <w:vAlign w:val="center"/>
          </w:tcPr>
          <w:p w14:paraId="57BAB0A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外售再生企业</w:t>
            </w:r>
          </w:p>
        </w:tc>
      </w:tr>
      <w:tr w14:paraId="00564A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333" w:type="pct"/>
            <w:vAlign w:val="center"/>
          </w:tcPr>
          <w:p w14:paraId="25A8D8B6">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2</w:t>
            </w:r>
          </w:p>
        </w:tc>
        <w:tc>
          <w:tcPr>
            <w:tcW w:w="712" w:type="pct"/>
            <w:vAlign w:val="center"/>
          </w:tcPr>
          <w:p w14:paraId="14574A10">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翻新塑料桶</w:t>
            </w:r>
          </w:p>
        </w:tc>
        <w:tc>
          <w:tcPr>
            <w:tcW w:w="1687" w:type="pct"/>
            <w:vMerge w:val="continue"/>
            <w:vAlign w:val="center"/>
          </w:tcPr>
          <w:p w14:paraId="2510F52F">
            <w:pPr>
              <w:pStyle w:val="60"/>
              <w:rPr>
                <w:rFonts w:hint="default" w:ascii="Times New Roman" w:hAnsi="Times New Roman" w:eastAsia="宋体" w:cs="Times New Roman"/>
                <w:sz w:val="21"/>
                <w:u w:val="single"/>
                <w:lang w:eastAsia="en-US"/>
              </w:rPr>
            </w:pPr>
          </w:p>
        </w:tc>
        <w:tc>
          <w:tcPr>
            <w:tcW w:w="599" w:type="pct"/>
            <w:vAlign w:val="center"/>
          </w:tcPr>
          <w:p w14:paraId="2B8E4F56">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500t/a</w:t>
            </w:r>
          </w:p>
        </w:tc>
        <w:tc>
          <w:tcPr>
            <w:tcW w:w="1669" w:type="pct"/>
            <w:vAlign w:val="center"/>
          </w:tcPr>
          <w:p w14:paraId="3F1A072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外售再生企业</w:t>
            </w:r>
          </w:p>
        </w:tc>
      </w:tr>
      <w:tr w14:paraId="2EB124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58" w:hRule="atLeast"/>
        </w:trPr>
        <w:tc>
          <w:tcPr>
            <w:tcW w:w="333" w:type="pct"/>
            <w:vAlign w:val="center"/>
          </w:tcPr>
          <w:p w14:paraId="326A98A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3</w:t>
            </w:r>
          </w:p>
        </w:tc>
        <w:tc>
          <w:tcPr>
            <w:tcW w:w="712" w:type="pct"/>
            <w:vAlign w:val="center"/>
          </w:tcPr>
          <w:p w14:paraId="2D201E32">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金属颗粒</w:t>
            </w:r>
          </w:p>
        </w:tc>
        <w:tc>
          <w:tcPr>
            <w:tcW w:w="1687" w:type="pct"/>
            <w:vMerge w:val="continue"/>
            <w:vAlign w:val="center"/>
          </w:tcPr>
          <w:p w14:paraId="4D1D6F95">
            <w:pPr>
              <w:pStyle w:val="60"/>
              <w:rPr>
                <w:rFonts w:hint="default" w:ascii="Times New Roman" w:hAnsi="Times New Roman" w:eastAsia="宋体" w:cs="Times New Roman"/>
                <w:sz w:val="21"/>
                <w:u w:val="single"/>
                <w:lang w:eastAsia="en-US"/>
              </w:rPr>
            </w:pPr>
          </w:p>
        </w:tc>
        <w:tc>
          <w:tcPr>
            <w:tcW w:w="599" w:type="pct"/>
            <w:vAlign w:val="center"/>
          </w:tcPr>
          <w:p w14:paraId="0A66D3A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11875</w:t>
            </w:r>
            <w:r>
              <w:rPr>
                <w:rFonts w:hint="default" w:ascii="Times New Roman" w:hAnsi="Times New Roman" w:eastAsia="宋体" w:cs="Times New Roman"/>
                <w:sz w:val="21"/>
                <w:u w:val="single"/>
                <w:lang w:eastAsia="zh-CN"/>
              </w:rPr>
              <w:t>t/a</w:t>
            </w:r>
          </w:p>
        </w:tc>
        <w:tc>
          <w:tcPr>
            <w:tcW w:w="1669" w:type="pct"/>
            <w:vAlign w:val="center"/>
          </w:tcPr>
          <w:p w14:paraId="047755B6">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外售再生企业</w:t>
            </w:r>
          </w:p>
        </w:tc>
      </w:tr>
      <w:tr w14:paraId="0D77E9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672" w:hRule="atLeast"/>
        </w:trPr>
        <w:tc>
          <w:tcPr>
            <w:tcW w:w="333" w:type="pct"/>
            <w:tcBorders>
              <w:bottom w:val="single" w:color="auto" w:sz="4" w:space="0"/>
            </w:tcBorders>
            <w:vAlign w:val="center"/>
          </w:tcPr>
          <w:p w14:paraId="226EEF8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4</w:t>
            </w:r>
          </w:p>
        </w:tc>
        <w:tc>
          <w:tcPr>
            <w:tcW w:w="712" w:type="pct"/>
            <w:tcBorders>
              <w:bottom w:val="single" w:color="auto" w:sz="4" w:space="0"/>
            </w:tcBorders>
            <w:vAlign w:val="center"/>
          </w:tcPr>
          <w:p w14:paraId="0F03893B">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塑料</w:t>
            </w:r>
            <w:r>
              <w:rPr>
                <w:rFonts w:hint="default" w:ascii="Times New Roman" w:hAnsi="Times New Roman" w:eastAsia="宋体" w:cs="Times New Roman"/>
                <w:sz w:val="21"/>
                <w:u w:val="single"/>
                <w:lang w:eastAsia="zh-CN"/>
              </w:rPr>
              <w:t>碎片</w:t>
            </w:r>
          </w:p>
        </w:tc>
        <w:tc>
          <w:tcPr>
            <w:tcW w:w="1687" w:type="pct"/>
            <w:vMerge w:val="continue"/>
            <w:vAlign w:val="center"/>
          </w:tcPr>
          <w:p w14:paraId="2335DA94">
            <w:pPr>
              <w:autoSpaceDE w:val="0"/>
              <w:autoSpaceDN w:val="0"/>
              <w:jc w:val="center"/>
              <w:rPr>
                <w:rFonts w:hint="default" w:ascii="Times New Roman" w:hAnsi="Times New Roman" w:eastAsia="宋体" w:cs="Times New Roman"/>
                <w:kern w:val="0"/>
                <w:sz w:val="2"/>
                <w:szCs w:val="2"/>
                <w:u w:val="single"/>
                <w:lang w:eastAsia="en-US"/>
              </w:rPr>
            </w:pPr>
          </w:p>
        </w:tc>
        <w:tc>
          <w:tcPr>
            <w:tcW w:w="599" w:type="pct"/>
            <w:tcBorders>
              <w:bottom w:val="single" w:color="auto" w:sz="4" w:space="0"/>
            </w:tcBorders>
            <w:vAlign w:val="center"/>
          </w:tcPr>
          <w:p w14:paraId="15EB2832">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4725t/a</w:t>
            </w:r>
          </w:p>
        </w:tc>
        <w:tc>
          <w:tcPr>
            <w:tcW w:w="1669" w:type="pct"/>
            <w:vAlign w:val="center"/>
          </w:tcPr>
          <w:p w14:paraId="783B22FF">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外售再生企业，不得作为食品、饮用水等容器的制作原料进行使用</w:t>
            </w:r>
          </w:p>
        </w:tc>
      </w:tr>
      <w:tr w14:paraId="0107A69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10" w:hRule="atLeast"/>
        </w:trPr>
        <w:tc>
          <w:tcPr>
            <w:tcW w:w="1045" w:type="pct"/>
            <w:gridSpan w:val="2"/>
            <w:vAlign w:val="center"/>
          </w:tcPr>
          <w:p w14:paraId="08AC489A">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zh-CN"/>
              </w:rPr>
              <w:t>合计</w:t>
            </w:r>
          </w:p>
        </w:tc>
        <w:tc>
          <w:tcPr>
            <w:tcW w:w="1687" w:type="pct"/>
            <w:vAlign w:val="center"/>
          </w:tcPr>
          <w:p w14:paraId="0B83AE77">
            <w:pPr>
              <w:autoSpaceDE w:val="0"/>
              <w:autoSpaceDN w:val="0"/>
              <w:jc w:val="center"/>
              <w:rPr>
                <w:rFonts w:hint="default" w:ascii="Times New Roman" w:hAnsi="Times New Roman" w:eastAsia="宋体" w:cs="Times New Roman"/>
                <w:kern w:val="0"/>
                <w:sz w:val="21"/>
                <w:szCs w:val="21"/>
                <w:u w:val="single"/>
                <w:lang w:eastAsia="zh-CN"/>
              </w:rPr>
            </w:pPr>
            <w:r>
              <w:rPr>
                <w:rFonts w:hint="default" w:ascii="Times New Roman" w:hAnsi="Times New Roman" w:eastAsia="宋体" w:cs="Times New Roman"/>
                <w:kern w:val="0"/>
                <w:sz w:val="21"/>
                <w:szCs w:val="21"/>
                <w:u w:val="single"/>
                <w:lang w:eastAsia="zh-CN"/>
              </w:rPr>
              <w:t>20000t/a</w:t>
            </w:r>
          </w:p>
        </w:tc>
        <w:tc>
          <w:tcPr>
            <w:tcW w:w="599" w:type="pct"/>
            <w:vAlign w:val="center"/>
          </w:tcPr>
          <w:p w14:paraId="34ACC6B7">
            <w:pPr>
              <w:pStyle w:val="6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19100</w:t>
            </w:r>
            <w:r>
              <w:rPr>
                <w:rFonts w:hint="default" w:ascii="Times New Roman" w:hAnsi="Times New Roman" w:eastAsia="宋体" w:cs="Times New Roman"/>
                <w:sz w:val="21"/>
                <w:u w:val="single"/>
                <w:lang w:eastAsia="zh-CN"/>
              </w:rPr>
              <w:t>t/a</w:t>
            </w:r>
          </w:p>
        </w:tc>
        <w:tc>
          <w:tcPr>
            <w:tcW w:w="1669" w:type="pct"/>
            <w:vAlign w:val="center"/>
          </w:tcPr>
          <w:p w14:paraId="7DBA09A4">
            <w:pPr>
              <w:pStyle w:val="6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w:t>
            </w:r>
          </w:p>
        </w:tc>
      </w:tr>
    </w:tbl>
    <w:p w14:paraId="52129C7A">
      <w:pPr>
        <w:spacing w:line="360" w:lineRule="auto"/>
        <w:rPr>
          <w:rFonts w:hint="default" w:ascii="Times New Roman" w:hAnsi="Times New Roman" w:eastAsia="宋体" w:cs="Times New Roman"/>
          <w:b/>
          <w:bCs/>
          <w:sz w:val="21"/>
          <w:szCs w:val="21"/>
          <w:u w:val="single"/>
          <w:lang w:val="en-US" w:eastAsia="zh-CN"/>
        </w:rPr>
      </w:pPr>
      <w:r>
        <w:rPr>
          <w:rFonts w:hint="default" w:ascii="Times New Roman" w:hAnsi="Times New Roman" w:eastAsia="宋体" w:cs="Times New Roman"/>
          <w:b/>
          <w:bCs/>
          <w:sz w:val="21"/>
          <w:szCs w:val="21"/>
          <w:u w:val="single"/>
          <w:lang w:val="en-US" w:eastAsia="zh-CN"/>
        </w:rPr>
        <w:t>注：项目翻新的铁桶、塑料桶均无需进行喷漆或者刷漆。</w:t>
      </w:r>
    </w:p>
    <w:p w14:paraId="33BBD9AA">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处理后的铁块及塑料片质量标准：原料经相应的工艺处置后得到的铁块及塑料片，目前暂无行业及地方标准，铁块标准参照《废钢铁》（GB4223-2004）达到相应外形尺寸要求；塑料片外售时通过《化工产品中水分测定的通用方法干燥减量法》（GB/T6284-2006）检验塑料颗粒含水率，以及通过人工目检（色泽、外观、形状等），根据行业加工标准，塑料片含水率不得高于1%；另外，根据《危险废物鉴别标准 通则》（GB5085.7-2007）及《危险废物鉴别技术规范》（HJ/T 298-2019），对本项目处理后的铁块及塑料片进行危废鉴别（铁块每次鉴别量约400t、塑料片每次鉴别量为100t），确保其不属于危险废物方可外售，否则按仍需按危险废物进行处理，且质量标准需报行政主管部门备案。</w:t>
      </w:r>
    </w:p>
    <w:p w14:paraId="02A6C863">
      <w:pPr>
        <w:pStyle w:val="3"/>
        <w:spacing w:before="0" w:after="0" w:line="360" w:lineRule="auto"/>
        <w:jc w:val="left"/>
        <w:rPr>
          <w:rFonts w:hint="default" w:ascii="Times New Roman" w:hAnsi="Times New Roman" w:eastAsia="宋体" w:cs="Times New Roman"/>
        </w:rPr>
      </w:pPr>
      <w:bookmarkStart w:id="263" w:name="_Toc5133"/>
      <w:r>
        <w:rPr>
          <w:rFonts w:hint="default" w:ascii="Times New Roman" w:hAnsi="Times New Roman" w:eastAsia="宋体" w:cs="Times New Roman"/>
          <w:kern w:val="0"/>
          <w:sz w:val="30"/>
          <w:szCs w:val="28"/>
        </w:rPr>
        <w:t>4.4</w:t>
      </w:r>
      <w:r>
        <w:rPr>
          <w:rFonts w:hint="default" w:ascii="Times New Roman" w:hAnsi="Times New Roman" w:eastAsia="宋体" w:cs="Times New Roman"/>
          <w:kern w:val="0"/>
        </w:rPr>
        <w:t>扩建</w:t>
      </w:r>
      <w:r>
        <w:rPr>
          <w:rFonts w:hint="default" w:ascii="Times New Roman" w:hAnsi="Times New Roman" w:eastAsia="宋体" w:cs="Times New Roman"/>
        </w:rPr>
        <w:t>项目主要生产设备</w:t>
      </w:r>
      <w:bookmarkEnd w:id="263"/>
    </w:p>
    <w:p w14:paraId="2CF68F3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8"/>
        </w:rPr>
        <w:t>项目将现有的“年收集贮存9800吨危险废物项目”整体搬迁至本次新建的危险废物暂存库内，并将收集贮存能力提升至</w:t>
      </w:r>
      <w:r>
        <w:rPr>
          <w:rFonts w:hint="default" w:ascii="Times New Roman" w:hAnsi="Times New Roman" w:eastAsia="宋体" w:cs="Times New Roman"/>
          <w:sz w:val="24"/>
          <w:szCs w:val="28"/>
          <w:lang w:eastAsia="zh-CN"/>
        </w:rPr>
        <w:t>14400</w:t>
      </w:r>
      <w:r>
        <w:rPr>
          <w:rFonts w:hint="default" w:ascii="Times New Roman" w:hAnsi="Times New Roman" w:eastAsia="宋体" w:cs="Times New Roman"/>
          <w:sz w:val="24"/>
          <w:szCs w:val="28"/>
        </w:rPr>
        <w:t>t/a，虽贮存规模提升，但危险废物的收集、暂存所使用的生产设备</w:t>
      </w:r>
      <w:r>
        <w:rPr>
          <w:rFonts w:hint="default" w:ascii="Times New Roman" w:hAnsi="Times New Roman" w:eastAsia="宋体" w:cs="Times New Roman"/>
          <w:sz w:val="24"/>
          <w:szCs w:val="28"/>
          <w:lang w:val="en-US" w:eastAsia="zh-CN"/>
        </w:rPr>
        <w:t>直接利旧</w:t>
      </w:r>
      <w:r>
        <w:rPr>
          <w:rFonts w:hint="default" w:ascii="Times New Roman" w:hAnsi="Times New Roman" w:eastAsia="宋体" w:cs="Times New Roman"/>
          <w:sz w:val="24"/>
          <w:szCs w:val="28"/>
        </w:rPr>
        <w:t>与现有工程一致（详见章节3.3.5</w:t>
      </w:r>
      <w:r>
        <w:rPr>
          <w:rFonts w:hint="default" w:ascii="Times New Roman" w:hAnsi="Times New Roman" w:eastAsia="宋体" w:cs="Times New Roman"/>
          <w:kern w:val="0"/>
          <w:sz w:val="24"/>
        </w:rPr>
        <w:t>现有工程主要生产设备</w:t>
      </w:r>
      <w:r>
        <w:rPr>
          <w:rFonts w:hint="default" w:ascii="Times New Roman" w:hAnsi="Times New Roman" w:eastAsia="宋体" w:cs="Times New Roman"/>
          <w:sz w:val="24"/>
          <w:szCs w:val="28"/>
        </w:rPr>
        <w:t>），此部分不进行重复叙述。</w:t>
      </w:r>
    </w:p>
    <w:p w14:paraId="21EA078C">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项目扩建新增的废包装桶整形清洗翻新生产线主要设备见表4.4-1、废金属包装容器破碎清洗生产线主要生产设备见表4.4-2、废塑料包装物破碎清洗生产线主要设备见表4.4-3。</w:t>
      </w:r>
    </w:p>
    <w:p w14:paraId="71BB64EF">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表4.4-1  废包装桶整形清洗翻新生产线设备表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98"/>
        <w:gridCol w:w="1856"/>
        <w:gridCol w:w="2785"/>
        <w:gridCol w:w="1159"/>
        <w:gridCol w:w="557"/>
        <w:gridCol w:w="639"/>
        <w:gridCol w:w="642"/>
      </w:tblGrid>
      <w:tr w14:paraId="62EDD6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419" w:type="pct"/>
            <w:vAlign w:val="center"/>
          </w:tcPr>
          <w:p w14:paraId="436EFF97">
            <w:pPr>
              <w:pStyle w:val="60"/>
              <w:rPr>
                <w:rFonts w:hint="default" w:ascii="Times New Roman" w:hAnsi="Times New Roman" w:eastAsia="宋体" w:cs="Times New Roman"/>
                <w:b/>
                <w:sz w:val="21"/>
                <w:u w:val="single"/>
                <w:lang w:eastAsia="en-US"/>
              </w:rPr>
            </w:pPr>
            <w:r>
              <w:rPr>
                <w:rFonts w:hint="default" w:ascii="Times New Roman" w:hAnsi="Times New Roman" w:eastAsia="宋体" w:cs="Times New Roman"/>
                <w:b/>
                <w:sz w:val="21"/>
                <w:u w:val="single"/>
                <w:lang w:eastAsia="en-US"/>
              </w:rPr>
              <w:t>序号</w:t>
            </w:r>
          </w:p>
        </w:tc>
        <w:tc>
          <w:tcPr>
            <w:tcW w:w="1113" w:type="pct"/>
            <w:vAlign w:val="center"/>
          </w:tcPr>
          <w:p w14:paraId="1A1DC42F">
            <w:pPr>
              <w:pStyle w:val="60"/>
              <w:rPr>
                <w:rFonts w:hint="default" w:ascii="Times New Roman" w:hAnsi="Times New Roman" w:eastAsia="宋体" w:cs="Times New Roman"/>
                <w:b/>
                <w:sz w:val="21"/>
                <w:u w:val="single"/>
                <w:lang w:eastAsia="en-US"/>
              </w:rPr>
            </w:pPr>
            <w:r>
              <w:rPr>
                <w:rFonts w:hint="default" w:ascii="Times New Roman" w:hAnsi="Times New Roman" w:eastAsia="宋体" w:cs="Times New Roman"/>
                <w:b/>
                <w:sz w:val="21"/>
                <w:u w:val="single"/>
                <w:lang w:eastAsia="en-US"/>
              </w:rPr>
              <w:t>类别</w:t>
            </w:r>
          </w:p>
        </w:tc>
        <w:tc>
          <w:tcPr>
            <w:tcW w:w="1670" w:type="pct"/>
            <w:vAlign w:val="center"/>
          </w:tcPr>
          <w:p w14:paraId="0927D9B6">
            <w:pPr>
              <w:pStyle w:val="60"/>
              <w:rPr>
                <w:rFonts w:hint="default" w:ascii="Times New Roman" w:hAnsi="Times New Roman" w:eastAsia="宋体" w:cs="Times New Roman"/>
                <w:b/>
                <w:sz w:val="21"/>
                <w:u w:val="single"/>
                <w:lang w:eastAsia="en-US"/>
              </w:rPr>
            </w:pPr>
            <w:r>
              <w:rPr>
                <w:rFonts w:hint="default" w:ascii="Times New Roman" w:hAnsi="Times New Roman" w:eastAsia="宋体" w:cs="Times New Roman"/>
                <w:b/>
                <w:sz w:val="21"/>
                <w:u w:val="single"/>
                <w:lang w:eastAsia="en-US"/>
              </w:rPr>
              <w:t>设备名称</w:t>
            </w:r>
          </w:p>
        </w:tc>
        <w:tc>
          <w:tcPr>
            <w:tcW w:w="695" w:type="pct"/>
            <w:vAlign w:val="center"/>
          </w:tcPr>
          <w:p w14:paraId="4EF02F8A">
            <w:pPr>
              <w:pStyle w:val="60"/>
              <w:rPr>
                <w:rFonts w:hint="default" w:ascii="Times New Roman" w:hAnsi="Times New Roman" w:eastAsia="宋体" w:cs="Times New Roman"/>
                <w:b/>
                <w:sz w:val="21"/>
                <w:u w:val="single"/>
                <w:lang w:eastAsia="en-US"/>
              </w:rPr>
            </w:pPr>
            <w:r>
              <w:rPr>
                <w:rFonts w:hint="default" w:ascii="Times New Roman" w:hAnsi="Times New Roman" w:eastAsia="宋体" w:cs="Times New Roman"/>
                <w:b/>
                <w:sz w:val="21"/>
                <w:u w:val="single"/>
                <w:lang w:eastAsia="en-US"/>
              </w:rPr>
              <w:t>功能</w:t>
            </w:r>
          </w:p>
        </w:tc>
        <w:tc>
          <w:tcPr>
            <w:tcW w:w="334" w:type="pct"/>
            <w:vAlign w:val="center"/>
          </w:tcPr>
          <w:p w14:paraId="2112155C">
            <w:pPr>
              <w:pStyle w:val="60"/>
              <w:rPr>
                <w:rFonts w:hint="default" w:ascii="Times New Roman" w:hAnsi="Times New Roman" w:eastAsia="宋体" w:cs="Times New Roman"/>
                <w:b/>
                <w:sz w:val="21"/>
                <w:u w:val="single"/>
                <w:lang w:eastAsia="en-US"/>
              </w:rPr>
            </w:pPr>
            <w:r>
              <w:rPr>
                <w:rFonts w:hint="default" w:ascii="Times New Roman" w:hAnsi="Times New Roman" w:eastAsia="宋体" w:cs="Times New Roman"/>
                <w:b/>
                <w:sz w:val="21"/>
                <w:u w:val="single"/>
                <w:lang w:eastAsia="en-US"/>
              </w:rPr>
              <w:t>单位</w:t>
            </w:r>
          </w:p>
        </w:tc>
        <w:tc>
          <w:tcPr>
            <w:tcW w:w="383" w:type="pct"/>
            <w:vAlign w:val="center"/>
          </w:tcPr>
          <w:p w14:paraId="62157461">
            <w:pPr>
              <w:pStyle w:val="60"/>
              <w:rPr>
                <w:rFonts w:hint="default" w:ascii="Times New Roman" w:hAnsi="Times New Roman" w:eastAsia="宋体" w:cs="Times New Roman"/>
                <w:b/>
                <w:sz w:val="21"/>
                <w:u w:val="single"/>
                <w:lang w:eastAsia="en-US"/>
              </w:rPr>
            </w:pPr>
            <w:r>
              <w:rPr>
                <w:rFonts w:hint="default" w:ascii="Times New Roman" w:hAnsi="Times New Roman" w:eastAsia="宋体" w:cs="Times New Roman"/>
                <w:b/>
                <w:sz w:val="21"/>
                <w:u w:val="single"/>
                <w:lang w:eastAsia="en-US"/>
              </w:rPr>
              <w:t>数量</w:t>
            </w:r>
          </w:p>
        </w:tc>
        <w:tc>
          <w:tcPr>
            <w:tcW w:w="385" w:type="pct"/>
            <w:vAlign w:val="center"/>
          </w:tcPr>
          <w:p w14:paraId="70A4F84E">
            <w:pPr>
              <w:pStyle w:val="60"/>
              <w:rPr>
                <w:rFonts w:hint="default" w:ascii="Times New Roman" w:hAnsi="Times New Roman" w:eastAsia="宋体" w:cs="Times New Roman"/>
                <w:b/>
                <w:sz w:val="21"/>
                <w:u w:val="single"/>
                <w:lang w:eastAsia="en-US"/>
              </w:rPr>
            </w:pPr>
            <w:r>
              <w:rPr>
                <w:rFonts w:hint="default" w:ascii="Times New Roman" w:hAnsi="Times New Roman" w:eastAsia="宋体" w:cs="Times New Roman"/>
                <w:b/>
                <w:sz w:val="21"/>
                <w:u w:val="single"/>
                <w:lang w:eastAsia="en-US"/>
              </w:rPr>
              <w:t>备注</w:t>
            </w:r>
          </w:p>
        </w:tc>
      </w:tr>
      <w:tr w14:paraId="0CC305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419" w:type="pct"/>
            <w:vAlign w:val="center"/>
          </w:tcPr>
          <w:p w14:paraId="5B7F594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1113" w:type="pct"/>
            <w:vMerge w:val="restart"/>
            <w:vAlign w:val="center"/>
          </w:tcPr>
          <w:p w14:paraId="634494AE">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IBC吨桶自动清洗线系统</w:t>
            </w:r>
          </w:p>
        </w:tc>
        <w:tc>
          <w:tcPr>
            <w:tcW w:w="3467" w:type="pct"/>
            <w:gridSpan w:val="5"/>
            <w:vAlign w:val="center"/>
          </w:tcPr>
          <w:p w14:paraId="596A22EC">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1套IBC吨桶自动清洗线系统</w:t>
            </w:r>
          </w:p>
        </w:tc>
      </w:tr>
      <w:tr w14:paraId="408C56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419" w:type="pct"/>
            <w:vAlign w:val="center"/>
          </w:tcPr>
          <w:p w14:paraId="329B017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w:t>
            </w:r>
          </w:p>
        </w:tc>
        <w:tc>
          <w:tcPr>
            <w:tcW w:w="1113" w:type="pct"/>
            <w:vMerge w:val="continue"/>
            <w:vAlign w:val="center"/>
          </w:tcPr>
          <w:p w14:paraId="632461FC">
            <w:pPr>
              <w:autoSpaceDE w:val="0"/>
              <w:autoSpaceDN w:val="0"/>
              <w:jc w:val="center"/>
              <w:rPr>
                <w:rFonts w:hint="default" w:ascii="Times New Roman" w:hAnsi="Times New Roman" w:eastAsia="宋体" w:cs="Times New Roman"/>
                <w:kern w:val="0"/>
                <w:sz w:val="2"/>
                <w:szCs w:val="2"/>
                <w:u w:val="single"/>
                <w:lang w:eastAsia="en-US"/>
              </w:rPr>
            </w:pPr>
          </w:p>
        </w:tc>
        <w:tc>
          <w:tcPr>
            <w:tcW w:w="1670" w:type="pct"/>
            <w:vAlign w:val="center"/>
          </w:tcPr>
          <w:p w14:paraId="6A814E8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4KW水环真空抽残机</w:t>
            </w:r>
          </w:p>
        </w:tc>
        <w:tc>
          <w:tcPr>
            <w:tcW w:w="695" w:type="pct"/>
            <w:vAlign w:val="center"/>
          </w:tcPr>
          <w:p w14:paraId="1622E8B9">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残液收集</w:t>
            </w:r>
          </w:p>
        </w:tc>
        <w:tc>
          <w:tcPr>
            <w:tcW w:w="334" w:type="pct"/>
            <w:vAlign w:val="center"/>
          </w:tcPr>
          <w:p w14:paraId="649FE1A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台</w:t>
            </w:r>
          </w:p>
        </w:tc>
        <w:tc>
          <w:tcPr>
            <w:tcW w:w="383" w:type="pct"/>
            <w:vAlign w:val="center"/>
          </w:tcPr>
          <w:p w14:paraId="58C391AB">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w:t>
            </w:r>
          </w:p>
        </w:tc>
        <w:tc>
          <w:tcPr>
            <w:tcW w:w="385" w:type="pct"/>
            <w:vAlign w:val="center"/>
          </w:tcPr>
          <w:p w14:paraId="5F5FA37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r w14:paraId="5F8DE4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419" w:type="pct"/>
            <w:vAlign w:val="center"/>
          </w:tcPr>
          <w:p w14:paraId="0A14627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3</w:t>
            </w:r>
          </w:p>
        </w:tc>
        <w:tc>
          <w:tcPr>
            <w:tcW w:w="1113" w:type="pct"/>
            <w:vMerge w:val="continue"/>
            <w:vAlign w:val="center"/>
          </w:tcPr>
          <w:p w14:paraId="77EFA640">
            <w:pPr>
              <w:autoSpaceDE w:val="0"/>
              <w:autoSpaceDN w:val="0"/>
              <w:jc w:val="center"/>
              <w:rPr>
                <w:rFonts w:hint="default" w:ascii="Times New Roman" w:hAnsi="Times New Roman" w:eastAsia="宋体" w:cs="Times New Roman"/>
                <w:kern w:val="0"/>
                <w:sz w:val="2"/>
                <w:szCs w:val="2"/>
                <w:u w:val="single"/>
                <w:lang w:eastAsia="en-US"/>
              </w:rPr>
            </w:pPr>
          </w:p>
        </w:tc>
        <w:tc>
          <w:tcPr>
            <w:tcW w:w="1670" w:type="pct"/>
            <w:vAlign w:val="center"/>
          </w:tcPr>
          <w:p w14:paraId="03285299">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内清洗液灌入和抽出系统</w:t>
            </w:r>
          </w:p>
        </w:tc>
        <w:tc>
          <w:tcPr>
            <w:tcW w:w="695" w:type="pct"/>
            <w:vAlign w:val="center"/>
          </w:tcPr>
          <w:p w14:paraId="4BBEDF4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清洗液抽罐</w:t>
            </w:r>
          </w:p>
        </w:tc>
        <w:tc>
          <w:tcPr>
            <w:tcW w:w="334" w:type="pct"/>
            <w:vAlign w:val="center"/>
          </w:tcPr>
          <w:p w14:paraId="7DD0D9D3">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套</w:t>
            </w:r>
          </w:p>
        </w:tc>
        <w:tc>
          <w:tcPr>
            <w:tcW w:w="383" w:type="pct"/>
            <w:vAlign w:val="center"/>
          </w:tcPr>
          <w:p w14:paraId="1B0BA42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385" w:type="pct"/>
            <w:vAlign w:val="center"/>
          </w:tcPr>
          <w:p w14:paraId="5ABE3A98">
            <w:pPr>
              <w:autoSpaceDE w:val="0"/>
              <w:autoSpaceDN w:val="0"/>
              <w:jc w:val="center"/>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r w14:paraId="4F6C82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419" w:type="pct"/>
            <w:vAlign w:val="center"/>
          </w:tcPr>
          <w:p w14:paraId="3D92A19C">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4</w:t>
            </w:r>
          </w:p>
        </w:tc>
        <w:tc>
          <w:tcPr>
            <w:tcW w:w="1113" w:type="pct"/>
            <w:vMerge w:val="continue"/>
            <w:vAlign w:val="center"/>
          </w:tcPr>
          <w:p w14:paraId="5A791054">
            <w:pPr>
              <w:autoSpaceDE w:val="0"/>
              <w:autoSpaceDN w:val="0"/>
              <w:jc w:val="center"/>
              <w:rPr>
                <w:rFonts w:hint="default" w:ascii="Times New Roman" w:hAnsi="Times New Roman" w:eastAsia="宋体" w:cs="Times New Roman"/>
                <w:kern w:val="0"/>
                <w:sz w:val="2"/>
                <w:szCs w:val="2"/>
                <w:u w:val="single"/>
                <w:lang w:eastAsia="en-US"/>
              </w:rPr>
            </w:pPr>
          </w:p>
        </w:tc>
        <w:tc>
          <w:tcPr>
            <w:tcW w:w="1670" w:type="pct"/>
            <w:vAlign w:val="center"/>
          </w:tcPr>
          <w:p w14:paraId="30CA6293">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自动内外冲（刷）洗机</w:t>
            </w:r>
          </w:p>
        </w:tc>
        <w:tc>
          <w:tcPr>
            <w:tcW w:w="695" w:type="pct"/>
            <w:vAlign w:val="center"/>
          </w:tcPr>
          <w:p w14:paraId="2BD0C859">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内外清洗</w:t>
            </w:r>
          </w:p>
        </w:tc>
        <w:tc>
          <w:tcPr>
            <w:tcW w:w="334" w:type="pct"/>
            <w:vAlign w:val="center"/>
          </w:tcPr>
          <w:p w14:paraId="03D439E4">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台</w:t>
            </w:r>
          </w:p>
        </w:tc>
        <w:tc>
          <w:tcPr>
            <w:tcW w:w="383" w:type="pct"/>
            <w:vAlign w:val="center"/>
          </w:tcPr>
          <w:p w14:paraId="3F3A850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385" w:type="pct"/>
            <w:vAlign w:val="center"/>
          </w:tcPr>
          <w:p w14:paraId="463029BB">
            <w:pPr>
              <w:autoSpaceDE w:val="0"/>
              <w:autoSpaceDN w:val="0"/>
              <w:jc w:val="center"/>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r w14:paraId="340188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2" w:hRule="atLeast"/>
        </w:trPr>
        <w:tc>
          <w:tcPr>
            <w:tcW w:w="419" w:type="pct"/>
            <w:vAlign w:val="center"/>
          </w:tcPr>
          <w:p w14:paraId="233A82C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5</w:t>
            </w:r>
          </w:p>
        </w:tc>
        <w:tc>
          <w:tcPr>
            <w:tcW w:w="1113" w:type="pct"/>
            <w:vMerge w:val="continue"/>
            <w:vAlign w:val="center"/>
          </w:tcPr>
          <w:p w14:paraId="60307F5E">
            <w:pPr>
              <w:autoSpaceDE w:val="0"/>
              <w:autoSpaceDN w:val="0"/>
              <w:jc w:val="center"/>
              <w:rPr>
                <w:rFonts w:hint="default" w:ascii="Times New Roman" w:hAnsi="Times New Roman" w:eastAsia="宋体" w:cs="Times New Roman"/>
                <w:kern w:val="0"/>
                <w:sz w:val="2"/>
                <w:szCs w:val="2"/>
                <w:u w:val="single"/>
                <w:lang w:eastAsia="en-US"/>
              </w:rPr>
            </w:pPr>
          </w:p>
        </w:tc>
        <w:tc>
          <w:tcPr>
            <w:tcW w:w="1670" w:type="pct"/>
            <w:vAlign w:val="center"/>
          </w:tcPr>
          <w:p w14:paraId="0149674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主动辊子输送</w:t>
            </w:r>
          </w:p>
        </w:tc>
        <w:tc>
          <w:tcPr>
            <w:tcW w:w="695" w:type="pct"/>
            <w:vAlign w:val="center"/>
          </w:tcPr>
          <w:p w14:paraId="2052881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输送</w:t>
            </w:r>
          </w:p>
        </w:tc>
        <w:tc>
          <w:tcPr>
            <w:tcW w:w="334" w:type="pct"/>
            <w:vAlign w:val="center"/>
          </w:tcPr>
          <w:p w14:paraId="703DDC16">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台</w:t>
            </w:r>
          </w:p>
        </w:tc>
        <w:tc>
          <w:tcPr>
            <w:tcW w:w="383" w:type="pct"/>
            <w:vAlign w:val="center"/>
          </w:tcPr>
          <w:p w14:paraId="20CD8C53">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385" w:type="pct"/>
            <w:vAlign w:val="center"/>
          </w:tcPr>
          <w:p w14:paraId="6C22B02C">
            <w:pPr>
              <w:autoSpaceDE w:val="0"/>
              <w:autoSpaceDN w:val="0"/>
              <w:jc w:val="center"/>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r w14:paraId="4C5206A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419" w:type="pct"/>
            <w:vAlign w:val="center"/>
          </w:tcPr>
          <w:p w14:paraId="5EB4D279">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6</w:t>
            </w:r>
          </w:p>
        </w:tc>
        <w:tc>
          <w:tcPr>
            <w:tcW w:w="1113" w:type="pct"/>
            <w:vMerge w:val="restart"/>
            <w:vAlign w:val="center"/>
          </w:tcPr>
          <w:p w14:paraId="5F2F5071">
            <w:pPr>
              <w:pStyle w:val="60"/>
              <w:rPr>
                <w:rFonts w:hint="default" w:ascii="Times New Roman" w:hAnsi="Times New Roman" w:eastAsia="宋体" w:cs="Times New Roman"/>
                <w:u w:val="single"/>
                <w:lang w:eastAsia="zh-CN"/>
              </w:rPr>
            </w:pPr>
            <w:r>
              <w:rPr>
                <w:rFonts w:hint="default" w:ascii="Times New Roman" w:hAnsi="Times New Roman" w:eastAsia="宋体" w:cs="Times New Roman"/>
                <w:u w:val="single"/>
                <w:lang w:eastAsia="zh-CN"/>
              </w:rPr>
              <w:t>200L铁桶自动清洗线系统</w:t>
            </w:r>
          </w:p>
        </w:tc>
        <w:tc>
          <w:tcPr>
            <w:tcW w:w="1670" w:type="pct"/>
            <w:vAlign w:val="center"/>
          </w:tcPr>
          <w:p w14:paraId="53D6B80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4KW水环真空抽残机</w:t>
            </w:r>
          </w:p>
        </w:tc>
        <w:tc>
          <w:tcPr>
            <w:tcW w:w="695" w:type="pct"/>
            <w:vAlign w:val="center"/>
          </w:tcPr>
          <w:p w14:paraId="55BCA814">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残液收集</w:t>
            </w:r>
          </w:p>
        </w:tc>
        <w:tc>
          <w:tcPr>
            <w:tcW w:w="334" w:type="pct"/>
            <w:vAlign w:val="center"/>
          </w:tcPr>
          <w:p w14:paraId="17A3F6A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台</w:t>
            </w:r>
          </w:p>
        </w:tc>
        <w:tc>
          <w:tcPr>
            <w:tcW w:w="383" w:type="pct"/>
            <w:vAlign w:val="center"/>
          </w:tcPr>
          <w:p w14:paraId="474C5D4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w:t>
            </w:r>
          </w:p>
        </w:tc>
        <w:tc>
          <w:tcPr>
            <w:tcW w:w="385" w:type="pct"/>
            <w:vAlign w:val="center"/>
          </w:tcPr>
          <w:p w14:paraId="366C0D7E">
            <w:pPr>
              <w:autoSpaceDE w:val="0"/>
              <w:autoSpaceDN w:val="0"/>
              <w:jc w:val="center"/>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r w14:paraId="7BC4970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419" w:type="pct"/>
            <w:vAlign w:val="center"/>
          </w:tcPr>
          <w:p w14:paraId="28249250">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7</w:t>
            </w:r>
          </w:p>
        </w:tc>
        <w:tc>
          <w:tcPr>
            <w:tcW w:w="1113" w:type="pct"/>
            <w:vMerge w:val="continue"/>
            <w:vAlign w:val="center"/>
          </w:tcPr>
          <w:p w14:paraId="25C1E096">
            <w:pPr>
              <w:autoSpaceDE w:val="0"/>
              <w:autoSpaceDN w:val="0"/>
              <w:jc w:val="center"/>
              <w:rPr>
                <w:rFonts w:hint="default" w:ascii="Times New Roman" w:hAnsi="Times New Roman" w:eastAsia="宋体" w:cs="Times New Roman"/>
                <w:kern w:val="0"/>
                <w:sz w:val="2"/>
                <w:szCs w:val="2"/>
                <w:u w:val="single"/>
                <w:lang w:eastAsia="en-US"/>
              </w:rPr>
            </w:pPr>
          </w:p>
        </w:tc>
        <w:tc>
          <w:tcPr>
            <w:tcW w:w="1670" w:type="pct"/>
            <w:vAlign w:val="center"/>
          </w:tcPr>
          <w:p w14:paraId="2245CF2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人工踢标辊子机</w:t>
            </w:r>
          </w:p>
        </w:tc>
        <w:tc>
          <w:tcPr>
            <w:tcW w:w="695" w:type="pct"/>
            <w:vAlign w:val="center"/>
          </w:tcPr>
          <w:p w14:paraId="5814D757">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踢标</w:t>
            </w:r>
          </w:p>
        </w:tc>
        <w:tc>
          <w:tcPr>
            <w:tcW w:w="334" w:type="pct"/>
            <w:vAlign w:val="center"/>
          </w:tcPr>
          <w:p w14:paraId="056A5AF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台</w:t>
            </w:r>
          </w:p>
        </w:tc>
        <w:tc>
          <w:tcPr>
            <w:tcW w:w="383" w:type="pct"/>
            <w:vAlign w:val="center"/>
          </w:tcPr>
          <w:p w14:paraId="2B9B99EB">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385" w:type="pct"/>
            <w:vAlign w:val="center"/>
          </w:tcPr>
          <w:p w14:paraId="511E7463">
            <w:pPr>
              <w:autoSpaceDE w:val="0"/>
              <w:autoSpaceDN w:val="0"/>
              <w:jc w:val="center"/>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r w14:paraId="1E2469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419" w:type="pct"/>
            <w:vAlign w:val="center"/>
          </w:tcPr>
          <w:p w14:paraId="6FE9469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8</w:t>
            </w:r>
          </w:p>
        </w:tc>
        <w:tc>
          <w:tcPr>
            <w:tcW w:w="1113" w:type="pct"/>
            <w:vMerge w:val="continue"/>
            <w:vAlign w:val="center"/>
          </w:tcPr>
          <w:p w14:paraId="4EB754DD">
            <w:pPr>
              <w:autoSpaceDE w:val="0"/>
              <w:autoSpaceDN w:val="0"/>
              <w:jc w:val="center"/>
              <w:rPr>
                <w:rFonts w:hint="default" w:ascii="Times New Roman" w:hAnsi="Times New Roman" w:eastAsia="宋体" w:cs="Times New Roman"/>
                <w:kern w:val="0"/>
                <w:sz w:val="2"/>
                <w:szCs w:val="2"/>
                <w:u w:val="single"/>
                <w:lang w:eastAsia="en-US"/>
              </w:rPr>
            </w:pPr>
          </w:p>
        </w:tc>
        <w:tc>
          <w:tcPr>
            <w:tcW w:w="1670" w:type="pct"/>
            <w:vAlign w:val="center"/>
          </w:tcPr>
          <w:p w14:paraId="0526AA75">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内清洗液灌入和抽出系统</w:t>
            </w:r>
          </w:p>
        </w:tc>
        <w:tc>
          <w:tcPr>
            <w:tcW w:w="695" w:type="pct"/>
            <w:vAlign w:val="center"/>
          </w:tcPr>
          <w:p w14:paraId="01F0E50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清洗液抽罐</w:t>
            </w:r>
          </w:p>
        </w:tc>
        <w:tc>
          <w:tcPr>
            <w:tcW w:w="334" w:type="pct"/>
            <w:vAlign w:val="center"/>
          </w:tcPr>
          <w:p w14:paraId="590E299B">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套</w:t>
            </w:r>
          </w:p>
        </w:tc>
        <w:tc>
          <w:tcPr>
            <w:tcW w:w="383" w:type="pct"/>
            <w:vAlign w:val="center"/>
          </w:tcPr>
          <w:p w14:paraId="178AF2F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385" w:type="pct"/>
            <w:vAlign w:val="center"/>
          </w:tcPr>
          <w:p w14:paraId="600935EF">
            <w:pPr>
              <w:autoSpaceDE w:val="0"/>
              <w:autoSpaceDN w:val="0"/>
              <w:jc w:val="center"/>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r w14:paraId="393A59F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50" w:hRule="atLeast"/>
        </w:trPr>
        <w:tc>
          <w:tcPr>
            <w:tcW w:w="419" w:type="pct"/>
            <w:vAlign w:val="center"/>
          </w:tcPr>
          <w:p w14:paraId="4800DC6B">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w:t>
            </w:r>
          </w:p>
        </w:tc>
        <w:tc>
          <w:tcPr>
            <w:tcW w:w="1113" w:type="pct"/>
            <w:vMerge w:val="continue"/>
            <w:vAlign w:val="center"/>
          </w:tcPr>
          <w:p w14:paraId="4F6DDEB2">
            <w:pPr>
              <w:autoSpaceDE w:val="0"/>
              <w:autoSpaceDN w:val="0"/>
              <w:jc w:val="center"/>
              <w:rPr>
                <w:rFonts w:hint="default" w:ascii="Times New Roman" w:hAnsi="Times New Roman" w:eastAsia="宋体" w:cs="Times New Roman"/>
                <w:kern w:val="0"/>
                <w:sz w:val="2"/>
                <w:szCs w:val="2"/>
                <w:u w:val="single"/>
                <w:lang w:eastAsia="en-US"/>
              </w:rPr>
            </w:pPr>
          </w:p>
        </w:tc>
        <w:tc>
          <w:tcPr>
            <w:tcW w:w="1670" w:type="pct"/>
            <w:vAlign w:val="center"/>
          </w:tcPr>
          <w:p w14:paraId="1ABD705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桶外清洗机</w:t>
            </w:r>
          </w:p>
        </w:tc>
        <w:tc>
          <w:tcPr>
            <w:tcW w:w="695" w:type="pct"/>
            <w:vAlign w:val="center"/>
          </w:tcPr>
          <w:p w14:paraId="3770A16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外部清洗</w:t>
            </w:r>
          </w:p>
        </w:tc>
        <w:tc>
          <w:tcPr>
            <w:tcW w:w="334" w:type="pct"/>
            <w:vAlign w:val="center"/>
          </w:tcPr>
          <w:p w14:paraId="4165885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台</w:t>
            </w:r>
          </w:p>
        </w:tc>
        <w:tc>
          <w:tcPr>
            <w:tcW w:w="383" w:type="pct"/>
            <w:vAlign w:val="center"/>
          </w:tcPr>
          <w:p w14:paraId="1D691457">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385" w:type="pct"/>
            <w:vAlign w:val="center"/>
          </w:tcPr>
          <w:p w14:paraId="4F688F60">
            <w:pPr>
              <w:autoSpaceDE w:val="0"/>
              <w:autoSpaceDN w:val="0"/>
              <w:jc w:val="center"/>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r w14:paraId="0E0F63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419" w:type="pct"/>
            <w:vAlign w:val="center"/>
          </w:tcPr>
          <w:p w14:paraId="21351B9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w:t>
            </w:r>
          </w:p>
        </w:tc>
        <w:tc>
          <w:tcPr>
            <w:tcW w:w="1113" w:type="pct"/>
            <w:vMerge w:val="continue"/>
            <w:vAlign w:val="center"/>
          </w:tcPr>
          <w:p w14:paraId="37F94E37">
            <w:pPr>
              <w:autoSpaceDE w:val="0"/>
              <w:autoSpaceDN w:val="0"/>
              <w:jc w:val="center"/>
              <w:rPr>
                <w:rFonts w:hint="default" w:ascii="Times New Roman" w:hAnsi="Times New Roman" w:eastAsia="宋体" w:cs="Times New Roman"/>
                <w:kern w:val="0"/>
                <w:sz w:val="2"/>
                <w:szCs w:val="2"/>
                <w:u w:val="single"/>
                <w:lang w:eastAsia="en-US"/>
              </w:rPr>
            </w:pPr>
          </w:p>
        </w:tc>
        <w:tc>
          <w:tcPr>
            <w:tcW w:w="1670" w:type="pct"/>
            <w:vAlign w:val="center"/>
          </w:tcPr>
          <w:p w14:paraId="478317A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桶内清洗机</w:t>
            </w:r>
          </w:p>
        </w:tc>
        <w:tc>
          <w:tcPr>
            <w:tcW w:w="695" w:type="pct"/>
            <w:vAlign w:val="center"/>
          </w:tcPr>
          <w:p w14:paraId="6C1293A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内部清洗</w:t>
            </w:r>
          </w:p>
        </w:tc>
        <w:tc>
          <w:tcPr>
            <w:tcW w:w="334" w:type="pct"/>
            <w:vAlign w:val="center"/>
          </w:tcPr>
          <w:p w14:paraId="78D61282">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台</w:t>
            </w:r>
          </w:p>
        </w:tc>
        <w:tc>
          <w:tcPr>
            <w:tcW w:w="383" w:type="pct"/>
            <w:vAlign w:val="center"/>
          </w:tcPr>
          <w:p w14:paraId="0F473E9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w:t>
            </w:r>
          </w:p>
        </w:tc>
        <w:tc>
          <w:tcPr>
            <w:tcW w:w="385" w:type="pct"/>
            <w:vAlign w:val="center"/>
          </w:tcPr>
          <w:p w14:paraId="4ED543E9">
            <w:pPr>
              <w:autoSpaceDE w:val="0"/>
              <w:autoSpaceDN w:val="0"/>
              <w:jc w:val="center"/>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r w14:paraId="70F44E8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9" w:hRule="atLeast"/>
        </w:trPr>
        <w:tc>
          <w:tcPr>
            <w:tcW w:w="419" w:type="pct"/>
            <w:vAlign w:val="center"/>
          </w:tcPr>
          <w:p w14:paraId="088391C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11</w:t>
            </w:r>
          </w:p>
        </w:tc>
        <w:tc>
          <w:tcPr>
            <w:tcW w:w="1113" w:type="pct"/>
            <w:vMerge w:val="continue"/>
            <w:vAlign w:val="center"/>
          </w:tcPr>
          <w:p w14:paraId="4555BE5F">
            <w:pPr>
              <w:autoSpaceDE w:val="0"/>
              <w:autoSpaceDN w:val="0"/>
              <w:jc w:val="center"/>
              <w:rPr>
                <w:rFonts w:hint="default" w:ascii="Times New Roman" w:hAnsi="Times New Roman" w:eastAsia="宋体" w:cs="Times New Roman"/>
                <w:kern w:val="0"/>
                <w:sz w:val="2"/>
                <w:szCs w:val="2"/>
                <w:u w:val="single"/>
                <w:lang w:eastAsia="en-US"/>
              </w:rPr>
            </w:pPr>
          </w:p>
        </w:tc>
        <w:tc>
          <w:tcPr>
            <w:tcW w:w="1670" w:type="pct"/>
            <w:vAlign w:val="center"/>
          </w:tcPr>
          <w:p w14:paraId="4F514E1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主动辊子输送</w:t>
            </w:r>
          </w:p>
        </w:tc>
        <w:tc>
          <w:tcPr>
            <w:tcW w:w="695" w:type="pct"/>
            <w:vAlign w:val="center"/>
          </w:tcPr>
          <w:p w14:paraId="217D6AE3">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输送</w:t>
            </w:r>
          </w:p>
        </w:tc>
        <w:tc>
          <w:tcPr>
            <w:tcW w:w="334" w:type="pct"/>
            <w:vAlign w:val="center"/>
          </w:tcPr>
          <w:p w14:paraId="3BD643B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台</w:t>
            </w:r>
          </w:p>
        </w:tc>
        <w:tc>
          <w:tcPr>
            <w:tcW w:w="383" w:type="pct"/>
            <w:vAlign w:val="center"/>
          </w:tcPr>
          <w:p w14:paraId="0B948E2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385" w:type="pct"/>
            <w:vAlign w:val="center"/>
          </w:tcPr>
          <w:p w14:paraId="64F1F83B">
            <w:pPr>
              <w:autoSpaceDE w:val="0"/>
              <w:autoSpaceDN w:val="0"/>
              <w:jc w:val="center"/>
              <w:rPr>
                <w:rFonts w:hint="default" w:ascii="Times New Roman" w:hAnsi="Times New Roman" w:eastAsia="宋体" w:cs="Times New Roman"/>
                <w:sz w:val="21"/>
                <w:u w:val="single"/>
                <w:lang w:eastAsia="en-US"/>
              </w:rPr>
            </w:pPr>
            <w:r>
              <w:rPr>
                <w:rFonts w:hint="default" w:ascii="Times New Roman" w:hAnsi="Times New Roman" w:eastAsia="宋体" w:cs="Times New Roman"/>
                <w:u w:val="single"/>
                <w:lang w:val="en-US" w:eastAsia="zh-CN"/>
              </w:rPr>
              <w:t>新购</w:t>
            </w:r>
          </w:p>
        </w:tc>
      </w:tr>
    </w:tbl>
    <w:p w14:paraId="7EF5328E">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表4.4-2  废金属包装容器破碎清洗生产线设备表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80"/>
        <w:gridCol w:w="1732"/>
        <w:gridCol w:w="2489"/>
        <w:gridCol w:w="723"/>
        <w:gridCol w:w="1449"/>
        <w:gridCol w:w="1249"/>
      </w:tblGrid>
      <w:tr w14:paraId="0A425C5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6F607A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序号</w:t>
            </w:r>
          </w:p>
        </w:tc>
        <w:tc>
          <w:tcPr>
            <w:tcW w:w="1016" w:type="pct"/>
            <w:shd w:val="clear" w:color="auto" w:fill="auto"/>
            <w:vAlign w:val="center"/>
          </w:tcPr>
          <w:p w14:paraId="511C86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名称</w:t>
            </w:r>
          </w:p>
        </w:tc>
        <w:tc>
          <w:tcPr>
            <w:tcW w:w="1459" w:type="pct"/>
            <w:shd w:val="clear" w:color="auto" w:fill="auto"/>
            <w:vAlign w:val="center"/>
          </w:tcPr>
          <w:p w14:paraId="4A6424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型号</w:t>
            </w:r>
          </w:p>
        </w:tc>
        <w:tc>
          <w:tcPr>
            <w:tcW w:w="424" w:type="pct"/>
            <w:shd w:val="clear" w:color="auto" w:fill="auto"/>
            <w:vAlign w:val="center"/>
          </w:tcPr>
          <w:p w14:paraId="21C72D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数量</w:t>
            </w:r>
          </w:p>
        </w:tc>
        <w:tc>
          <w:tcPr>
            <w:tcW w:w="1582" w:type="pct"/>
            <w:gridSpan w:val="2"/>
            <w:shd w:val="clear" w:color="auto" w:fill="auto"/>
            <w:vAlign w:val="center"/>
          </w:tcPr>
          <w:p w14:paraId="51A9744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备注</w:t>
            </w:r>
          </w:p>
        </w:tc>
      </w:tr>
      <w:tr w14:paraId="0980997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21D49D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1016" w:type="pct"/>
            <w:shd w:val="clear" w:color="auto" w:fill="auto"/>
            <w:vAlign w:val="center"/>
          </w:tcPr>
          <w:p w14:paraId="04A841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金属输送机</w:t>
            </w:r>
          </w:p>
        </w:tc>
        <w:tc>
          <w:tcPr>
            <w:tcW w:w="1459" w:type="pct"/>
            <w:shd w:val="clear" w:color="auto" w:fill="auto"/>
            <w:vAlign w:val="center"/>
          </w:tcPr>
          <w:p w14:paraId="643E1C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GWPVI-1010</w:t>
            </w:r>
          </w:p>
        </w:tc>
        <w:tc>
          <w:tcPr>
            <w:tcW w:w="424" w:type="pct"/>
            <w:shd w:val="clear" w:color="auto" w:fill="auto"/>
            <w:vAlign w:val="center"/>
          </w:tcPr>
          <w:p w14:paraId="3A7195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10FFDF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kern w:val="0"/>
                <w:szCs w:val="21"/>
                <w:u w:val="single"/>
                <w:lang w:bidi="ar"/>
              </w:rPr>
              <w:t>重型链板机</w:t>
            </w:r>
          </w:p>
          <w:p w14:paraId="62552E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变频控制</w:t>
            </w:r>
          </w:p>
        </w:tc>
        <w:tc>
          <w:tcPr>
            <w:tcW w:w="732" w:type="pct"/>
            <w:tcBorders>
              <w:left w:val="single" w:color="auto" w:sz="4" w:space="0"/>
            </w:tcBorders>
            <w:shd w:val="clear" w:color="auto" w:fill="auto"/>
            <w:vAlign w:val="center"/>
          </w:tcPr>
          <w:p w14:paraId="29201F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5B3299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4" w:hRule="atLeast"/>
        </w:trPr>
        <w:tc>
          <w:tcPr>
            <w:tcW w:w="516" w:type="pct"/>
            <w:shd w:val="clear" w:color="auto" w:fill="auto"/>
            <w:vAlign w:val="center"/>
          </w:tcPr>
          <w:p w14:paraId="0F8E5A1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2</w:t>
            </w:r>
          </w:p>
        </w:tc>
        <w:tc>
          <w:tcPr>
            <w:tcW w:w="1016" w:type="pct"/>
            <w:shd w:val="clear" w:color="auto" w:fill="auto"/>
            <w:vAlign w:val="center"/>
          </w:tcPr>
          <w:p w14:paraId="58D1E7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四轴撕碎机</w:t>
            </w:r>
          </w:p>
        </w:tc>
        <w:tc>
          <w:tcPr>
            <w:tcW w:w="1459" w:type="pct"/>
            <w:shd w:val="clear" w:color="auto" w:fill="auto"/>
            <w:vAlign w:val="center"/>
          </w:tcPr>
          <w:p w14:paraId="4CD4BD8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GWSSD-1312</w:t>
            </w:r>
          </w:p>
        </w:tc>
        <w:tc>
          <w:tcPr>
            <w:tcW w:w="424" w:type="pct"/>
            <w:shd w:val="clear" w:color="auto" w:fill="auto"/>
            <w:vAlign w:val="center"/>
          </w:tcPr>
          <w:p w14:paraId="7391D3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2F2826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重型四轴带压料</w:t>
            </w:r>
          </w:p>
        </w:tc>
        <w:tc>
          <w:tcPr>
            <w:tcW w:w="732" w:type="pct"/>
            <w:tcBorders>
              <w:left w:val="single" w:color="auto" w:sz="4" w:space="0"/>
            </w:tcBorders>
            <w:shd w:val="clear" w:color="auto" w:fill="auto"/>
            <w:vAlign w:val="center"/>
          </w:tcPr>
          <w:p w14:paraId="3F8DC8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6627C6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157813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3</w:t>
            </w:r>
          </w:p>
        </w:tc>
        <w:tc>
          <w:tcPr>
            <w:tcW w:w="1016" w:type="pct"/>
            <w:shd w:val="clear" w:color="auto" w:fill="auto"/>
            <w:vAlign w:val="center"/>
          </w:tcPr>
          <w:p w14:paraId="512311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链板输送机</w:t>
            </w:r>
          </w:p>
        </w:tc>
        <w:tc>
          <w:tcPr>
            <w:tcW w:w="1459" w:type="pct"/>
            <w:shd w:val="clear" w:color="auto" w:fill="auto"/>
            <w:vAlign w:val="center"/>
          </w:tcPr>
          <w:p w14:paraId="056EFB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GWPVI-7050</w:t>
            </w:r>
          </w:p>
        </w:tc>
        <w:tc>
          <w:tcPr>
            <w:tcW w:w="424" w:type="pct"/>
            <w:shd w:val="clear" w:color="auto" w:fill="auto"/>
            <w:vAlign w:val="center"/>
          </w:tcPr>
          <w:p w14:paraId="3ABE4A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022B9C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32" w:type="pct"/>
            <w:tcBorders>
              <w:left w:val="single" w:color="auto" w:sz="4" w:space="0"/>
            </w:tcBorders>
            <w:shd w:val="clear" w:color="auto" w:fill="auto"/>
            <w:vAlign w:val="center"/>
          </w:tcPr>
          <w:p w14:paraId="3D601BF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0557ED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53D379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4</w:t>
            </w:r>
          </w:p>
        </w:tc>
        <w:tc>
          <w:tcPr>
            <w:tcW w:w="1016" w:type="pct"/>
            <w:shd w:val="clear" w:color="auto" w:fill="auto"/>
            <w:vAlign w:val="center"/>
          </w:tcPr>
          <w:p w14:paraId="330D23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磁选分离机</w:t>
            </w:r>
          </w:p>
        </w:tc>
        <w:tc>
          <w:tcPr>
            <w:tcW w:w="1459" w:type="pct"/>
            <w:shd w:val="clear" w:color="auto" w:fill="auto"/>
            <w:vAlign w:val="center"/>
          </w:tcPr>
          <w:p w14:paraId="7B5910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GWFLG-8070</w:t>
            </w:r>
          </w:p>
        </w:tc>
        <w:tc>
          <w:tcPr>
            <w:tcW w:w="424" w:type="pct"/>
            <w:shd w:val="clear" w:color="auto" w:fill="auto"/>
            <w:vAlign w:val="center"/>
          </w:tcPr>
          <w:p w14:paraId="639EAA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1966B3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永磁</w:t>
            </w:r>
          </w:p>
        </w:tc>
        <w:tc>
          <w:tcPr>
            <w:tcW w:w="732" w:type="pct"/>
            <w:tcBorders>
              <w:left w:val="single" w:color="auto" w:sz="4" w:space="0"/>
            </w:tcBorders>
            <w:shd w:val="clear" w:color="auto" w:fill="auto"/>
            <w:vAlign w:val="center"/>
          </w:tcPr>
          <w:p w14:paraId="070D84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0F37196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335900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5</w:t>
            </w:r>
          </w:p>
        </w:tc>
        <w:tc>
          <w:tcPr>
            <w:tcW w:w="1016" w:type="pct"/>
            <w:shd w:val="clear" w:color="auto" w:fill="auto"/>
            <w:vAlign w:val="center"/>
          </w:tcPr>
          <w:p w14:paraId="1B39882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排渣输送机</w:t>
            </w:r>
          </w:p>
        </w:tc>
        <w:tc>
          <w:tcPr>
            <w:tcW w:w="1459" w:type="pct"/>
            <w:shd w:val="clear" w:color="auto" w:fill="auto"/>
            <w:vAlign w:val="center"/>
          </w:tcPr>
          <w:p w14:paraId="2933A0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GWBCF-6080</w:t>
            </w:r>
          </w:p>
        </w:tc>
        <w:tc>
          <w:tcPr>
            <w:tcW w:w="424" w:type="pct"/>
            <w:shd w:val="clear" w:color="auto" w:fill="auto"/>
            <w:vAlign w:val="center"/>
          </w:tcPr>
          <w:p w14:paraId="268D94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0D0C85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排渣输送机</w:t>
            </w:r>
          </w:p>
        </w:tc>
        <w:tc>
          <w:tcPr>
            <w:tcW w:w="732" w:type="pct"/>
            <w:tcBorders>
              <w:left w:val="single" w:color="auto" w:sz="4" w:space="0"/>
            </w:tcBorders>
            <w:shd w:val="clear" w:color="auto" w:fill="auto"/>
            <w:vAlign w:val="center"/>
          </w:tcPr>
          <w:p w14:paraId="1A3649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5E131DA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1B601A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6</w:t>
            </w:r>
          </w:p>
        </w:tc>
        <w:tc>
          <w:tcPr>
            <w:tcW w:w="1016" w:type="pct"/>
            <w:shd w:val="clear" w:color="auto" w:fill="auto"/>
            <w:vAlign w:val="center"/>
          </w:tcPr>
          <w:p w14:paraId="4C8497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链板输送机</w:t>
            </w:r>
          </w:p>
        </w:tc>
        <w:tc>
          <w:tcPr>
            <w:tcW w:w="1459" w:type="pct"/>
            <w:shd w:val="clear" w:color="auto" w:fill="auto"/>
            <w:vAlign w:val="center"/>
          </w:tcPr>
          <w:p w14:paraId="61CB52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GWPVI-7050</w:t>
            </w:r>
          </w:p>
        </w:tc>
        <w:tc>
          <w:tcPr>
            <w:tcW w:w="424" w:type="pct"/>
            <w:shd w:val="clear" w:color="auto" w:fill="auto"/>
            <w:vAlign w:val="center"/>
          </w:tcPr>
          <w:p w14:paraId="5FED24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53495BD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32" w:type="pct"/>
            <w:tcBorders>
              <w:left w:val="single" w:color="auto" w:sz="4" w:space="0"/>
            </w:tcBorders>
            <w:shd w:val="clear" w:color="auto" w:fill="auto"/>
            <w:vAlign w:val="center"/>
          </w:tcPr>
          <w:p w14:paraId="3C050D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726A0D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40657C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7</w:t>
            </w:r>
          </w:p>
        </w:tc>
        <w:tc>
          <w:tcPr>
            <w:tcW w:w="1016" w:type="pct"/>
            <w:shd w:val="clear" w:color="auto" w:fill="auto"/>
            <w:vAlign w:val="center"/>
          </w:tcPr>
          <w:p w14:paraId="161C80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金属团球机</w:t>
            </w:r>
          </w:p>
        </w:tc>
        <w:tc>
          <w:tcPr>
            <w:tcW w:w="1459" w:type="pct"/>
            <w:shd w:val="clear" w:color="auto" w:fill="auto"/>
            <w:vAlign w:val="center"/>
          </w:tcPr>
          <w:p w14:paraId="46D8FF2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GWTLJ-9012</w:t>
            </w:r>
          </w:p>
        </w:tc>
        <w:tc>
          <w:tcPr>
            <w:tcW w:w="424" w:type="pct"/>
            <w:shd w:val="clear" w:color="auto" w:fill="auto"/>
            <w:vAlign w:val="center"/>
          </w:tcPr>
          <w:p w14:paraId="174EC0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24FC9C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32" w:type="pct"/>
            <w:tcBorders>
              <w:left w:val="single" w:color="auto" w:sz="4" w:space="0"/>
            </w:tcBorders>
            <w:shd w:val="clear" w:color="auto" w:fill="auto"/>
            <w:vAlign w:val="center"/>
          </w:tcPr>
          <w:p w14:paraId="5C1A2C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5458EF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7B2267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8</w:t>
            </w:r>
          </w:p>
        </w:tc>
        <w:tc>
          <w:tcPr>
            <w:tcW w:w="1016" w:type="pct"/>
            <w:shd w:val="clear" w:color="auto" w:fill="auto"/>
            <w:vAlign w:val="center"/>
          </w:tcPr>
          <w:p w14:paraId="6503A4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链板输送机</w:t>
            </w:r>
          </w:p>
        </w:tc>
        <w:tc>
          <w:tcPr>
            <w:tcW w:w="1459" w:type="pct"/>
            <w:shd w:val="clear" w:color="auto" w:fill="auto"/>
            <w:vAlign w:val="center"/>
          </w:tcPr>
          <w:p w14:paraId="041461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GWPVI-7050</w:t>
            </w:r>
          </w:p>
        </w:tc>
        <w:tc>
          <w:tcPr>
            <w:tcW w:w="424" w:type="pct"/>
            <w:shd w:val="clear" w:color="auto" w:fill="auto"/>
            <w:vAlign w:val="center"/>
          </w:tcPr>
          <w:p w14:paraId="3E4B0B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74668D0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32" w:type="pct"/>
            <w:tcBorders>
              <w:left w:val="single" w:color="auto" w:sz="4" w:space="0"/>
            </w:tcBorders>
            <w:shd w:val="clear" w:color="auto" w:fill="auto"/>
            <w:vAlign w:val="center"/>
          </w:tcPr>
          <w:p w14:paraId="3BBD5D6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6BCAB5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2371CA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9</w:t>
            </w:r>
          </w:p>
        </w:tc>
        <w:tc>
          <w:tcPr>
            <w:tcW w:w="1016" w:type="pct"/>
            <w:shd w:val="clear" w:color="auto" w:fill="auto"/>
            <w:vAlign w:val="center"/>
          </w:tcPr>
          <w:p w14:paraId="2CFC9F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磁选分离机</w:t>
            </w:r>
          </w:p>
        </w:tc>
        <w:tc>
          <w:tcPr>
            <w:tcW w:w="1459" w:type="pct"/>
            <w:shd w:val="clear" w:color="auto" w:fill="auto"/>
            <w:vAlign w:val="center"/>
          </w:tcPr>
          <w:p w14:paraId="2C93D6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GWFLG-8070</w:t>
            </w:r>
          </w:p>
        </w:tc>
        <w:tc>
          <w:tcPr>
            <w:tcW w:w="424" w:type="pct"/>
            <w:shd w:val="clear" w:color="auto" w:fill="auto"/>
            <w:vAlign w:val="center"/>
          </w:tcPr>
          <w:p w14:paraId="313F00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23E846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永磁</w:t>
            </w:r>
          </w:p>
        </w:tc>
        <w:tc>
          <w:tcPr>
            <w:tcW w:w="732" w:type="pct"/>
            <w:tcBorders>
              <w:left w:val="single" w:color="auto" w:sz="4" w:space="0"/>
            </w:tcBorders>
            <w:shd w:val="clear" w:color="auto" w:fill="auto"/>
            <w:vAlign w:val="center"/>
          </w:tcPr>
          <w:p w14:paraId="2070AA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57A7D9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26ADDA2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10</w:t>
            </w:r>
          </w:p>
        </w:tc>
        <w:tc>
          <w:tcPr>
            <w:tcW w:w="1016" w:type="pct"/>
            <w:shd w:val="clear" w:color="auto" w:fill="auto"/>
            <w:vAlign w:val="center"/>
          </w:tcPr>
          <w:p w14:paraId="65A10B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排渣输送机</w:t>
            </w:r>
          </w:p>
        </w:tc>
        <w:tc>
          <w:tcPr>
            <w:tcW w:w="1459" w:type="pct"/>
            <w:shd w:val="clear" w:color="auto" w:fill="auto"/>
            <w:vAlign w:val="center"/>
          </w:tcPr>
          <w:p w14:paraId="2C6FD5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GWBCF-6080</w:t>
            </w:r>
          </w:p>
        </w:tc>
        <w:tc>
          <w:tcPr>
            <w:tcW w:w="424" w:type="pct"/>
            <w:shd w:val="clear" w:color="auto" w:fill="auto"/>
            <w:vAlign w:val="center"/>
          </w:tcPr>
          <w:p w14:paraId="5B877E3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7F19734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排渣输送机</w:t>
            </w:r>
          </w:p>
        </w:tc>
        <w:tc>
          <w:tcPr>
            <w:tcW w:w="732" w:type="pct"/>
            <w:tcBorders>
              <w:left w:val="single" w:color="auto" w:sz="4" w:space="0"/>
            </w:tcBorders>
            <w:shd w:val="clear" w:color="auto" w:fill="auto"/>
            <w:vAlign w:val="center"/>
          </w:tcPr>
          <w:p w14:paraId="11E05B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487494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516" w:type="pct"/>
            <w:shd w:val="clear" w:color="auto" w:fill="auto"/>
            <w:vAlign w:val="center"/>
          </w:tcPr>
          <w:p w14:paraId="3392B7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11</w:t>
            </w:r>
          </w:p>
        </w:tc>
        <w:tc>
          <w:tcPr>
            <w:tcW w:w="1016" w:type="pct"/>
            <w:shd w:val="clear" w:color="auto" w:fill="auto"/>
            <w:vAlign w:val="center"/>
          </w:tcPr>
          <w:p w14:paraId="59300B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链板输送机</w:t>
            </w:r>
          </w:p>
        </w:tc>
        <w:tc>
          <w:tcPr>
            <w:tcW w:w="1459" w:type="pct"/>
            <w:shd w:val="clear" w:color="auto" w:fill="auto"/>
            <w:vAlign w:val="center"/>
          </w:tcPr>
          <w:p w14:paraId="2DDE84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GWPVI-7050</w:t>
            </w:r>
          </w:p>
        </w:tc>
        <w:tc>
          <w:tcPr>
            <w:tcW w:w="424" w:type="pct"/>
            <w:shd w:val="clear" w:color="auto" w:fill="auto"/>
            <w:vAlign w:val="center"/>
          </w:tcPr>
          <w:p w14:paraId="560924B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22B9EA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32" w:type="pct"/>
            <w:tcBorders>
              <w:left w:val="single" w:color="auto" w:sz="4" w:space="0"/>
            </w:tcBorders>
            <w:shd w:val="clear" w:color="auto" w:fill="auto"/>
            <w:vAlign w:val="center"/>
          </w:tcPr>
          <w:p w14:paraId="4B3C2BC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763E64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05" w:hRule="atLeast"/>
        </w:trPr>
        <w:tc>
          <w:tcPr>
            <w:tcW w:w="516" w:type="pct"/>
            <w:shd w:val="clear" w:color="auto" w:fill="auto"/>
            <w:vAlign w:val="center"/>
          </w:tcPr>
          <w:p w14:paraId="1D8F41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12</w:t>
            </w:r>
          </w:p>
        </w:tc>
        <w:tc>
          <w:tcPr>
            <w:tcW w:w="2476" w:type="pct"/>
            <w:gridSpan w:val="2"/>
            <w:shd w:val="clear" w:color="auto" w:fill="auto"/>
            <w:vAlign w:val="center"/>
          </w:tcPr>
          <w:p w14:paraId="4F8A20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控制电控系统(带视频监控)</w:t>
            </w:r>
          </w:p>
        </w:tc>
        <w:tc>
          <w:tcPr>
            <w:tcW w:w="424" w:type="pct"/>
            <w:shd w:val="clear" w:color="auto" w:fill="auto"/>
            <w:vAlign w:val="center"/>
          </w:tcPr>
          <w:p w14:paraId="2EC570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850" w:type="pct"/>
            <w:tcBorders>
              <w:right w:val="single" w:color="auto" w:sz="4" w:space="0"/>
            </w:tcBorders>
            <w:shd w:val="clear" w:color="auto" w:fill="auto"/>
            <w:vAlign w:val="center"/>
          </w:tcPr>
          <w:p w14:paraId="2F3043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带视频监控</w:t>
            </w:r>
          </w:p>
        </w:tc>
        <w:tc>
          <w:tcPr>
            <w:tcW w:w="732" w:type="pct"/>
            <w:tcBorders>
              <w:left w:val="single" w:color="auto" w:sz="4" w:space="0"/>
            </w:tcBorders>
            <w:shd w:val="clear" w:color="auto" w:fill="auto"/>
            <w:vAlign w:val="center"/>
          </w:tcPr>
          <w:p w14:paraId="294CC9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bl>
    <w:p w14:paraId="54FD536A">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表4.4-3 废塑料包装物破碎清洗生产线设备表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25"/>
        <w:gridCol w:w="1916"/>
        <w:gridCol w:w="2077"/>
        <w:gridCol w:w="822"/>
        <w:gridCol w:w="1669"/>
        <w:gridCol w:w="1213"/>
      </w:tblGrid>
      <w:tr w14:paraId="40B899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84" w:type="pct"/>
            <w:shd w:val="clear" w:color="auto" w:fill="FFFFFF"/>
            <w:vAlign w:val="center"/>
          </w:tcPr>
          <w:p w14:paraId="769F68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序号</w:t>
            </w:r>
          </w:p>
        </w:tc>
        <w:tc>
          <w:tcPr>
            <w:tcW w:w="1124" w:type="pct"/>
            <w:shd w:val="clear" w:color="auto" w:fill="FFFFFF"/>
            <w:vAlign w:val="center"/>
          </w:tcPr>
          <w:p w14:paraId="08D02E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名称</w:t>
            </w:r>
          </w:p>
        </w:tc>
        <w:tc>
          <w:tcPr>
            <w:tcW w:w="1218" w:type="pct"/>
            <w:shd w:val="clear" w:color="auto" w:fill="FFFFFF"/>
            <w:vAlign w:val="center"/>
          </w:tcPr>
          <w:p w14:paraId="352EA8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型号</w:t>
            </w:r>
          </w:p>
        </w:tc>
        <w:tc>
          <w:tcPr>
            <w:tcW w:w="482" w:type="pct"/>
            <w:shd w:val="clear" w:color="auto" w:fill="FFFFFF"/>
            <w:vAlign w:val="center"/>
          </w:tcPr>
          <w:p w14:paraId="1A24C5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数量</w:t>
            </w:r>
          </w:p>
        </w:tc>
        <w:tc>
          <w:tcPr>
            <w:tcW w:w="1690" w:type="pct"/>
            <w:gridSpan w:val="2"/>
            <w:shd w:val="clear" w:color="auto" w:fill="FFFFFF"/>
            <w:vAlign w:val="center"/>
          </w:tcPr>
          <w:p w14:paraId="74D730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备注</w:t>
            </w:r>
          </w:p>
        </w:tc>
      </w:tr>
      <w:tr w14:paraId="7A4D1F7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2112F8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1124" w:type="pct"/>
            <w:shd w:val="clear" w:color="auto" w:fill="FFFFFF"/>
            <w:vAlign w:val="center"/>
          </w:tcPr>
          <w:p w14:paraId="520212C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链板输送机</w:t>
            </w:r>
          </w:p>
        </w:tc>
        <w:tc>
          <w:tcPr>
            <w:tcW w:w="1218" w:type="pct"/>
            <w:shd w:val="clear" w:color="auto" w:fill="FFFFFF"/>
            <w:vAlign w:val="center"/>
          </w:tcPr>
          <w:p w14:paraId="7438C9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GWPVI-8080</w:t>
            </w:r>
          </w:p>
        </w:tc>
        <w:tc>
          <w:tcPr>
            <w:tcW w:w="482" w:type="pct"/>
            <w:shd w:val="clear" w:color="auto" w:fill="FFFFFF"/>
            <w:vAlign w:val="center"/>
          </w:tcPr>
          <w:p w14:paraId="283C2C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tcPr>
          <w:p w14:paraId="4CB1DDE6">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0"/>
                <w:szCs w:val="21"/>
                <w:u w:val="single"/>
                <w:lang w:bidi="ar"/>
              </w:rPr>
            </w:pPr>
            <w:r>
              <w:rPr>
                <w:rFonts w:hint="default" w:ascii="Times New Roman" w:hAnsi="Times New Roman" w:eastAsia="宋体" w:cs="Times New Roman"/>
                <w:kern w:val="0"/>
                <w:szCs w:val="21"/>
                <w:u w:val="single"/>
                <w:lang w:bidi="ar"/>
              </w:rPr>
              <w:t>链板输送机</w:t>
            </w:r>
          </w:p>
          <w:p w14:paraId="3C05379C">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变频控制</w:t>
            </w:r>
          </w:p>
        </w:tc>
        <w:tc>
          <w:tcPr>
            <w:tcW w:w="711" w:type="pct"/>
            <w:tcBorders>
              <w:left w:val="single" w:color="auto" w:sz="4" w:space="0"/>
            </w:tcBorders>
            <w:shd w:val="clear" w:color="auto" w:fill="FFFFFF"/>
          </w:tcPr>
          <w:p w14:paraId="0BA76F51">
            <w:pPr>
              <w:keepNext w:val="0"/>
              <w:keepLines w:val="0"/>
              <w:widowControl/>
              <w:suppressLineNumbers w:val="0"/>
              <w:spacing w:before="0" w:beforeAutospacing="0" w:after="0" w:afterAutospacing="0"/>
              <w:ind w:left="0" w:right="0"/>
              <w:jc w:val="center"/>
              <w:textAlignment w:val="top"/>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298342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344A70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2</w:t>
            </w:r>
          </w:p>
        </w:tc>
        <w:tc>
          <w:tcPr>
            <w:tcW w:w="1124" w:type="pct"/>
            <w:shd w:val="clear" w:color="auto" w:fill="FFFFFF"/>
            <w:vAlign w:val="center"/>
          </w:tcPr>
          <w:p w14:paraId="759955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四轴撕碎机</w:t>
            </w:r>
          </w:p>
        </w:tc>
        <w:tc>
          <w:tcPr>
            <w:tcW w:w="1218" w:type="pct"/>
            <w:shd w:val="clear" w:color="auto" w:fill="FFFFFF"/>
            <w:vAlign w:val="center"/>
          </w:tcPr>
          <w:p w14:paraId="3121DD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GWSSF-1090</w:t>
            </w:r>
          </w:p>
        </w:tc>
        <w:tc>
          <w:tcPr>
            <w:tcW w:w="482" w:type="pct"/>
            <w:shd w:val="clear" w:color="auto" w:fill="FFFFFF"/>
            <w:vAlign w:val="center"/>
          </w:tcPr>
          <w:p w14:paraId="14F6E9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vAlign w:val="center"/>
          </w:tcPr>
          <w:p w14:paraId="4CB4AF4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带压料装置</w:t>
            </w:r>
          </w:p>
        </w:tc>
        <w:tc>
          <w:tcPr>
            <w:tcW w:w="711" w:type="pct"/>
            <w:tcBorders>
              <w:left w:val="single" w:color="auto" w:sz="4" w:space="0"/>
            </w:tcBorders>
            <w:shd w:val="clear" w:color="auto" w:fill="FFFFFF"/>
            <w:vAlign w:val="center"/>
          </w:tcPr>
          <w:p w14:paraId="58A102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53DE7C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37CEE6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3</w:t>
            </w:r>
          </w:p>
        </w:tc>
        <w:tc>
          <w:tcPr>
            <w:tcW w:w="1124" w:type="pct"/>
            <w:shd w:val="clear" w:color="auto" w:fill="FFFFFF"/>
            <w:vAlign w:val="center"/>
          </w:tcPr>
          <w:p w14:paraId="5C5E88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螺旋上料机</w:t>
            </w:r>
          </w:p>
        </w:tc>
        <w:tc>
          <w:tcPr>
            <w:tcW w:w="1218" w:type="pct"/>
            <w:shd w:val="clear" w:color="auto" w:fill="FFFFFF"/>
            <w:vAlign w:val="center"/>
          </w:tcPr>
          <w:p w14:paraId="509B7A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GWSCU-4050</w:t>
            </w:r>
          </w:p>
        </w:tc>
        <w:tc>
          <w:tcPr>
            <w:tcW w:w="482" w:type="pct"/>
            <w:shd w:val="clear" w:color="auto" w:fill="FFFFFF"/>
            <w:vAlign w:val="center"/>
          </w:tcPr>
          <w:p w14:paraId="2D81D1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tcPr>
          <w:p w14:paraId="112F42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11" w:type="pct"/>
            <w:tcBorders>
              <w:left w:val="single" w:color="auto" w:sz="4" w:space="0"/>
            </w:tcBorders>
            <w:shd w:val="clear" w:color="auto" w:fill="FFFFFF"/>
          </w:tcPr>
          <w:p w14:paraId="4C6EB7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562890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0B3A7C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4</w:t>
            </w:r>
          </w:p>
        </w:tc>
        <w:tc>
          <w:tcPr>
            <w:tcW w:w="1124" w:type="pct"/>
            <w:shd w:val="clear" w:color="auto" w:fill="FFFFFF"/>
            <w:vAlign w:val="center"/>
          </w:tcPr>
          <w:p w14:paraId="645B79D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预洗摩擦机</w:t>
            </w:r>
          </w:p>
        </w:tc>
        <w:tc>
          <w:tcPr>
            <w:tcW w:w="1218" w:type="pct"/>
            <w:shd w:val="clear" w:color="auto" w:fill="FFFFFF"/>
            <w:vAlign w:val="center"/>
          </w:tcPr>
          <w:p w14:paraId="412B08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GWFWS-4060</w:t>
            </w:r>
          </w:p>
        </w:tc>
        <w:tc>
          <w:tcPr>
            <w:tcW w:w="482" w:type="pct"/>
            <w:shd w:val="clear" w:color="auto" w:fill="FFFFFF"/>
            <w:vAlign w:val="center"/>
          </w:tcPr>
          <w:p w14:paraId="6EED4E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vAlign w:val="center"/>
          </w:tcPr>
          <w:p w14:paraId="5F8358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强力搓洗</w:t>
            </w:r>
          </w:p>
        </w:tc>
        <w:tc>
          <w:tcPr>
            <w:tcW w:w="711" w:type="pct"/>
            <w:tcBorders>
              <w:left w:val="single" w:color="auto" w:sz="4" w:space="0"/>
            </w:tcBorders>
            <w:shd w:val="clear" w:color="auto" w:fill="FFFFFF"/>
            <w:vAlign w:val="center"/>
          </w:tcPr>
          <w:p w14:paraId="4F822A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48CA3EB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00D444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5</w:t>
            </w:r>
          </w:p>
        </w:tc>
        <w:tc>
          <w:tcPr>
            <w:tcW w:w="1124" w:type="pct"/>
            <w:shd w:val="clear" w:color="auto" w:fill="FFFFFF"/>
            <w:vAlign w:val="center"/>
          </w:tcPr>
          <w:p w14:paraId="0010BE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沉浮漂洗水槽</w:t>
            </w:r>
          </w:p>
        </w:tc>
        <w:tc>
          <w:tcPr>
            <w:tcW w:w="1218" w:type="pct"/>
            <w:shd w:val="clear" w:color="auto" w:fill="FFFFFF"/>
            <w:vAlign w:val="center"/>
          </w:tcPr>
          <w:p w14:paraId="74EBED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GWSTR-6012</w:t>
            </w:r>
          </w:p>
        </w:tc>
        <w:tc>
          <w:tcPr>
            <w:tcW w:w="482" w:type="pct"/>
            <w:shd w:val="clear" w:color="auto" w:fill="FFFFFF"/>
            <w:vAlign w:val="center"/>
          </w:tcPr>
          <w:p w14:paraId="30F775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tcPr>
          <w:p w14:paraId="4360ED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11" w:type="pct"/>
            <w:tcBorders>
              <w:left w:val="single" w:color="auto" w:sz="4" w:space="0"/>
            </w:tcBorders>
            <w:shd w:val="clear" w:color="auto" w:fill="FFFFFF"/>
          </w:tcPr>
          <w:p w14:paraId="6FDED89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1AF9B7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0431A6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6</w:t>
            </w:r>
          </w:p>
        </w:tc>
        <w:tc>
          <w:tcPr>
            <w:tcW w:w="1124" w:type="pct"/>
            <w:shd w:val="clear" w:color="auto" w:fill="FFFFFF"/>
            <w:vAlign w:val="center"/>
          </w:tcPr>
          <w:p w14:paraId="016B54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刮板输送机</w:t>
            </w:r>
          </w:p>
        </w:tc>
        <w:tc>
          <w:tcPr>
            <w:tcW w:w="1218" w:type="pct"/>
            <w:shd w:val="clear" w:color="auto" w:fill="FFFFFF"/>
            <w:vAlign w:val="center"/>
          </w:tcPr>
          <w:p w14:paraId="14DC5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GWSCO-3245</w:t>
            </w:r>
          </w:p>
        </w:tc>
        <w:tc>
          <w:tcPr>
            <w:tcW w:w="482" w:type="pct"/>
            <w:shd w:val="clear" w:color="auto" w:fill="FFFFFF"/>
            <w:vAlign w:val="center"/>
          </w:tcPr>
          <w:p w14:paraId="78F62C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vAlign w:val="center"/>
          </w:tcPr>
          <w:p w14:paraId="2D5813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链条式</w:t>
            </w:r>
          </w:p>
        </w:tc>
        <w:tc>
          <w:tcPr>
            <w:tcW w:w="711" w:type="pct"/>
            <w:tcBorders>
              <w:left w:val="single" w:color="auto" w:sz="4" w:space="0"/>
            </w:tcBorders>
            <w:shd w:val="clear" w:color="auto" w:fill="FFFFFF"/>
            <w:vAlign w:val="center"/>
          </w:tcPr>
          <w:p w14:paraId="66ABF3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75709CD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443832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7</w:t>
            </w:r>
          </w:p>
        </w:tc>
        <w:tc>
          <w:tcPr>
            <w:tcW w:w="1124" w:type="pct"/>
            <w:shd w:val="clear" w:color="auto" w:fill="FFFFFF"/>
            <w:vAlign w:val="center"/>
          </w:tcPr>
          <w:p w14:paraId="66FCBA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螺旋上料机</w:t>
            </w:r>
          </w:p>
        </w:tc>
        <w:tc>
          <w:tcPr>
            <w:tcW w:w="1218" w:type="pct"/>
            <w:shd w:val="clear" w:color="auto" w:fill="FFFFFF"/>
            <w:vAlign w:val="center"/>
          </w:tcPr>
          <w:p w14:paraId="36BC41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GWSCU-4050</w:t>
            </w:r>
          </w:p>
        </w:tc>
        <w:tc>
          <w:tcPr>
            <w:tcW w:w="482" w:type="pct"/>
            <w:shd w:val="clear" w:color="auto" w:fill="FFFFFF"/>
            <w:vAlign w:val="center"/>
          </w:tcPr>
          <w:p w14:paraId="213E5F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tcPr>
          <w:p w14:paraId="582152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11" w:type="pct"/>
            <w:tcBorders>
              <w:left w:val="single" w:color="auto" w:sz="4" w:space="0"/>
            </w:tcBorders>
            <w:shd w:val="clear" w:color="auto" w:fill="FFFFFF"/>
          </w:tcPr>
          <w:p w14:paraId="579F40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48F6F08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22" w:hRule="atLeast"/>
        </w:trPr>
        <w:tc>
          <w:tcPr>
            <w:tcW w:w="484" w:type="pct"/>
            <w:vMerge w:val="restart"/>
            <w:shd w:val="clear" w:color="auto" w:fill="FFFFFF"/>
            <w:vAlign w:val="center"/>
          </w:tcPr>
          <w:p w14:paraId="2FE721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8</w:t>
            </w:r>
          </w:p>
        </w:tc>
        <w:tc>
          <w:tcPr>
            <w:tcW w:w="1124" w:type="pct"/>
            <w:shd w:val="clear" w:color="auto" w:fill="FFFFFF"/>
            <w:vAlign w:val="center"/>
          </w:tcPr>
          <w:p w14:paraId="0A24632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高效破碎机</w:t>
            </w:r>
          </w:p>
        </w:tc>
        <w:tc>
          <w:tcPr>
            <w:tcW w:w="1218" w:type="pct"/>
            <w:shd w:val="clear" w:color="auto" w:fill="FFFFFF"/>
            <w:vAlign w:val="center"/>
          </w:tcPr>
          <w:p w14:paraId="7E9E05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GWCRH-10045</w:t>
            </w:r>
          </w:p>
        </w:tc>
        <w:tc>
          <w:tcPr>
            <w:tcW w:w="482" w:type="pct"/>
            <w:vMerge w:val="restart"/>
            <w:shd w:val="clear" w:color="auto" w:fill="FFFFFF"/>
            <w:vAlign w:val="center"/>
          </w:tcPr>
          <w:p w14:paraId="7BFCBF0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vMerge w:val="restart"/>
            <w:tcBorders>
              <w:right w:val="single" w:color="auto" w:sz="4" w:space="0"/>
            </w:tcBorders>
            <w:shd w:val="clear" w:color="auto" w:fill="FFFFFF"/>
            <w:vAlign w:val="center"/>
          </w:tcPr>
          <w:p w14:paraId="63E356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高效型</w:t>
            </w:r>
          </w:p>
        </w:tc>
        <w:tc>
          <w:tcPr>
            <w:tcW w:w="711" w:type="pct"/>
            <w:vMerge w:val="restart"/>
            <w:tcBorders>
              <w:left w:val="single" w:color="auto" w:sz="4" w:space="0"/>
            </w:tcBorders>
            <w:shd w:val="clear" w:color="auto" w:fill="FFFFFF"/>
            <w:vAlign w:val="center"/>
          </w:tcPr>
          <w:p w14:paraId="6CFB425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19AAA9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vMerge w:val="continue"/>
            <w:shd w:val="clear" w:color="auto" w:fill="FFFFFF"/>
            <w:vAlign w:val="center"/>
          </w:tcPr>
          <w:p w14:paraId="6783813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p>
        </w:tc>
        <w:tc>
          <w:tcPr>
            <w:tcW w:w="2342" w:type="pct"/>
            <w:gridSpan w:val="2"/>
            <w:shd w:val="clear" w:color="auto" w:fill="FFFFFF"/>
            <w:vAlign w:val="center"/>
          </w:tcPr>
          <w:p w14:paraId="751E33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钢构平台和安全楼梯</w:t>
            </w:r>
          </w:p>
        </w:tc>
        <w:tc>
          <w:tcPr>
            <w:tcW w:w="482" w:type="pct"/>
            <w:vMerge w:val="continue"/>
            <w:shd w:val="clear" w:color="auto" w:fill="FFFFFF"/>
            <w:vAlign w:val="center"/>
          </w:tcPr>
          <w:p w14:paraId="71DA46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p>
        </w:tc>
        <w:tc>
          <w:tcPr>
            <w:tcW w:w="979" w:type="pct"/>
            <w:vMerge w:val="continue"/>
            <w:tcBorders>
              <w:right w:val="single" w:color="auto" w:sz="4" w:space="0"/>
            </w:tcBorders>
            <w:shd w:val="clear" w:color="auto" w:fill="FFFFFF"/>
            <w:vAlign w:val="center"/>
          </w:tcPr>
          <w:p w14:paraId="6B82F6C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p>
        </w:tc>
        <w:tc>
          <w:tcPr>
            <w:tcW w:w="711" w:type="pct"/>
            <w:vMerge w:val="continue"/>
            <w:tcBorders>
              <w:left w:val="single" w:color="auto" w:sz="4" w:space="0"/>
            </w:tcBorders>
            <w:shd w:val="clear" w:color="auto" w:fill="FFFFFF"/>
            <w:vAlign w:val="center"/>
          </w:tcPr>
          <w:p w14:paraId="64FC76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p>
        </w:tc>
      </w:tr>
      <w:tr w14:paraId="1F05621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400A2C9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9</w:t>
            </w:r>
          </w:p>
        </w:tc>
        <w:tc>
          <w:tcPr>
            <w:tcW w:w="1124" w:type="pct"/>
            <w:shd w:val="clear" w:color="auto" w:fill="FFFFFF"/>
            <w:vAlign w:val="center"/>
          </w:tcPr>
          <w:p w14:paraId="0EC7B8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强力摩擦机</w:t>
            </w:r>
          </w:p>
        </w:tc>
        <w:tc>
          <w:tcPr>
            <w:tcW w:w="1218" w:type="pct"/>
            <w:shd w:val="clear" w:color="auto" w:fill="FFFFFF"/>
            <w:vAlign w:val="center"/>
          </w:tcPr>
          <w:p w14:paraId="15DD08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GWFWS-4060</w:t>
            </w:r>
          </w:p>
        </w:tc>
        <w:tc>
          <w:tcPr>
            <w:tcW w:w="482" w:type="pct"/>
            <w:shd w:val="clear" w:color="auto" w:fill="FFFFFF"/>
            <w:vAlign w:val="center"/>
          </w:tcPr>
          <w:p w14:paraId="05F4DB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vAlign w:val="center"/>
          </w:tcPr>
          <w:p w14:paraId="6CF601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强力搓洗</w:t>
            </w:r>
          </w:p>
        </w:tc>
        <w:tc>
          <w:tcPr>
            <w:tcW w:w="711" w:type="pct"/>
            <w:tcBorders>
              <w:left w:val="single" w:color="auto" w:sz="4" w:space="0"/>
            </w:tcBorders>
            <w:shd w:val="clear" w:color="auto" w:fill="FFFFFF"/>
            <w:vAlign w:val="center"/>
          </w:tcPr>
          <w:p w14:paraId="3E7F253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4420DE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37FB56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10</w:t>
            </w:r>
          </w:p>
        </w:tc>
        <w:tc>
          <w:tcPr>
            <w:tcW w:w="1124" w:type="pct"/>
            <w:shd w:val="clear" w:color="auto" w:fill="FFFFFF"/>
            <w:vAlign w:val="center"/>
          </w:tcPr>
          <w:p w14:paraId="7B737A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沉浮漂洗水槽</w:t>
            </w:r>
          </w:p>
        </w:tc>
        <w:tc>
          <w:tcPr>
            <w:tcW w:w="1218" w:type="pct"/>
            <w:shd w:val="clear" w:color="auto" w:fill="FFFFFF"/>
            <w:vAlign w:val="center"/>
          </w:tcPr>
          <w:p w14:paraId="582766E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GWSTR-6012</w:t>
            </w:r>
          </w:p>
        </w:tc>
        <w:tc>
          <w:tcPr>
            <w:tcW w:w="482" w:type="pct"/>
            <w:shd w:val="clear" w:color="auto" w:fill="FFFFFF"/>
            <w:vAlign w:val="center"/>
          </w:tcPr>
          <w:p w14:paraId="3D73A7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tcPr>
          <w:p w14:paraId="29EC048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11" w:type="pct"/>
            <w:tcBorders>
              <w:left w:val="single" w:color="auto" w:sz="4" w:space="0"/>
            </w:tcBorders>
            <w:shd w:val="clear" w:color="auto" w:fill="FFFFFF"/>
          </w:tcPr>
          <w:p w14:paraId="3AF421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31A24F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7DE8E8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11</w:t>
            </w:r>
          </w:p>
        </w:tc>
        <w:tc>
          <w:tcPr>
            <w:tcW w:w="1124" w:type="pct"/>
            <w:shd w:val="clear" w:color="auto" w:fill="FFFFFF"/>
            <w:vAlign w:val="center"/>
          </w:tcPr>
          <w:p w14:paraId="0B3DCD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螺旋上料机</w:t>
            </w:r>
          </w:p>
        </w:tc>
        <w:tc>
          <w:tcPr>
            <w:tcW w:w="1218" w:type="pct"/>
            <w:shd w:val="clear" w:color="auto" w:fill="FFFFFF"/>
            <w:vAlign w:val="center"/>
          </w:tcPr>
          <w:p w14:paraId="3A2A526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GWSCU-4050</w:t>
            </w:r>
          </w:p>
        </w:tc>
        <w:tc>
          <w:tcPr>
            <w:tcW w:w="482" w:type="pct"/>
            <w:shd w:val="clear" w:color="auto" w:fill="FFFFFF"/>
            <w:vAlign w:val="center"/>
          </w:tcPr>
          <w:p w14:paraId="3A879B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tcPr>
          <w:p w14:paraId="4B0603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11" w:type="pct"/>
            <w:tcBorders>
              <w:left w:val="single" w:color="auto" w:sz="4" w:space="0"/>
            </w:tcBorders>
            <w:shd w:val="clear" w:color="auto" w:fill="FFFFFF"/>
          </w:tcPr>
          <w:p w14:paraId="1ED06A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240B8B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79" w:hRule="atLeast"/>
        </w:trPr>
        <w:tc>
          <w:tcPr>
            <w:tcW w:w="484" w:type="pct"/>
            <w:shd w:val="clear" w:color="auto" w:fill="FFFFFF"/>
            <w:vAlign w:val="center"/>
          </w:tcPr>
          <w:p w14:paraId="76D1AB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12</w:t>
            </w:r>
          </w:p>
        </w:tc>
        <w:tc>
          <w:tcPr>
            <w:tcW w:w="1124" w:type="pct"/>
            <w:shd w:val="clear" w:color="auto" w:fill="FFFFFF"/>
            <w:vAlign w:val="center"/>
          </w:tcPr>
          <w:p w14:paraId="74509E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高速脱水机</w:t>
            </w:r>
          </w:p>
        </w:tc>
        <w:tc>
          <w:tcPr>
            <w:tcW w:w="1218" w:type="pct"/>
            <w:shd w:val="clear" w:color="auto" w:fill="FFFFFF"/>
            <w:vAlign w:val="center"/>
          </w:tcPr>
          <w:p w14:paraId="0798860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GWDRH-1260</w:t>
            </w:r>
          </w:p>
        </w:tc>
        <w:tc>
          <w:tcPr>
            <w:tcW w:w="482" w:type="pct"/>
            <w:shd w:val="clear" w:color="auto" w:fill="FFFFFF"/>
            <w:vAlign w:val="center"/>
          </w:tcPr>
          <w:p w14:paraId="3D6679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tcPr>
          <w:p w14:paraId="3B0D38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711" w:type="pct"/>
            <w:tcBorders>
              <w:left w:val="single" w:color="auto" w:sz="4" w:space="0"/>
            </w:tcBorders>
            <w:shd w:val="clear" w:color="auto" w:fill="FFFFFF"/>
          </w:tcPr>
          <w:p w14:paraId="469F08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lang w:val="en-US" w:eastAsia="zh-CN"/>
              </w:rPr>
              <w:t>新购</w:t>
            </w:r>
          </w:p>
        </w:tc>
      </w:tr>
      <w:tr w14:paraId="0EABED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84" w:type="pct"/>
            <w:shd w:val="clear" w:color="auto" w:fill="FFFFFF"/>
            <w:vAlign w:val="center"/>
          </w:tcPr>
          <w:p w14:paraId="3BD70D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13</w:t>
            </w:r>
          </w:p>
        </w:tc>
        <w:tc>
          <w:tcPr>
            <w:tcW w:w="1124" w:type="pct"/>
            <w:shd w:val="clear" w:color="auto" w:fill="FFFFFF"/>
            <w:vAlign w:val="center"/>
          </w:tcPr>
          <w:p w14:paraId="48590F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风送储料仓</w:t>
            </w:r>
          </w:p>
        </w:tc>
        <w:tc>
          <w:tcPr>
            <w:tcW w:w="1218" w:type="pct"/>
            <w:shd w:val="clear" w:color="auto" w:fill="FFFFFF"/>
            <w:vAlign w:val="center"/>
          </w:tcPr>
          <w:p w14:paraId="61F81E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GWSIO-1012</w:t>
            </w:r>
          </w:p>
        </w:tc>
        <w:tc>
          <w:tcPr>
            <w:tcW w:w="482" w:type="pct"/>
            <w:shd w:val="clear" w:color="auto" w:fill="FFFFFF"/>
            <w:vAlign w:val="center"/>
          </w:tcPr>
          <w:p w14:paraId="760D3B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979" w:type="pct"/>
            <w:tcBorders>
              <w:right w:val="single" w:color="auto" w:sz="4" w:space="0"/>
            </w:tcBorders>
            <w:shd w:val="clear" w:color="auto" w:fill="FFFFFF"/>
            <w:vAlign w:val="center"/>
          </w:tcPr>
          <w:p w14:paraId="70A099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成品包装</w:t>
            </w:r>
          </w:p>
        </w:tc>
        <w:tc>
          <w:tcPr>
            <w:tcW w:w="711" w:type="pct"/>
            <w:tcBorders>
              <w:left w:val="single" w:color="auto" w:sz="4" w:space="0"/>
            </w:tcBorders>
            <w:shd w:val="clear" w:color="auto" w:fill="FFFFFF"/>
            <w:vAlign w:val="center"/>
          </w:tcPr>
          <w:p w14:paraId="0E39F77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bl>
    <w:p w14:paraId="5CB1923C">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表4.4-4  辅助生产设备表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14"/>
        <w:gridCol w:w="4658"/>
        <w:gridCol w:w="721"/>
        <w:gridCol w:w="1215"/>
        <w:gridCol w:w="1214"/>
      </w:tblGrid>
      <w:tr w14:paraId="1C6E3A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19" w:type="pct"/>
            <w:shd w:val="clear" w:color="auto" w:fill="auto"/>
            <w:noWrap/>
            <w:vAlign w:val="center"/>
          </w:tcPr>
          <w:p w14:paraId="29010C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序号</w:t>
            </w:r>
          </w:p>
        </w:tc>
        <w:tc>
          <w:tcPr>
            <w:tcW w:w="2733" w:type="pct"/>
            <w:shd w:val="clear" w:color="auto" w:fill="auto"/>
            <w:noWrap/>
            <w:vAlign w:val="center"/>
          </w:tcPr>
          <w:p w14:paraId="020DEA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设备名称</w:t>
            </w:r>
          </w:p>
        </w:tc>
        <w:tc>
          <w:tcPr>
            <w:tcW w:w="423" w:type="pct"/>
            <w:shd w:val="clear" w:color="auto" w:fill="auto"/>
            <w:noWrap/>
            <w:vAlign w:val="center"/>
          </w:tcPr>
          <w:p w14:paraId="51AF1ED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单位</w:t>
            </w:r>
          </w:p>
        </w:tc>
        <w:tc>
          <w:tcPr>
            <w:tcW w:w="713" w:type="pct"/>
            <w:shd w:val="clear" w:color="auto" w:fill="auto"/>
            <w:noWrap/>
            <w:vAlign w:val="center"/>
          </w:tcPr>
          <w:p w14:paraId="187E87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数量</w:t>
            </w:r>
          </w:p>
        </w:tc>
        <w:tc>
          <w:tcPr>
            <w:tcW w:w="712" w:type="pct"/>
            <w:vAlign w:val="center"/>
          </w:tcPr>
          <w:p w14:paraId="11E3CC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Cs w:val="21"/>
                <w:u w:val="single"/>
                <w:lang w:bidi="ar"/>
              </w:rPr>
            </w:pPr>
            <w:r>
              <w:rPr>
                <w:rFonts w:hint="default" w:ascii="Times New Roman" w:hAnsi="Times New Roman" w:eastAsia="宋体" w:cs="Times New Roman"/>
                <w:b/>
                <w:u w:val="single"/>
              </w:rPr>
              <w:t>备注</w:t>
            </w:r>
          </w:p>
        </w:tc>
      </w:tr>
      <w:tr w14:paraId="553C750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9" w:type="pct"/>
            <w:shd w:val="clear" w:color="auto" w:fill="auto"/>
            <w:noWrap/>
            <w:vAlign w:val="center"/>
          </w:tcPr>
          <w:p w14:paraId="703863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2733" w:type="pct"/>
            <w:shd w:val="clear" w:color="auto" w:fill="FFFFFF"/>
            <w:vAlign w:val="center"/>
          </w:tcPr>
          <w:p w14:paraId="05B97C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叉车</w:t>
            </w:r>
          </w:p>
        </w:tc>
        <w:tc>
          <w:tcPr>
            <w:tcW w:w="423" w:type="pct"/>
            <w:shd w:val="clear" w:color="auto" w:fill="auto"/>
            <w:vAlign w:val="center"/>
          </w:tcPr>
          <w:p w14:paraId="2F44C3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台</w:t>
            </w:r>
          </w:p>
        </w:tc>
        <w:tc>
          <w:tcPr>
            <w:tcW w:w="713" w:type="pct"/>
            <w:shd w:val="clear" w:color="auto" w:fill="auto"/>
            <w:vAlign w:val="center"/>
          </w:tcPr>
          <w:p w14:paraId="10EBE0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 xml:space="preserve">6 </w:t>
            </w:r>
          </w:p>
        </w:tc>
        <w:tc>
          <w:tcPr>
            <w:tcW w:w="712" w:type="pct"/>
            <w:vAlign w:val="center"/>
          </w:tcPr>
          <w:p w14:paraId="480DAF6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eastAsia="zh-CN" w:bidi="ar"/>
              </w:rPr>
            </w:pPr>
            <w:r>
              <w:rPr>
                <w:rFonts w:hint="default" w:ascii="Times New Roman" w:hAnsi="Times New Roman" w:eastAsia="宋体" w:cs="Times New Roman"/>
                <w:u w:val="single"/>
                <w:lang w:val="en-US" w:eastAsia="zh-CN"/>
              </w:rPr>
              <w:t>新购+利旧</w:t>
            </w:r>
          </w:p>
        </w:tc>
      </w:tr>
      <w:tr w14:paraId="1896DF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9" w:type="pct"/>
            <w:shd w:val="clear" w:color="auto" w:fill="auto"/>
            <w:noWrap/>
            <w:vAlign w:val="center"/>
          </w:tcPr>
          <w:p w14:paraId="324A56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2</w:t>
            </w:r>
          </w:p>
        </w:tc>
        <w:tc>
          <w:tcPr>
            <w:tcW w:w="2733" w:type="pct"/>
            <w:shd w:val="clear" w:color="auto" w:fill="FFFFFF"/>
            <w:vAlign w:val="center"/>
          </w:tcPr>
          <w:p w14:paraId="4CB55D1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危废转运车</w:t>
            </w:r>
          </w:p>
        </w:tc>
        <w:tc>
          <w:tcPr>
            <w:tcW w:w="423" w:type="pct"/>
            <w:shd w:val="clear" w:color="auto" w:fill="auto"/>
            <w:vAlign w:val="center"/>
          </w:tcPr>
          <w:p w14:paraId="4D01A9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台</w:t>
            </w:r>
          </w:p>
        </w:tc>
        <w:tc>
          <w:tcPr>
            <w:tcW w:w="713" w:type="pct"/>
            <w:shd w:val="clear" w:color="auto" w:fill="auto"/>
            <w:vAlign w:val="center"/>
          </w:tcPr>
          <w:p w14:paraId="1CCE67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 xml:space="preserve">12 </w:t>
            </w:r>
          </w:p>
        </w:tc>
        <w:tc>
          <w:tcPr>
            <w:tcW w:w="712" w:type="pct"/>
            <w:vAlign w:val="center"/>
          </w:tcPr>
          <w:p w14:paraId="3F9818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新购+利旧</w:t>
            </w:r>
          </w:p>
        </w:tc>
      </w:tr>
      <w:tr w14:paraId="286B112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9" w:type="pct"/>
            <w:shd w:val="clear" w:color="auto" w:fill="auto"/>
            <w:noWrap/>
            <w:vAlign w:val="center"/>
          </w:tcPr>
          <w:p w14:paraId="69BE57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3</w:t>
            </w:r>
          </w:p>
        </w:tc>
        <w:tc>
          <w:tcPr>
            <w:tcW w:w="2733" w:type="pct"/>
            <w:shd w:val="clear" w:color="auto" w:fill="FFFFFF"/>
            <w:vAlign w:val="center"/>
          </w:tcPr>
          <w:p w14:paraId="1E6E22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立式压包机</w:t>
            </w:r>
          </w:p>
        </w:tc>
        <w:tc>
          <w:tcPr>
            <w:tcW w:w="423" w:type="pct"/>
            <w:shd w:val="clear" w:color="auto" w:fill="auto"/>
            <w:vAlign w:val="center"/>
          </w:tcPr>
          <w:p w14:paraId="2F4A21A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台</w:t>
            </w:r>
          </w:p>
        </w:tc>
        <w:tc>
          <w:tcPr>
            <w:tcW w:w="713" w:type="pct"/>
            <w:shd w:val="clear" w:color="auto" w:fill="auto"/>
            <w:vAlign w:val="center"/>
          </w:tcPr>
          <w:p w14:paraId="37CC17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 xml:space="preserve">4 </w:t>
            </w:r>
          </w:p>
        </w:tc>
        <w:tc>
          <w:tcPr>
            <w:tcW w:w="712" w:type="pct"/>
            <w:vAlign w:val="center"/>
          </w:tcPr>
          <w:p w14:paraId="5266CC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323FD0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9" w:type="pct"/>
            <w:shd w:val="clear" w:color="auto" w:fill="auto"/>
            <w:noWrap/>
            <w:vAlign w:val="center"/>
          </w:tcPr>
          <w:p w14:paraId="51D38A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4</w:t>
            </w:r>
          </w:p>
        </w:tc>
        <w:tc>
          <w:tcPr>
            <w:tcW w:w="2733" w:type="pct"/>
            <w:shd w:val="clear" w:color="auto" w:fill="FFFFFF"/>
            <w:vAlign w:val="center"/>
          </w:tcPr>
          <w:p w14:paraId="5CB98E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卧式压包机</w:t>
            </w:r>
          </w:p>
        </w:tc>
        <w:tc>
          <w:tcPr>
            <w:tcW w:w="423" w:type="pct"/>
            <w:shd w:val="clear" w:color="auto" w:fill="auto"/>
            <w:vAlign w:val="center"/>
          </w:tcPr>
          <w:p w14:paraId="46DCD6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台</w:t>
            </w:r>
          </w:p>
        </w:tc>
        <w:tc>
          <w:tcPr>
            <w:tcW w:w="713" w:type="pct"/>
            <w:shd w:val="clear" w:color="auto" w:fill="auto"/>
            <w:vAlign w:val="center"/>
          </w:tcPr>
          <w:p w14:paraId="553A01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 xml:space="preserve">2 </w:t>
            </w:r>
          </w:p>
        </w:tc>
        <w:tc>
          <w:tcPr>
            <w:tcW w:w="712" w:type="pct"/>
            <w:vAlign w:val="center"/>
          </w:tcPr>
          <w:p w14:paraId="23D3822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7CD393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9" w:type="pct"/>
            <w:shd w:val="clear" w:color="auto" w:fill="auto"/>
            <w:noWrap/>
            <w:vAlign w:val="center"/>
          </w:tcPr>
          <w:p w14:paraId="4E5053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5</w:t>
            </w:r>
          </w:p>
        </w:tc>
        <w:tc>
          <w:tcPr>
            <w:tcW w:w="2733" w:type="pct"/>
            <w:shd w:val="clear" w:color="auto" w:fill="FFFFFF"/>
            <w:vAlign w:val="center"/>
          </w:tcPr>
          <w:p w14:paraId="675E9B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分拣线</w:t>
            </w:r>
          </w:p>
        </w:tc>
        <w:tc>
          <w:tcPr>
            <w:tcW w:w="423" w:type="pct"/>
            <w:shd w:val="clear" w:color="auto" w:fill="auto"/>
            <w:vAlign w:val="center"/>
          </w:tcPr>
          <w:p w14:paraId="14D86A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条</w:t>
            </w:r>
          </w:p>
        </w:tc>
        <w:tc>
          <w:tcPr>
            <w:tcW w:w="713" w:type="pct"/>
            <w:shd w:val="clear" w:color="auto" w:fill="auto"/>
            <w:vAlign w:val="center"/>
          </w:tcPr>
          <w:p w14:paraId="7DFE28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 xml:space="preserve">1 </w:t>
            </w:r>
          </w:p>
        </w:tc>
        <w:tc>
          <w:tcPr>
            <w:tcW w:w="712" w:type="pct"/>
            <w:vAlign w:val="center"/>
          </w:tcPr>
          <w:p w14:paraId="3A58D2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09F551E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714" w:type="dxa"/>
            <w:shd w:val="clear" w:color="auto" w:fill="auto"/>
            <w:noWrap/>
            <w:vAlign w:val="center"/>
          </w:tcPr>
          <w:p w14:paraId="7294988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kern w:val="0"/>
                <w:szCs w:val="21"/>
                <w:u w:val="single"/>
                <w:lang w:val="en-US" w:eastAsia="zh-CN" w:bidi="ar"/>
              </w:rPr>
              <w:t>6</w:t>
            </w:r>
          </w:p>
        </w:tc>
        <w:tc>
          <w:tcPr>
            <w:tcW w:w="4658" w:type="dxa"/>
            <w:shd w:val="clear" w:color="auto" w:fill="FFFFFF"/>
            <w:vAlign w:val="center"/>
          </w:tcPr>
          <w:p w14:paraId="0CABAE7A">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kern w:val="0"/>
                <w:szCs w:val="21"/>
                <w:u w:val="single"/>
                <w:lang w:val="en-US" w:eastAsia="zh-CN" w:bidi="ar"/>
              </w:rPr>
              <w:t>打包机</w:t>
            </w:r>
          </w:p>
        </w:tc>
        <w:tc>
          <w:tcPr>
            <w:tcW w:w="721" w:type="dxa"/>
            <w:shd w:val="clear" w:color="auto" w:fill="auto"/>
            <w:vAlign w:val="center"/>
          </w:tcPr>
          <w:p w14:paraId="00401FB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kern w:val="0"/>
                <w:szCs w:val="21"/>
                <w:u w:val="single"/>
                <w:lang w:bidi="ar"/>
              </w:rPr>
              <w:t>台</w:t>
            </w:r>
          </w:p>
        </w:tc>
        <w:tc>
          <w:tcPr>
            <w:tcW w:w="1215" w:type="dxa"/>
            <w:shd w:val="clear" w:color="auto" w:fill="auto"/>
            <w:vAlign w:val="center"/>
          </w:tcPr>
          <w:p w14:paraId="7204AEA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kern w:val="0"/>
                <w:szCs w:val="21"/>
                <w:u w:val="single"/>
                <w:lang w:bidi="ar"/>
              </w:rPr>
              <w:t xml:space="preserve">2 </w:t>
            </w:r>
            <w:r>
              <w:rPr>
                <w:rFonts w:hint="default" w:ascii="Times New Roman" w:hAnsi="Times New Roman" w:eastAsia="宋体" w:cs="Times New Roman"/>
                <w:kern w:val="0"/>
                <w:szCs w:val="21"/>
                <w:u w:val="single"/>
                <w:lang w:val="en-US" w:eastAsia="zh-CN" w:bidi="ar"/>
              </w:rPr>
              <w:t xml:space="preserve"> </w:t>
            </w:r>
          </w:p>
        </w:tc>
        <w:tc>
          <w:tcPr>
            <w:tcW w:w="1214" w:type="dxa"/>
            <w:vAlign w:val="center"/>
          </w:tcPr>
          <w:p w14:paraId="186573C9">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u w:val="single"/>
              </w:rPr>
            </w:pPr>
            <w:r>
              <w:rPr>
                <w:rFonts w:hint="default" w:ascii="Times New Roman" w:hAnsi="Times New Roman" w:eastAsia="宋体" w:cs="Times New Roman"/>
                <w:u w:val="single"/>
                <w:lang w:val="en-US" w:eastAsia="zh-CN"/>
              </w:rPr>
              <w:t>新购</w:t>
            </w:r>
          </w:p>
        </w:tc>
      </w:tr>
      <w:tr w14:paraId="41C571B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9" w:type="pct"/>
            <w:shd w:val="clear" w:color="auto" w:fill="auto"/>
            <w:noWrap/>
            <w:vAlign w:val="center"/>
          </w:tcPr>
          <w:p w14:paraId="72280F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lang w:eastAsia="zh-CN"/>
              </w:rPr>
            </w:pPr>
            <w:r>
              <w:rPr>
                <w:rFonts w:hint="default" w:ascii="Times New Roman" w:hAnsi="Times New Roman" w:eastAsia="宋体" w:cs="Times New Roman"/>
                <w:kern w:val="0"/>
                <w:szCs w:val="21"/>
                <w:u w:val="single"/>
                <w:lang w:val="en-US" w:eastAsia="zh-CN" w:bidi="ar"/>
              </w:rPr>
              <w:t>7</w:t>
            </w:r>
          </w:p>
        </w:tc>
        <w:tc>
          <w:tcPr>
            <w:tcW w:w="2733" w:type="pct"/>
            <w:shd w:val="clear" w:color="auto" w:fill="FFFFFF"/>
            <w:vAlign w:val="center"/>
          </w:tcPr>
          <w:p w14:paraId="64562A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地磅</w:t>
            </w:r>
          </w:p>
        </w:tc>
        <w:tc>
          <w:tcPr>
            <w:tcW w:w="423" w:type="pct"/>
            <w:shd w:val="clear" w:color="auto" w:fill="auto"/>
            <w:vAlign w:val="center"/>
          </w:tcPr>
          <w:p w14:paraId="42EDB6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台</w:t>
            </w:r>
          </w:p>
        </w:tc>
        <w:tc>
          <w:tcPr>
            <w:tcW w:w="713" w:type="pct"/>
            <w:shd w:val="clear" w:color="auto" w:fill="auto"/>
            <w:vAlign w:val="center"/>
          </w:tcPr>
          <w:p w14:paraId="1252A0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 xml:space="preserve">1 </w:t>
            </w:r>
          </w:p>
        </w:tc>
        <w:tc>
          <w:tcPr>
            <w:tcW w:w="712" w:type="pct"/>
            <w:vAlign w:val="center"/>
          </w:tcPr>
          <w:p w14:paraId="3B93A1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r w14:paraId="6EA8B3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9" w:type="pct"/>
            <w:shd w:val="clear" w:color="auto" w:fill="auto"/>
            <w:noWrap/>
            <w:vAlign w:val="center"/>
          </w:tcPr>
          <w:p w14:paraId="2F65B03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lang w:eastAsia="zh-CN"/>
              </w:rPr>
            </w:pPr>
            <w:r>
              <w:rPr>
                <w:rFonts w:hint="default" w:ascii="Times New Roman" w:hAnsi="Times New Roman" w:eastAsia="宋体" w:cs="Times New Roman"/>
                <w:kern w:val="0"/>
                <w:szCs w:val="21"/>
                <w:u w:val="single"/>
                <w:lang w:val="en-US" w:eastAsia="zh-CN" w:bidi="ar"/>
              </w:rPr>
              <w:t>8</w:t>
            </w:r>
          </w:p>
        </w:tc>
        <w:tc>
          <w:tcPr>
            <w:tcW w:w="2733" w:type="pct"/>
            <w:shd w:val="clear" w:color="auto" w:fill="FFFFFF"/>
            <w:vAlign w:val="center"/>
          </w:tcPr>
          <w:p w14:paraId="7FFAE9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智能包储系统</w:t>
            </w:r>
          </w:p>
        </w:tc>
        <w:tc>
          <w:tcPr>
            <w:tcW w:w="423" w:type="pct"/>
            <w:shd w:val="clear" w:color="auto" w:fill="auto"/>
            <w:vAlign w:val="center"/>
          </w:tcPr>
          <w:p w14:paraId="6472B0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套</w:t>
            </w:r>
          </w:p>
        </w:tc>
        <w:tc>
          <w:tcPr>
            <w:tcW w:w="713" w:type="pct"/>
            <w:shd w:val="clear" w:color="auto" w:fill="auto"/>
            <w:vAlign w:val="center"/>
          </w:tcPr>
          <w:p w14:paraId="41D36C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 xml:space="preserve">1 </w:t>
            </w:r>
          </w:p>
        </w:tc>
        <w:tc>
          <w:tcPr>
            <w:tcW w:w="712" w:type="pct"/>
            <w:vAlign w:val="center"/>
          </w:tcPr>
          <w:p w14:paraId="51EAFA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u w:val="single"/>
                <w:lang w:val="en-US" w:eastAsia="zh-CN"/>
              </w:rPr>
              <w:t>新购</w:t>
            </w:r>
          </w:p>
        </w:tc>
      </w:tr>
    </w:tbl>
    <w:p w14:paraId="467DBFC8">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 xml:space="preserve">表4.4-4  </w:t>
      </w:r>
      <w:r>
        <w:rPr>
          <w:rFonts w:hint="default" w:ascii="Times New Roman" w:hAnsi="Times New Roman" w:eastAsia="宋体" w:cs="Times New Roman"/>
          <w:b/>
          <w:bCs/>
          <w:szCs w:val="21"/>
          <w:u w:val="single"/>
          <w:lang w:val="en-US" w:eastAsia="zh-CN"/>
        </w:rPr>
        <w:t>环保设施/设备一栏</w:t>
      </w:r>
      <w:r>
        <w:rPr>
          <w:rFonts w:hint="default" w:ascii="Times New Roman" w:hAnsi="Times New Roman" w:eastAsia="宋体" w:cs="Times New Roman"/>
          <w:b/>
          <w:bCs/>
          <w:szCs w:val="21"/>
          <w:u w:val="single"/>
        </w:rPr>
        <w:t>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13"/>
        <w:gridCol w:w="4660"/>
        <w:gridCol w:w="721"/>
        <w:gridCol w:w="1214"/>
        <w:gridCol w:w="1214"/>
      </w:tblGrid>
      <w:tr w14:paraId="23A5C2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70" w:hRule="atLeast"/>
        </w:trPr>
        <w:tc>
          <w:tcPr>
            <w:tcW w:w="418" w:type="pct"/>
            <w:shd w:val="clear" w:color="auto" w:fill="auto"/>
            <w:noWrap/>
            <w:vAlign w:val="center"/>
          </w:tcPr>
          <w:p w14:paraId="5E75D2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序号</w:t>
            </w:r>
          </w:p>
        </w:tc>
        <w:tc>
          <w:tcPr>
            <w:tcW w:w="2733" w:type="pct"/>
            <w:shd w:val="clear" w:color="auto" w:fill="auto"/>
            <w:noWrap/>
            <w:vAlign w:val="center"/>
          </w:tcPr>
          <w:p w14:paraId="61D41E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val="en-US" w:eastAsia="zh-CN" w:bidi="ar"/>
              </w:rPr>
              <w:t>设施/</w:t>
            </w:r>
            <w:r>
              <w:rPr>
                <w:rFonts w:hint="default" w:ascii="Times New Roman" w:hAnsi="Times New Roman" w:eastAsia="宋体" w:cs="Times New Roman"/>
                <w:b/>
                <w:bCs/>
                <w:kern w:val="0"/>
                <w:szCs w:val="21"/>
                <w:u w:val="single"/>
                <w:lang w:bidi="ar"/>
              </w:rPr>
              <w:t>设备名称</w:t>
            </w:r>
          </w:p>
        </w:tc>
        <w:tc>
          <w:tcPr>
            <w:tcW w:w="423" w:type="pct"/>
            <w:shd w:val="clear" w:color="auto" w:fill="auto"/>
            <w:noWrap/>
            <w:vAlign w:val="center"/>
          </w:tcPr>
          <w:p w14:paraId="12B18A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单位</w:t>
            </w:r>
          </w:p>
        </w:tc>
        <w:tc>
          <w:tcPr>
            <w:tcW w:w="712" w:type="pct"/>
            <w:shd w:val="clear" w:color="auto" w:fill="auto"/>
            <w:noWrap/>
            <w:vAlign w:val="center"/>
          </w:tcPr>
          <w:p w14:paraId="238383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u w:val="single"/>
              </w:rPr>
            </w:pPr>
            <w:r>
              <w:rPr>
                <w:rFonts w:hint="default" w:ascii="Times New Roman" w:hAnsi="Times New Roman" w:eastAsia="宋体" w:cs="Times New Roman"/>
                <w:b/>
                <w:bCs/>
                <w:kern w:val="0"/>
                <w:szCs w:val="21"/>
                <w:u w:val="single"/>
                <w:lang w:bidi="ar"/>
              </w:rPr>
              <w:t>数量</w:t>
            </w:r>
          </w:p>
        </w:tc>
        <w:tc>
          <w:tcPr>
            <w:tcW w:w="712" w:type="pct"/>
            <w:vAlign w:val="center"/>
          </w:tcPr>
          <w:p w14:paraId="4FFE9D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kern w:val="0"/>
                <w:szCs w:val="21"/>
                <w:u w:val="single"/>
                <w:lang w:bidi="ar"/>
              </w:rPr>
            </w:pPr>
            <w:r>
              <w:rPr>
                <w:rFonts w:hint="default" w:ascii="Times New Roman" w:hAnsi="Times New Roman" w:eastAsia="宋体" w:cs="Times New Roman"/>
                <w:b/>
                <w:u w:val="single"/>
              </w:rPr>
              <w:t>备注</w:t>
            </w:r>
          </w:p>
        </w:tc>
      </w:tr>
      <w:tr w14:paraId="3C1EED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8" w:type="pct"/>
            <w:shd w:val="clear" w:color="auto" w:fill="auto"/>
            <w:noWrap/>
            <w:vAlign w:val="center"/>
          </w:tcPr>
          <w:p w14:paraId="5E5AFD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1</w:t>
            </w:r>
          </w:p>
        </w:tc>
        <w:tc>
          <w:tcPr>
            <w:tcW w:w="2733" w:type="pct"/>
            <w:shd w:val="clear" w:color="auto" w:fill="FFFFFF"/>
            <w:vAlign w:val="center"/>
          </w:tcPr>
          <w:p w14:paraId="74AAF67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Cs w:val="21"/>
                <w:u w:val="single"/>
                <w:lang w:val="en-US"/>
              </w:rPr>
            </w:pPr>
            <w:r>
              <w:rPr>
                <w:rFonts w:hint="default" w:ascii="Times New Roman" w:hAnsi="Times New Roman" w:eastAsia="宋体" w:cs="Times New Roman"/>
                <w:sz w:val="21"/>
                <w:u w:val="single"/>
                <w:lang w:eastAsia="zh-CN"/>
              </w:rPr>
              <w:t>“pH调节+絮凝+气浮+芬顿氧化+水解酸化+AO处理+沉淀”</w:t>
            </w:r>
            <w:r>
              <w:rPr>
                <w:rFonts w:hint="default" w:ascii="Times New Roman" w:hAnsi="Times New Roman" w:eastAsia="宋体" w:cs="Times New Roman"/>
                <w:sz w:val="21"/>
                <w:u w:val="single"/>
                <w:lang w:val="en-US" w:eastAsia="zh-CN"/>
              </w:rPr>
              <w:t>污水处理站3</w:t>
            </w:r>
            <w:r>
              <w:rPr>
                <w:rFonts w:hint="default" w:ascii="Times New Roman" w:hAnsi="Times New Roman" w:eastAsia="宋体" w:cs="Times New Roman"/>
                <w:sz w:val="21"/>
                <w:u w:val="single"/>
                <w:lang w:eastAsia="zh-CN"/>
              </w:rPr>
              <w:t>0m</w:t>
            </w:r>
            <w:r>
              <w:rPr>
                <w:rFonts w:hint="default" w:ascii="Times New Roman" w:hAnsi="Times New Roman" w:eastAsia="宋体" w:cs="Times New Roman"/>
                <w:sz w:val="21"/>
                <w:u w:val="single"/>
                <w:vertAlign w:val="superscript"/>
                <w:lang w:eastAsia="zh-CN"/>
              </w:rPr>
              <w:t>3</w:t>
            </w:r>
            <w:r>
              <w:rPr>
                <w:rFonts w:hint="default" w:ascii="Times New Roman" w:hAnsi="Times New Roman" w:eastAsia="宋体" w:cs="Times New Roman"/>
                <w:sz w:val="21"/>
                <w:u w:val="single"/>
                <w:lang w:eastAsia="zh-CN"/>
              </w:rPr>
              <w:t>/d</w:t>
            </w:r>
          </w:p>
        </w:tc>
        <w:tc>
          <w:tcPr>
            <w:tcW w:w="423" w:type="pct"/>
            <w:shd w:val="clear" w:color="auto" w:fill="auto"/>
            <w:vAlign w:val="center"/>
          </w:tcPr>
          <w:p w14:paraId="28D968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lang w:eastAsia="zh-CN"/>
              </w:rPr>
            </w:pPr>
            <w:r>
              <w:rPr>
                <w:rFonts w:hint="default" w:ascii="Times New Roman" w:hAnsi="Times New Roman" w:eastAsia="宋体" w:cs="Times New Roman"/>
                <w:kern w:val="0"/>
                <w:szCs w:val="21"/>
                <w:u w:val="single"/>
                <w:lang w:val="en-US" w:eastAsia="zh-CN" w:bidi="ar"/>
              </w:rPr>
              <w:t>座</w:t>
            </w:r>
          </w:p>
        </w:tc>
        <w:tc>
          <w:tcPr>
            <w:tcW w:w="712" w:type="pct"/>
            <w:shd w:val="clear" w:color="auto" w:fill="auto"/>
            <w:vAlign w:val="center"/>
          </w:tcPr>
          <w:p w14:paraId="4BD6BF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lang w:eastAsia="zh-CN"/>
              </w:rPr>
            </w:pPr>
            <w:r>
              <w:rPr>
                <w:rFonts w:hint="default" w:ascii="Times New Roman" w:hAnsi="Times New Roman" w:eastAsia="宋体" w:cs="Times New Roman"/>
                <w:kern w:val="0"/>
                <w:szCs w:val="21"/>
                <w:u w:val="single"/>
                <w:lang w:val="en-US" w:eastAsia="zh-CN" w:bidi="ar"/>
              </w:rPr>
              <w:t>1</w:t>
            </w:r>
          </w:p>
        </w:tc>
        <w:tc>
          <w:tcPr>
            <w:tcW w:w="712" w:type="pct"/>
            <w:vAlign w:val="center"/>
          </w:tcPr>
          <w:p w14:paraId="204EDD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val="en-US" w:eastAsia="zh-CN" w:bidi="ar"/>
              </w:rPr>
            </w:pPr>
            <w:r>
              <w:rPr>
                <w:rFonts w:hint="default" w:ascii="Times New Roman" w:hAnsi="Times New Roman" w:eastAsia="宋体" w:cs="Times New Roman"/>
                <w:kern w:val="0"/>
                <w:szCs w:val="21"/>
                <w:u w:val="single"/>
                <w:lang w:val="en-US" w:eastAsia="zh-CN" w:bidi="ar"/>
              </w:rPr>
              <w:t>新设</w:t>
            </w:r>
          </w:p>
        </w:tc>
      </w:tr>
      <w:tr w14:paraId="1C4DE8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8" w:type="pct"/>
            <w:shd w:val="clear" w:color="auto" w:fill="auto"/>
            <w:noWrap/>
            <w:vAlign w:val="center"/>
          </w:tcPr>
          <w:p w14:paraId="33D61E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2</w:t>
            </w:r>
          </w:p>
        </w:tc>
        <w:tc>
          <w:tcPr>
            <w:tcW w:w="2733" w:type="pct"/>
            <w:shd w:val="clear" w:color="auto" w:fill="FFFFFF"/>
            <w:vAlign w:val="center"/>
          </w:tcPr>
          <w:p w14:paraId="77A574A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Cs w:val="21"/>
                <w:u w:val="single"/>
              </w:rPr>
            </w:pPr>
            <w:r>
              <w:rPr>
                <w:rFonts w:hint="default" w:ascii="Times New Roman" w:hAnsi="Times New Roman" w:eastAsia="宋体" w:cs="Times New Roman"/>
                <w:sz w:val="21"/>
                <w:u w:val="single"/>
                <w:lang w:val="en-US" w:eastAsia="zh-CN"/>
              </w:rPr>
              <w:t>负压系统+</w:t>
            </w:r>
            <w:r>
              <w:rPr>
                <w:rFonts w:hint="default" w:ascii="Times New Roman" w:hAnsi="Times New Roman" w:eastAsia="宋体" w:cs="Times New Roman"/>
                <w:sz w:val="21"/>
                <w:u w:val="single"/>
                <w:lang w:eastAsia="zh-CN"/>
              </w:rPr>
              <w:t>RCO催化燃烧装置</w:t>
            </w:r>
          </w:p>
        </w:tc>
        <w:tc>
          <w:tcPr>
            <w:tcW w:w="423" w:type="pct"/>
            <w:shd w:val="clear" w:color="auto" w:fill="auto"/>
            <w:vAlign w:val="center"/>
          </w:tcPr>
          <w:p w14:paraId="41E9AD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lang w:eastAsia="zh-CN"/>
              </w:rPr>
            </w:pPr>
            <w:r>
              <w:rPr>
                <w:rFonts w:hint="default" w:ascii="Times New Roman" w:hAnsi="Times New Roman" w:eastAsia="宋体" w:cs="Times New Roman"/>
                <w:kern w:val="0"/>
                <w:szCs w:val="21"/>
                <w:u w:val="single"/>
                <w:lang w:val="en-US" w:eastAsia="zh-CN" w:bidi="ar"/>
              </w:rPr>
              <w:t>套</w:t>
            </w:r>
          </w:p>
        </w:tc>
        <w:tc>
          <w:tcPr>
            <w:tcW w:w="712" w:type="pct"/>
            <w:shd w:val="clear" w:color="auto" w:fill="auto"/>
            <w:vAlign w:val="center"/>
          </w:tcPr>
          <w:p w14:paraId="4B6E98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lang w:eastAsia="zh-CN"/>
              </w:rPr>
            </w:pPr>
            <w:r>
              <w:rPr>
                <w:rFonts w:hint="default" w:ascii="Times New Roman" w:hAnsi="Times New Roman" w:eastAsia="宋体" w:cs="Times New Roman"/>
                <w:kern w:val="0"/>
                <w:szCs w:val="21"/>
                <w:u w:val="single"/>
                <w:lang w:val="en-US" w:eastAsia="zh-CN" w:bidi="ar"/>
              </w:rPr>
              <w:t>1</w:t>
            </w:r>
          </w:p>
        </w:tc>
        <w:tc>
          <w:tcPr>
            <w:tcW w:w="712" w:type="pct"/>
            <w:vAlign w:val="center"/>
          </w:tcPr>
          <w:p w14:paraId="12AF0E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kern w:val="0"/>
                <w:szCs w:val="21"/>
                <w:u w:val="single"/>
                <w:lang w:val="en-US" w:eastAsia="zh-CN" w:bidi="ar"/>
              </w:rPr>
              <w:t>新设</w:t>
            </w:r>
          </w:p>
        </w:tc>
      </w:tr>
      <w:tr w14:paraId="0C9EAF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8" w:type="pct"/>
            <w:shd w:val="clear" w:color="auto" w:fill="auto"/>
            <w:noWrap/>
            <w:vAlign w:val="center"/>
          </w:tcPr>
          <w:p w14:paraId="154C19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3</w:t>
            </w:r>
          </w:p>
        </w:tc>
        <w:tc>
          <w:tcPr>
            <w:tcW w:w="2733" w:type="pct"/>
            <w:shd w:val="clear" w:color="auto" w:fill="FFFFFF"/>
            <w:vAlign w:val="center"/>
          </w:tcPr>
          <w:p w14:paraId="0D5BC9D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Cs w:val="21"/>
                <w:u w:val="single"/>
              </w:rPr>
            </w:pPr>
            <w:r>
              <w:rPr>
                <w:rFonts w:hint="default" w:ascii="Times New Roman" w:hAnsi="Times New Roman" w:eastAsia="宋体" w:cs="Times New Roman"/>
                <w:sz w:val="21"/>
                <w:u w:val="single"/>
                <w:lang w:val="en-US" w:eastAsia="zh-CN"/>
              </w:rPr>
              <w:t>负压系统+</w:t>
            </w:r>
            <w:r>
              <w:rPr>
                <w:rFonts w:hint="default" w:ascii="Times New Roman" w:hAnsi="Times New Roman" w:eastAsia="宋体" w:cs="Times New Roman"/>
                <w:sz w:val="21"/>
                <w:u w:val="single"/>
                <w:lang w:eastAsia="zh-CN"/>
              </w:rPr>
              <w:t>UV光解+活性炭吸附装置</w:t>
            </w:r>
          </w:p>
        </w:tc>
        <w:tc>
          <w:tcPr>
            <w:tcW w:w="423" w:type="pct"/>
            <w:shd w:val="clear" w:color="auto" w:fill="auto"/>
            <w:vAlign w:val="center"/>
          </w:tcPr>
          <w:p w14:paraId="6DD9378F">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val="en-US" w:eastAsia="zh-CN" w:bidi="ar"/>
              </w:rPr>
              <w:t>套</w:t>
            </w:r>
          </w:p>
        </w:tc>
        <w:tc>
          <w:tcPr>
            <w:tcW w:w="712" w:type="pct"/>
            <w:shd w:val="clear" w:color="auto" w:fill="auto"/>
            <w:vAlign w:val="center"/>
          </w:tcPr>
          <w:p w14:paraId="77DF8A4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val="en-US" w:eastAsia="zh-CN" w:bidi="ar"/>
              </w:rPr>
              <w:t>1</w:t>
            </w:r>
          </w:p>
        </w:tc>
        <w:tc>
          <w:tcPr>
            <w:tcW w:w="712" w:type="pct"/>
            <w:vAlign w:val="center"/>
          </w:tcPr>
          <w:p w14:paraId="4AECCC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kern w:val="0"/>
                <w:szCs w:val="21"/>
                <w:u w:val="single"/>
                <w:lang w:val="en-US" w:eastAsia="zh-CN" w:bidi="ar"/>
              </w:rPr>
              <w:t>新设</w:t>
            </w:r>
          </w:p>
        </w:tc>
      </w:tr>
      <w:tr w14:paraId="7F9429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00" w:hRule="atLeast"/>
        </w:trPr>
        <w:tc>
          <w:tcPr>
            <w:tcW w:w="418" w:type="pct"/>
            <w:shd w:val="clear" w:color="auto" w:fill="auto"/>
            <w:noWrap/>
            <w:vAlign w:val="center"/>
          </w:tcPr>
          <w:p w14:paraId="5994AE0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lang w:eastAsia="zh-CN"/>
              </w:rPr>
            </w:pPr>
            <w:r>
              <w:rPr>
                <w:rFonts w:hint="default" w:ascii="Times New Roman" w:hAnsi="Times New Roman" w:eastAsia="宋体" w:cs="Times New Roman"/>
                <w:kern w:val="0"/>
                <w:szCs w:val="21"/>
                <w:u w:val="single"/>
                <w:lang w:val="en-US" w:eastAsia="zh-CN" w:bidi="ar"/>
              </w:rPr>
              <w:t>4</w:t>
            </w:r>
          </w:p>
        </w:tc>
        <w:tc>
          <w:tcPr>
            <w:tcW w:w="2733" w:type="pct"/>
            <w:shd w:val="clear" w:color="auto" w:fill="FFFFFF"/>
            <w:vAlign w:val="center"/>
          </w:tcPr>
          <w:p w14:paraId="2F7BDCB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Cs w:val="21"/>
                <w:u w:val="single"/>
              </w:rPr>
            </w:pPr>
            <w:r>
              <w:rPr>
                <w:rFonts w:hint="default" w:ascii="Times New Roman" w:hAnsi="Times New Roman" w:eastAsia="宋体" w:cs="Times New Roman"/>
                <w:sz w:val="21"/>
                <w:u w:val="single"/>
                <w:lang w:eastAsia="zh-CN"/>
              </w:rPr>
              <w:t>应急事故池</w:t>
            </w:r>
          </w:p>
        </w:tc>
        <w:tc>
          <w:tcPr>
            <w:tcW w:w="423" w:type="pct"/>
            <w:shd w:val="clear" w:color="auto" w:fill="auto"/>
            <w:vAlign w:val="center"/>
          </w:tcPr>
          <w:p w14:paraId="45F02F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lang w:eastAsia="zh-CN"/>
              </w:rPr>
            </w:pPr>
            <w:r>
              <w:rPr>
                <w:rFonts w:hint="default" w:ascii="Times New Roman" w:hAnsi="Times New Roman" w:eastAsia="宋体" w:cs="Times New Roman"/>
                <w:kern w:val="0"/>
                <w:szCs w:val="21"/>
                <w:u w:val="single"/>
                <w:lang w:val="en-US" w:eastAsia="zh-CN" w:bidi="ar"/>
              </w:rPr>
              <w:t>个</w:t>
            </w:r>
          </w:p>
        </w:tc>
        <w:tc>
          <w:tcPr>
            <w:tcW w:w="712" w:type="pct"/>
            <w:shd w:val="clear" w:color="auto" w:fill="auto"/>
            <w:vAlign w:val="center"/>
          </w:tcPr>
          <w:p w14:paraId="4C2A65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lang w:bidi="ar"/>
              </w:rPr>
              <w:t xml:space="preserve">1 </w:t>
            </w:r>
          </w:p>
        </w:tc>
        <w:tc>
          <w:tcPr>
            <w:tcW w:w="712" w:type="pct"/>
            <w:vAlign w:val="center"/>
          </w:tcPr>
          <w:p w14:paraId="2EAA35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bidi="ar"/>
              </w:rPr>
            </w:pPr>
            <w:r>
              <w:rPr>
                <w:rFonts w:hint="default" w:ascii="Times New Roman" w:hAnsi="Times New Roman" w:eastAsia="宋体" w:cs="Times New Roman"/>
                <w:kern w:val="0"/>
                <w:szCs w:val="21"/>
                <w:u w:val="single"/>
                <w:lang w:val="en-US" w:eastAsia="zh-CN" w:bidi="ar"/>
              </w:rPr>
              <w:t>新设</w:t>
            </w:r>
          </w:p>
        </w:tc>
      </w:tr>
    </w:tbl>
    <w:p w14:paraId="0E9351BC">
      <w:pPr>
        <w:pStyle w:val="3"/>
        <w:spacing w:before="0" w:after="0" w:line="360" w:lineRule="auto"/>
        <w:jc w:val="left"/>
        <w:rPr>
          <w:rFonts w:hint="default" w:ascii="Times New Roman" w:hAnsi="Times New Roman" w:eastAsia="宋体" w:cs="Times New Roman"/>
        </w:rPr>
      </w:pPr>
      <w:bookmarkStart w:id="264" w:name="_Toc23660"/>
      <w:r>
        <w:rPr>
          <w:rFonts w:hint="default" w:ascii="Times New Roman" w:hAnsi="Times New Roman" w:eastAsia="宋体" w:cs="Times New Roman"/>
          <w:kern w:val="0"/>
          <w:sz w:val="30"/>
          <w:szCs w:val="28"/>
        </w:rPr>
        <w:t>4.5</w:t>
      </w:r>
      <w:r>
        <w:rPr>
          <w:rFonts w:hint="default" w:ascii="Times New Roman" w:hAnsi="Times New Roman" w:eastAsia="宋体" w:cs="Times New Roman"/>
          <w:kern w:val="0"/>
        </w:rPr>
        <w:t>扩建</w:t>
      </w:r>
      <w:r>
        <w:rPr>
          <w:rFonts w:hint="default" w:ascii="Times New Roman" w:hAnsi="Times New Roman" w:eastAsia="宋体" w:cs="Times New Roman"/>
        </w:rPr>
        <w:t>项目主要原辅材料</w:t>
      </w:r>
      <w:bookmarkEnd w:id="264"/>
    </w:p>
    <w:p w14:paraId="1FD4677B">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本项目进行危险废物利用的原辅料情况详见表4.5-1</w:t>
      </w:r>
    </w:p>
    <w:p w14:paraId="054B9CC8">
      <w:pPr>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表4.5-1  本项目进行危险废物利用的原辅料情况一览表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698"/>
        <w:gridCol w:w="1714"/>
        <w:gridCol w:w="790"/>
        <w:gridCol w:w="779"/>
        <w:gridCol w:w="1001"/>
        <w:gridCol w:w="3354"/>
      </w:tblGrid>
      <w:tr w14:paraId="1A07585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2" w:hRule="atLeast"/>
        </w:trPr>
        <w:tc>
          <w:tcPr>
            <w:tcW w:w="419" w:type="pct"/>
            <w:vAlign w:val="center"/>
          </w:tcPr>
          <w:p w14:paraId="366006D6">
            <w:pPr>
              <w:pStyle w:val="60"/>
              <w:adjustRightInd w:val="0"/>
              <w:snapToGrid w:val="0"/>
              <w:rPr>
                <w:rFonts w:hint="default" w:ascii="Times New Roman" w:hAnsi="Times New Roman" w:eastAsia="宋体" w:cs="Times New Roman"/>
                <w:b/>
                <w:sz w:val="21"/>
                <w:szCs w:val="21"/>
                <w:u w:val="single"/>
                <w:lang w:eastAsia="en-US"/>
              </w:rPr>
            </w:pPr>
            <w:r>
              <w:rPr>
                <w:rFonts w:hint="default" w:ascii="Times New Roman" w:hAnsi="Times New Roman" w:eastAsia="宋体" w:cs="Times New Roman"/>
                <w:b/>
                <w:sz w:val="21"/>
                <w:szCs w:val="21"/>
                <w:u w:val="single"/>
                <w:lang w:eastAsia="en-US"/>
              </w:rPr>
              <w:t>序号</w:t>
            </w:r>
          </w:p>
        </w:tc>
        <w:tc>
          <w:tcPr>
            <w:tcW w:w="1028" w:type="pct"/>
            <w:vAlign w:val="center"/>
          </w:tcPr>
          <w:p w14:paraId="4BF3599F">
            <w:pPr>
              <w:pStyle w:val="60"/>
              <w:adjustRightInd w:val="0"/>
              <w:snapToGrid w:val="0"/>
              <w:rPr>
                <w:rFonts w:hint="default" w:ascii="Times New Roman" w:hAnsi="Times New Roman" w:eastAsia="宋体" w:cs="Times New Roman"/>
                <w:b/>
                <w:sz w:val="21"/>
                <w:szCs w:val="21"/>
                <w:u w:val="single"/>
                <w:lang w:eastAsia="en-US"/>
              </w:rPr>
            </w:pPr>
            <w:r>
              <w:rPr>
                <w:rFonts w:hint="default" w:ascii="Times New Roman" w:hAnsi="Times New Roman" w:eastAsia="宋体" w:cs="Times New Roman"/>
                <w:b/>
                <w:sz w:val="21"/>
                <w:szCs w:val="21"/>
                <w:u w:val="single"/>
                <w:lang w:eastAsia="en-US"/>
              </w:rPr>
              <w:t>名称</w:t>
            </w:r>
          </w:p>
        </w:tc>
        <w:tc>
          <w:tcPr>
            <w:tcW w:w="474" w:type="pct"/>
            <w:vAlign w:val="center"/>
          </w:tcPr>
          <w:p w14:paraId="7D0FDDE8">
            <w:pPr>
              <w:pStyle w:val="60"/>
              <w:adjustRightInd w:val="0"/>
              <w:snapToGrid w:val="0"/>
              <w:rPr>
                <w:rFonts w:hint="default" w:ascii="Times New Roman" w:hAnsi="Times New Roman" w:eastAsia="宋体" w:cs="Times New Roman"/>
                <w:b/>
                <w:sz w:val="21"/>
                <w:szCs w:val="21"/>
                <w:u w:val="single"/>
                <w:lang w:eastAsia="en-US"/>
              </w:rPr>
            </w:pPr>
            <w:r>
              <w:rPr>
                <w:rFonts w:hint="default" w:ascii="Times New Roman" w:hAnsi="Times New Roman" w:eastAsia="宋体" w:cs="Times New Roman"/>
                <w:b/>
                <w:sz w:val="21"/>
                <w:szCs w:val="21"/>
                <w:u w:val="single"/>
                <w:lang w:eastAsia="en-US"/>
              </w:rPr>
              <w:t>单位</w:t>
            </w:r>
          </w:p>
        </w:tc>
        <w:tc>
          <w:tcPr>
            <w:tcW w:w="467" w:type="pct"/>
            <w:vAlign w:val="center"/>
          </w:tcPr>
          <w:p w14:paraId="36C1CEFC">
            <w:pPr>
              <w:pStyle w:val="60"/>
              <w:adjustRightInd w:val="0"/>
              <w:snapToGrid w:val="0"/>
              <w:rPr>
                <w:rFonts w:hint="default" w:ascii="Times New Roman" w:hAnsi="Times New Roman" w:eastAsia="宋体" w:cs="Times New Roman"/>
                <w:b/>
                <w:sz w:val="21"/>
                <w:szCs w:val="21"/>
                <w:u w:val="single"/>
                <w:lang w:eastAsia="en-US"/>
              </w:rPr>
            </w:pPr>
            <w:r>
              <w:rPr>
                <w:rFonts w:hint="default" w:ascii="Times New Roman" w:hAnsi="Times New Roman" w:eastAsia="宋体" w:cs="Times New Roman"/>
                <w:b/>
                <w:sz w:val="21"/>
                <w:szCs w:val="21"/>
                <w:u w:val="single"/>
                <w:lang w:eastAsia="en-US"/>
              </w:rPr>
              <w:t>年用量</w:t>
            </w:r>
          </w:p>
        </w:tc>
        <w:tc>
          <w:tcPr>
            <w:tcW w:w="600" w:type="pct"/>
            <w:vAlign w:val="center"/>
          </w:tcPr>
          <w:p w14:paraId="6826E824">
            <w:pPr>
              <w:pStyle w:val="60"/>
              <w:adjustRightInd w:val="0"/>
              <w:snapToGrid w:val="0"/>
              <w:rPr>
                <w:rFonts w:hint="default" w:ascii="Times New Roman" w:hAnsi="Times New Roman" w:eastAsia="宋体" w:cs="Times New Roman"/>
                <w:b/>
                <w:sz w:val="21"/>
                <w:szCs w:val="21"/>
                <w:u w:val="single"/>
                <w:lang w:eastAsia="zh-CN"/>
              </w:rPr>
            </w:pPr>
            <w:r>
              <w:rPr>
                <w:rFonts w:hint="default" w:ascii="Times New Roman" w:hAnsi="Times New Roman" w:eastAsia="宋体" w:cs="Times New Roman"/>
                <w:b/>
                <w:sz w:val="21"/>
                <w:szCs w:val="21"/>
                <w:u w:val="single"/>
                <w:lang w:eastAsia="zh-CN"/>
              </w:rPr>
              <w:t>厂区最大</w:t>
            </w:r>
          </w:p>
          <w:p w14:paraId="5894F0A9">
            <w:pPr>
              <w:pStyle w:val="60"/>
              <w:adjustRightInd w:val="0"/>
              <w:snapToGrid w:val="0"/>
              <w:rPr>
                <w:rFonts w:hint="default" w:ascii="Times New Roman" w:hAnsi="Times New Roman" w:eastAsia="宋体" w:cs="Times New Roman"/>
                <w:b/>
                <w:sz w:val="21"/>
                <w:szCs w:val="21"/>
                <w:u w:val="single"/>
                <w:lang w:eastAsia="en-US"/>
              </w:rPr>
            </w:pPr>
            <w:r>
              <w:rPr>
                <w:rFonts w:hint="default" w:ascii="Times New Roman" w:hAnsi="Times New Roman" w:eastAsia="宋体" w:cs="Times New Roman"/>
                <w:b/>
                <w:sz w:val="21"/>
                <w:szCs w:val="21"/>
                <w:u w:val="single"/>
                <w:lang w:eastAsia="zh-CN"/>
              </w:rPr>
              <w:t>暂存量</w:t>
            </w:r>
          </w:p>
        </w:tc>
        <w:tc>
          <w:tcPr>
            <w:tcW w:w="2011" w:type="pct"/>
            <w:vAlign w:val="center"/>
          </w:tcPr>
          <w:p w14:paraId="5098ECA2">
            <w:pPr>
              <w:pStyle w:val="60"/>
              <w:adjustRightInd w:val="0"/>
              <w:snapToGrid w:val="0"/>
              <w:rPr>
                <w:rFonts w:hint="default" w:ascii="Times New Roman" w:hAnsi="Times New Roman" w:eastAsia="宋体" w:cs="Times New Roman"/>
                <w:b/>
                <w:sz w:val="21"/>
                <w:szCs w:val="21"/>
                <w:u w:val="single"/>
                <w:lang w:eastAsia="en-US"/>
              </w:rPr>
            </w:pPr>
            <w:r>
              <w:rPr>
                <w:rFonts w:hint="default" w:ascii="Times New Roman" w:hAnsi="Times New Roman" w:eastAsia="宋体" w:cs="Times New Roman"/>
                <w:b/>
                <w:sz w:val="21"/>
                <w:szCs w:val="21"/>
                <w:u w:val="single"/>
                <w:lang w:eastAsia="en-US"/>
              </w:rPr>
              <w:t>备注</w:t>
            </w:r>
          </w:p>
        </w:tc>
      </w:tr>
      <w:tr w14:paraId="0DCF45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419" w:type="pct"/>
            <w:vAlign w:val="center"/>
          </w:tcPr>
          <w:p w14:paraId="231F6EE2">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1</w:t>
            </w:r>
          </w:p>
        </w:tc>
        <w:tc>
          <w:tcPr>
            <w:tcW w:w="1028" w:type="pct"/>
            <w:vAlign w:val="center"/>
          </w:tcPr>
          <w:p w14:paraId="56F74C92">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废金属包装容器</w:t>
            </w:r>
          </w:p>
          <w:p w14:paraId="4562C825">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（危险废物）</w:t>
            </w:r>
          </w:p>
        </w:tc>
        <w:tc>
          <w:tcPr>
            <w:tcW w:w="474" w:type="pct"/>
            <w:vAlign w:val="center"/>
          </w:tcPr>
          <w:p w14:paraId="70ADCC82">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467" w:type="pct"/>
            <w:vAlign w:val="center"/>
          </w:tcPr>
          <w:p w14:paraId="66F5EF5E">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10000</w:t>
            </w:r>
          </w:p>
        </w:tc>
        <w:tc>
          <w:tcPr>
            <w:tcW w:w="600" w:type="pct"/>
            <w:vAlign w:val="center"/>
          </w:tcPr>
          <w:p w14:paraId="21327FC4">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200</w:t>
            </w:r>
          </w:p>
        </w:tc>
        <w:tc>
          <w:tcPr>
            <w:tcW w:w="2011" w:type="pct"/>
            <w:vAlign w:val="center"/>
          </w:tcPr>
          <w:p w14:paraId="33134118">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形态较好的（约占1/5）进行整形翻新；</w:t>
            </w:r>
          </w:p>
          <w:p w14:paraId="7017CBED">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形态不好的（约占4/5）经撕碎、振动输送、磁选、团粒等工艺制成铁块外卖再生企业</w:t>
            </w:r>
          </w:p>
        </w:tc>
      </w:tr>
      <w:tr w14:paraId="2F5BDE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7" w:hRule="atLeast"/>
        </w:trPr>
        <w:tc>
          <w:tcPr>
            <w:tcW w:w="419" w:type="pct"/>
            <w:vAlign w:val="center"/>
          </w:tcPr>
          <w:p w14:paraId="19F75B28">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2</w:t>
            </w:r>
          </w:p>
        </w:tc>
        <w:tc>
          <w:tcPr>
            <w:tcW w:w="1028" w:type="pct"/>
            <w:vAlign w:val="center"/>
          </w:tcPr>
          <w:p w14:paraId="3DC60617">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废金属机油滤芯</w:t>
            </w:r>
          </w:p>
          <w:p w14:paraId="487B2D33">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（危险废物）</w:t>
            </w:r>
          </w:p>
        </w:tc>
        <w:tc>
          <w:tcPr>
            <w:tcW w:w="474" w:type="pct"/>
            <w:vAlign w:val="center"/>
          </w:tcPr>
          <w:p w14:paraId="7CB3F185">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467" w:type="pct"/>
            <w:vAlign w:val="center"/>
          </w:tcPr>
          <w:p w14:paraId="251A3048">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5000</w:t>
            </w:r>
          </w:p>
        </w:tc>
        <w:tc>
          <w:tcPr>
            <w:tcW w:w="600" w:type="pct"/>
            <w:vAlign w:val="center"/>
          </w:tcPr>
          <w:p w14:paraId="38BF0731">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100</w:t>
            </w:r>
          </w:p>
        </w:tc>
        <w:tc>
          <w:tcPr>
            <w:tcW w:w="2011" w:type="pct"/>
            <w:vAlign w:val="center"/>
          </w:tcPr>
          <w:p w14:paraId="5EC337AA">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经撕碎、振动输送、磁选、团粒等工艺制成铁块外卖再生企业</w:t>
            </w:r>
          </w:p>
        </w:tc>
      </w:tr>
      <w:tr w14:paraId="628F1A6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2" w:hRule="atLeast"/>
        </w:trPr>
        <w:tc>
          <w:tcPr>
            <w:tcW w:w="419" w:type="pct"/>
            <w:vAlign w:val="center"/>
          </w:tcPr>
          <w:p w14:paraId="7699DD5C">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3</w:t>
            </w:r>
          </w:p>
        </w:tc>
        <w:tc>
          <w:tcPr>
            <w:tcW w:w="1028" w:type="pct"/>
            <w:vAlign w:val="center"/>
          </w:tcPr>
          <w:p w14:paraId="74735236">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废塑料包装容器</w:t>
            </w:r>
          </w:p>
          <w:p w14:paraId="5714DE5F">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（危险废物）</w:t>
            </w:r>
          </w:p>
        </w:tc>
        <w:tc>
          <w:tcPr>
            <w:tcW w:w="474" w:type="pct"/>
            <w:vAlign w:val="center"/>
          </w:tcPr>
          <w:p w14:paraId="1C7DEC67">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467" w:type="pct"/>
            <w:vAlign w:val="center"/>
          </w:tcPr>
          <w:p w14:paraId="6FE8332F">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5000</w:t>
            </w:r>
          </w:p>
        </w:tc>
        <w:tc>
          <w:tcPr>
            <w:tcW w:w="600" w:type="pct"/>
            <w:vAlign w:val="center"/>
          </w:tcPr>
          <w:p w14:paraId="55142C22">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100</w:t>
            </w:r>
          </w:p>
        </w:tc>
        <w:tc>
          <w:tcPr>
            <w:tcW w:w="2011" w:type="pct"/>
            <w:vAlign w:val="center"/>
          </w:tcPr>
          <w:p w14:paraId="3A4C3501">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经撕碎、清洗、脱水吹干、分选等工艺制成塑料碎片外售再生企业</w:t>
            </w:r>
          </w:p>
        </w:tc>
      </w:tr>
      <w:tr w14:paraId="1C3F20B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419" w:type="pct"/>
            <w:vAlign w:val="center"/>
          </w:tcPr>
          <w:p w14:paraId="13755276">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4</w:t>
            </w:r>
          </w:p>
        </w:tc>
        <w:tc>
          <w:tcPr>
            <w:tcW w:w="1028" w:type="pct"/>
            <w:vAlign w:val="center"/>
          </w:tcPr>
          <w:p w14:paraId="05D2AB1F">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纯碱（98% 碳酸钠）</w:t>
            </w:r>
          </w:p>
        </w:tc>
        <w:tc>
          <w:tcPr>
            <w:tcW w:w="474" w:type="pct"/>
            <w:vAlign w:val="center"/>
          </w:tcPr>
          <w:p w14:paraId="74525350">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467" w:type="pct"/>
            <w:vAlign w:val="center"/>
          </w:tcPr>
          <w:p w14:paraId="78308090">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20</w:t>
            </w:r>
          </w:p>
        </w:tc>
        <w:tc>
          <w:tcPr>
            <w:tcW w:w="600" w:type="pct"/>
            <w:vAlign w:val="center"/>
          </w:tcPr>
          <w:p w14:paraId="6C75B8B6">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2</w:t>
            </w:r>
          </w:p>
        </w:tc>
        <w:tc>
          <w:tcPr>
            <w:tcW w:w="2011" w:type="pct"/>
            <w:vAlign w:val="center"/>
          </w:tcPr>
          <w:p w14:paraId="274275E6">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作为废塑料包装容器清洗剂加强去污能力</w:t>
            </w:r>
          </w:p>
        </w:tc>
      </w:tr>
      <w:tr w14:paraId="62B0F3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2" w:hRule="atLeast"/>
        </w:trPr>
        <w:tc>
          <w:tcPr>
            <w:tcW w:w="419" w:type="pct"/>
            <w:vAlign w:val="center"/>
          </w:tcPr>
          <w:p w14:paraId="1C205AA7">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5</w:t>
            </w:r>
          </w:p>
        </w:tc>
        <w:tc>
          <w:tcPr>
            <w:tcW w:w="1028" w:type="pct"/>
            <w:vAlign w:val="center"/>
          </w:tcPr>
          <w:p w14:paraId="157B69B0">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工业洗衣粉</w:t>
            </w:r>
          </w:p>
        </w:tc>
        <w:tc>
          <w:tcPr>
            <w:tcW w:w="474" w:type="pct"/>
            <w:vAlign w:val="center"/>
          </w:tcPr>
          <w:p w14:paraId="3628909C">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467" w:type="pct"/>
            <w:vAlign w:val="center"/>
          </w:tcPr>
          <w:p w14:paraId="0C16BCCB">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5</w:t>
            </w:r>
          </w:p>
        </w:tc>
        <w:tc>
          <w:tcPr>
            <w:tcW w:w="600" w:type="pct"/>
            <w:vAlign w:val="center"/>
          </w:tcPr>
          <w:p w14:paraId="3D8BFF39">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0.5</w:t>
            </w:r>
          </w:p>
        </w:tc>
        <w:tc>
          <w:tcPr>
            <w:tcW w:w="2011" w:type="pct"/>
            <w:vAlign w:val="center"/>
          </w:tcPr>
          <w:p w14:paraId="1387202A">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无磷洗衣粉，作为废包装容器清洗剂用于去污</w:t>
            </w:r>
          </w:p>
        </w:tc>
      </w:tr>
      <w:tr w14:paraId="5A7A080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02" w:hRule="atLeast"/>
        </w:trPr>
        <w:tc>
          <w:tcPr>
            <w:tcW w:w="419" w:type="pct"/>
            <w:vAlign w:val="center"/>
          </w:tcPr>
          <w:p w14:paraId="6195A7BC">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6</w:t>
            </w:r>
          </w:p>
        </w:tc>
        <w:tc>
          <w:tcPr>
            <w:tcW w:w="1028" w:type="pct"/>
            <w:vAlign w:val="center"/>
          </w:tcPr>
          <w:p w14:paraId="566D8DD7">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活性炭</w:t>
            </w:r>
          </w:p>
        </w:tc>
        <w:tc>
          <w:tcPr>
            <w:tcW w:w="474" w:type="pct"/>
            <w:vAlign w:val="center"/>
          </w:tcPr>
          <w:p w14:paraId="02936152">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467" w:type="pct"/>
            <w:vAlign w:val="center"/>
          </w:tcPr>
          <w:p w14:paraId="29DE4E66">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1.2</w:t>
            </w:r>
          </w:p>
        </w:tc>
        <w:tc>
          <w:tcPr>
            <w:tcW w:w="600" w:type="pct"/>
            <w:vAlign w:val="center"/>
          </w:tcPr>
          <w:p w14:paraId="344ECC5E">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w:t>
            </w:r>
          </w:p>
        </w:tc>
        <w:tc>
          <w:tcPr>
            <w:tcW w:w="2011" w:type="pct"/>
            <w:vAlign w:val="center"/>
          </w:tcPr>
          <w:p w14:paraId="0F86EAEA">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作为废气处理的吸附介质</w:t>
            </w:r>
          </w:p>
        </w:tc>
      </w:tr>
      <w:tr w14:paraId="35CDE15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19" w:type="pct"/>
            <w:vAlign w:val="center"/>
          </w:tcPr>
          <w:p w14:paraId="330BC475">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7</w:t>
            </w:r>
          </w:p>
        </w:tc>
        <w:tc>
          <w:tcPr>
            <w:tcW w:w="1028" w:type="pct"/>
            <w:vAlign w:val="center"/>
          </w:tcPr>
          <w:p w14:paraId="55B1C099">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PAC</w:t>
            </w:r>
          </w:p>
        </w:tc>
        <w:tc>
          <w:tcPr>
            <w:tcW w:w="474" w:type="pct"/>
            <w:vAlign w:val="center"/>
          </w:tcPr>
          <w:p w14:paraId="3EDA7A2B">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467" w:type="pct"/>
            <w:vAlign w:val="center"/>
          </w:tcPr>
          <w:p w14:paraId="328A4FE3">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10</w:t>
            </w:r>
          </w:p>
        </w:tc>
        <w:tc>
          <w:tcPr>
            <w:tcW w:w="600" w:type="pct"/>
            <w:vAlign w:val="center"/>
          </w:tcPr>
          <w:p w14:paraId="0FA27EBB">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1</w:t>
            </w:r>
          </w:p>
        </w:tc>
        <w:tc>
          <w:tcPr>
            <w:tcW w:w="2011" w:type="pct"/>
            <w:vAlign w:val="center"/>
          </w:tcPr>
          <w:p w14:paraId="5A8E6D06">
            <w:pPr>
              <w:pStyle w:val="60"/>
              <w:adjustRightInd w:val="0"/>
              <w:snapToGrid w:val="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污水处理药剂</w:t>
            </w:r>
          </w:p>
        </w:tc>
      </w:tr>
      <w:tr w14:paraId="71EE8E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419" w:type="pct"/>
            <w:vAlign w:val="center"/>
          </w:tcPr>
          <w:p w14:paraId="79EDC755">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8</w:t>
            </w:r>
          </w:p>
        </w:tc>
        <w:tc>
          <w:tcPr>
            <w:tcW w:w="1028" w:type="pct"/>
            <w:vAlign w:val="center"/>
          </w:tcPr>
          <w:p w14:paraId="7BAC13CF">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PAM</w:t>
            </w:r>
          </w:p>
        </w:tc>
        <w:tc>
          <w:tcPr>
            <w:tcW w:w="474" w:type="pct"/>
            <w:vAlign w:val="center"/>
          </w:tcPr>
          <w:p w14:paraId="7D03F4BD">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467" w:type="pct"/>
            <w:vAlign w:val="center"/>
          </w:tcPr>
          <w:p w14:paraId="2F674925">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1</w:t>
            </w:r>
          </w:p>
        </w:tc>
        <w:tc>
          <w:tcPr>
            <w:tcW w:w="600" w:type="pct"/>
            <w:vAlign w:val="center"/>
          </w:tcPr>
          <w:p w14:paraId="2384D597">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0.2</w:t>
            </w:r>
          </w:p>
        </w:tc>
        <w:tc>
          <w:tcPr>
            <w:tcW w:w="2011" w:type="pct"/>
            <w:vAlign w:val="center"/>
          </w:tcPr>
          <w:p w14:paraId="2C3E4A1C">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val="en-US" w:eastAsia="zh-CN"/>
              </w:rPr>
              <w:t>污水处理药剂</w:t>
            </w:r>
          </w:p>
        </w:tc>
      </w:tr>
      <w:tr w14:paraId="4D7B5B3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419" w:type="pct"/>
            <w:vAlign w:val="center"/>
          </w:tcPr>
          <w:p w14:paraId="6D8B399D">
            <w:pPr>
              <w:pStyle w:val="60"/>
              <w:adjustRightInd w:val="0"/>
              <w:snapToGrid w:val="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9</w:t>
            </w:r>
          </w:p>
        </w:tc>
        <w:tc>
          <w:tcPr>
            <w:tcW w:w="1028" w:type="pct"/>
            <w:vAlign w:val="center"/>
          </w:tcPr>
          <w:p w14:paraId="528424FD">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H</w:t>
            </w:r>
            <w:r>
              <w:rPr>
                <w:rFonts w:hint="default" w:ascii="Times New Roman" w:hAnsi="Times New Roman" w:eastAsia="宋体" w:cs="Times New Roman"/>
                <w:sz w:val="21"/>
                <w:szCs w:val="21"/>
                <w:u w:val="single"/>
                <w:vertAlign w:val="subscript"/>
                <w:lang w:eastAsia="en-US"/>
              </w:rPr>
              <w:t>2</w:t>
            </w:r>
            <w:r>
              <w:rPr>
                <w:rFonts w:hint="default" w:ascii="Times New Roman" w:hAnsi="Times New Roman" w:eastAsia="宋体" w:cs="Times New Roman"/>
                <w:sz w:val="21"/>
                <w:szCs w:val="21"/>
                <w:u w:val="single"/>
                <w:lang w:eastAsia="en-US"/>
              </w:rPr>
              <w:t>O</w:t>
            </w:r>
            <w:r>
              <w:rPr>
                <w:rFonts w:hint="default" w:ascii="Times New Roman" w:hAnsi="Times New Roman" w:eastAsia="宋体" w:cs="Times New Roman"/>
                <w:sz w:val="21"/>
                <w:szCs w:val="21"/>
                <w:u w:val="single"/>
                <w:vertAlign w:val="subscript"/>
                <w:lang w:eastAsia="en-US"/>
              </w:rPr>
              <w:t>2</w:t>
            </w:r>
            <w:r>
              <w:rPr>
                <w:rFonts w:hint="default" w:ascii="Times New Roman" w:hAnsi="Times New Roman" w:eastAsia="宋体" w:cs="Times New Roman"/>
                <w:sz w:val="21"/>
                <w:szCs w:val="21"/>
                <w:u w:val="single"/>
                <w:lang w:eastAsia="en-US"/>
              </w:rPr>
              <w:t>（30%）</w:t>
            </w:r>
          </w:p>
        </w:tc>
        <w:tc>
          <w:tcPr>
            <w:tcW w:w="474" w:type="pct"/>
            <w:vAlign w:val="center"/>
          </w:tcPr>
          <w:p w14:paraId="2EF70C44">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467" w:type="pct"/>
            <w:vAlign w:val="center"/>
          </w:tcPr>
          <w:p w14:paraId="6B81236D">
            <w:pPr>
              <w:pStyle w:val="60"/>
              <w:adjustRightInd w:val="0"/>
              <w:snapToGrid w:val="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5</w:t>
            </w:r>
          </w:p>
        </w:tc>
        <w:tc>
          <w:tcPr>
            <w:tcW w:w="600" w:type="pct"/>
            <w:vAlign w:val="center"/>
          </w:tcPr>
          <w:p w14:paraId="1AEFE0FD">
            <w:pPr>
              <w:pStyle w:val="60"/>
              <w:adjustRightInd w:val="0"/>
              <w:snapToGrid w:val="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0.2</w:t>
            </w:r>
          </w:p>
        </w:tc>
        <w:tc>
          <w:tcPr>
            <w:tcW w:w="2011" w:type="pct"/>
            <w:vAlign w:val="center"/>
          </w:tcPr>
          <w:p w14:paraId="5269D257">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val="en-US" w:eastAsia="zh-CN"/>
              </w:rPr>
              <w:t>污水处理药剂</w:t>
            </w:r>
          </w:p>
        </w:tc>
      </w:tr>
      <w:tr w14:paraId="00244CE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22" w:hRule="atLeast"/>
        </w:trPr>
        <w:tc>
          <w:tcPr>
            <w:tcW w:w="419" w:type="pct"/>
            <w:vAlign w:val="center"/>
          </w:tcPr>
          <w:p w14:paraId="401D8703">
            <w:pPr>
              <w:pStyle w:val="60"/>
              <w:adjustRightInd w:val="0"/>
              <w:snapToGrid w:val="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10</w:t>
            </w:r>
          </w:p>
        </w:tc>
        <w:tc>
          <w:tcPr>
            <w:tcW w:w="1028" w:type="pct"/>
            <w:vAlign w:val="center"/>
          </w:tcPr>
          <w:p w14:paraId="75C3903F">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NaOH（95%）</w:t>
            </w:r>
          </w:p>
        </w:tc>
        <w:tc>
          <w:tcPr>
            <w:tcW w:w="790" w:type="dxa"/>
            <w:vAlign w:val="center"/>
          </w:tcPr>
          <w:p w14:paraId="56575F6A">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t/a</w:t>
            </w:r>
          </w:p>
        </w:tc>
        <w:tc>
          <w:tcPr>
            <w:tcW w:w="779" w:type="dxa"/>
            <w:vAlign w:val="center"/>
          </w:tcPr>
          <w:p w14:paraId="795D8B3D">
            <w:pPr>
              <w:pStyle w:val="60"/>
              <w:adjustRightInd w:val="0"/>
              <w:snapToGrid w:val="0"/>
              <w:rPr>
                <w:rFonts w:hint="default" w:ascii="Times New Roman" w:hAnsi="Times New Roman" w:eastAsia="宋体" w:cs="Times New Roman"/>
                <w:sz w:val="21"/>
                <w:szCs w:val="21"/>
                <w:u w:val="single"/>
                <w:lang w:val="en-US" w:eastAsia="en-US"/>
              </w:rPr>
            </w:pPr>
            <w:r>
              <w:rPr>
                <w:rFonts w:hint="default" w:ascii="Times New Roman" w:hAnsi="Times New Roman" w:eastAsia="宋体" w:cs="Times New Roman"/>
                <w:sz w:val="21"/>
                <w:szCs w:val="21"/>
                <w:u w:val="single"/>
                <w:lang w:val="en-US" w:eastAsia="zh-CN"/>
              </w:rPr>
              <w:t>0.2</w:t>
            </w:r>
          </w:p>
        </w:tc>
        <w:tc>
          <w:tcPr>
            <w:tcW w:w="1001" w:type="dxa"/>
            <w:vAlign w:val="center"/>
          </w:tcPr>
          <w:p w14:paraId="7E8FB8E4">
            <w:pPr>
              <w:pStyle w:val="60"/>
              <w:adjustRightInd w:val="0"/>
              <w:snapToGrid w:val="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0.05</w:t>
            </w:r>
          </w:p>
        </w:tc>
        <w:tc>
          <w:tcPr>
            <w:tcW w:w="2011" w:type="pct"/>
            <w:vAlign w:val="center"/>
          </w:tcPr>
          <w:p w14:paraId="3C6EDDD6">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val="en-US" w:eastAsia="zh-CN"/>
              </w:rPr>
              <w:t>污水处理药剂</w:t>
            </w:r>
          </w:p>
        </w:tc>
      </w:tr>
    </w:tbl>
    <w:p w14:paraId="312881F8">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项目原辅材料及包装容器残留物质理化性质见表</w:t>
      </w:r>
      <w:r>
        <w:rPr>
          <w:rFonts w:hint="default" w:ascii="Times New Roman" w:hAnsi="Times New Roman" w:eastAsia="宋体" w:cs="Times New Roman"/>
          <w:sz w:val="24"/>
          <w:szCs w:val="28"/>
          <w:u w:val="single"/>
          <w:lang w:val="en-US" w:eastAsia="zh-CN"/>
        </w:rPr>
        <w:t>4.5-2</w:t>
      </w:r>
      <w:r>
        <w:rPr>
          <w:rFonts w:hint="default" w:ascii="Times New Roman" w:hAnsi="Times New Roman" w:eastAsia="宋体" w:cs="Times New Roman"/>
          <w:sz w:val="24"/>
          <w:szCs w:val="28"/>
          <w:u w:val="single"/>
        </w:rPr>
        <w:t>所示：</w:t>
      </w:r>
    </w:p>
    <w:p w14:paraId="7A9B19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u w:val="single"/>
        </w:rPr>
      </w:pPr>
    </w:p>
    <w:p w14:paraId="41C0E25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u w:val="single"/>
        </w:rPr>
        <w:t>表</w:t>
      </w:r>
      <w:r>
        <w:rPr>
          <w:rFonts w:hint="default" w:ascii="Times New Roman" w:hAnsi="Times New Roman" w:eastAsia="宋体" w:cs="Times New Roman"/>
          <w:b/>
          <w:bCs/>
          <w:u w:val="single"/>
          <w:lang w:val="en-US" w:eastAsia="zh-CN"/>
        </w:rPr>
        <w:t>4.5-2</w:t>
      </w:r>
      <w:r>
        <w:rPr>
          <w:rFonts w:hint="default" w:ascii="Times New Roman" w:hAnsi="Times New Roman" w:eastAsia="宋体" w:cs="Times New Roman"/>
          <w:b/>
          <w:bCs/>
          <w:u w:val="single"/>
        </w:rPr>
        <w:t xml:space="preserve">   原辅材料理化性质一览表</w:t>
      </w:r>
    </w:p>
    <w:tbl>
      <w:tblPr>
        <w:tblStyle w:val="59"/>
        <w:tblW w:w="8526" w:type="dxa"/>
        <w:tblInd w:w="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67"/>
        <w:gridCol w:w="1313"/>
        <w:gridCol w:w="3079"/>
        <w:gridCol w:w="1469"/>
        <w:gridCol w:w="1998"/>
      </w:tblGrid>
      <w:tr w14:paraId="235C11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667" w:type="dxa"/>
            <w:tcBorders>
              <w:tl2br w:val="nil"/>
              <w:tr2bl w:val="nil"/>
            </w:tcBorders>
            <w:vAlign w:val="center"/>
          </w:tcPr>
          <w:p w14:paraId="24BB006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position w:val="0"/>
                <w:sz w:val="21"/>
                <w:szCs w:val="21"/>
                <w:u w:val="single"/>
              </w:rPr>
            </w:pPr>
            <w:r>
              <w:rPr>
                <w:rFonts w:hint="default" w:ascii="Times New Roman" w:hAnsi="Times New Roman" w:eastAsia="宋体" w:cs="Times New Roman"/>
                <w:b/>
                <w:bCs/>
                <w:spacing w:val="0"/>
                <w:position w:val="0"/>
                <w:sz w:val="21"/>
                <w:szCs w:val="21"/>
                <w:u w:val="single"/>
              </w:rPr>
              <w:t>序号</w:t>
            </w:r>
          </w:p>
        </w:tc>
        <w:tc>
          <w:tcPr>
            <w:tcW w:w="1313" w:type="dxa"/>
            <w:tcBorders>
              <w:tl2br w:val="nil"/>
              <w:tr2bl w:val="nil"/>
            </w:tcBorders>
            <w:vAlign w:val="center"/>
          </w:tcPr>
          <w:p w14:paraId="584FA0E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position w:val="0"/>
                <w:sz w:val="21"/>
                <w:szCs w:val="21"/>
                <w:u w:val="single"/>
              </w:rPr>
            </w:pPr>
            <w:r>
              <w:rPr>
                <w:rFonts w:hint="default" w:ascii="Times New Roman" w:hAnsi="Times New Roman" w:eastAsia="宋体" w:cs="Times New Roman"/>
                <w:b/>
                <w:bCs/>
                <w:spacing w:val="0"/>
                <w:position w:val="0"/>
                <w:sz w:val="21"/>
                <w:szCs w:val="21"/>
                <w:u w:val="single"/>
              </w:rPr>
              <w:t>名称</w:t>
            </w:r>
          </w:p>
        </w:tc>
        <w:tc>
          <w:tcPr>
            <w:tcW w:w="3079" w:type="dxa"/>
            <w:tcBorders>
              <w:tl2br w:val="nil"/>
              <w:tr2bl w:val="nil"/>
            </w:tcBorders>
            <w:vAlign w:val="center"/>
          </w:tcPr>
          <w:p w14:paraId="137807F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position w:val="0"/>
                <w:sz w:val="21"/>
                <w:szCs w:val="21"/>
                <w:u w:val="single"/>
              </w:rPr>
            </w:pPr>
            <w:r>
              <w:rPr>
                <w:rFonts w:hint="default" w:ascii="Times New Roman" w:hAnsi="Times New Roman" w:eastAsia="宋体" w:cs="Times New Roman"/>
                <w:b/>
                <w:bCs/>
                <w:spacing w:val="0"/>
                <w:position w:val="0"/>
                <w:sz w:val="21"/>
                <w:szCs w:val="21"/>
                <w:u w:val="single"/>
              </w:rPr>
              <w:t>理化性质</w:t>
            </w:r>
          </w:p>
        </w:tc>
        <w:tc>
          <w:tcPr>
            <w:tcW w:w="1469" w:type="dxa"/>
            <w:tcBorders>
              <w:tl2br w:val="nil"/>
              <w:tr2bl w:val="nil"/>
            </w:tcBorders>
            <w:vAlign w:val="center"/>
          </w:tcPr>
          <w:p w14:paraId="6825BEF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position w:val="0"/>
                <w:sz w:val="21"/>
                <w:szCs w:val="21"/>
                <w:u w:val="single"/>
              </w:rPr>
            </w:pPr>
            <w:r>
              <w:rPr>
                <w:rFonts w:hint="default" w:ascii="Times New Roman" w:hAnsi="Times New Roman" w:eastAsia="宋体" w:cs="Times New Roman"/>
                <w:b/>
                <w:bCs/>
                <w:spacing w:val="0"/>
                <w:position w:val="0"/>
                <w:sz w:val="21"/>
                <w:szCs w:val="21"/>
                <w:u w:val="single"/>
              </w:rPr>
              <w:t>燃烧爆炸性</w:t>
            </w:r>
          </w:p>
        </w:tc>
        <w:tc>
          <w:tcPr>
            <w:tcW w:w="1998" w:type="dxa"/>
            <w:tcBorders>
              <w:tl2br w:val="nil"/>
              <w:tr2bl w:val="nil"/>
            </w:tcBorders>
            <w:vAlign w:val="center"/>
          </w:tcPr>
          <w:p w14:paraId="0C8626AE">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b/>
                <w:bCs/>
                <w:spacing w:val="0"/>
                <w:position w:val="0"/>
                <w:sz w:val="21"/>
                <w:szCs w:val="21"/>
                <w:u w:val="single"/>
              </w:rPr>
            </w:pPr>
            <w:r>
              <w:rPr>
                <w:rFonts w:hint="default" w:ascii="Times New Roman" w:hAnsi="Times New Roman" w:eastAsia="宋体" w:cs="Times New Roman"/>
                <w:b/>
                <w:bCs/>
                <w:spacing w:val="0"/>
                <w:position w:val="0"/>
                <w:sz w:val="21"/>
                <w:szCs w:val="21"/>
                <w:u w:val="single"/>
              </w:rPr>
              <w:t>毒性</w:t>
            </w:r>
          </w:p>
        </w:tc>
      </w:tr>
      <w:tr w14:paraId="3FA5FAD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667" w:type="dxa"/>
            <w:tcBorders>
              <w:tl2br w:val="nil"/>
              <w:tr2bl w:val="nil"/>
            </w:tcBorders>
            <w:vAlign w:val="center"/>
          </w:tcPr>
          <w:p w14:paraId="3C83B62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1</w:t>
            </w:r>
          </w:p>
        </w:tc>
        <w:tc>
          <w:tcPr>
            <w:tcW w:w="1313" w:type="dxa"/>
            <w:tcBorders>
              <w:tl2br w:val="nil"/>
              <w:tr2bl w:val="nil"/>
            </w:tcBorders>
            <w:vAlign w:val="center"/>
          </w:tcPr>
          <w:p w14:paraId="76D13BA1">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纯碱</w:t>
            </w:r>
          </w:p>
        </w:tc>
        <w:tc>
          <w:tcPr>
            <w:tcW w:w="3079" w:type="dxa"/>
            <w:tcBorders>
              <w:tl2br w:val="nil"/>
              <w:tr2bl w:val="nil"/>
            </w:tcBorders>
            <w:vAlign w:val="center"/>
          </w:tcPr>
          <w:p w14:paraId="3792D748">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白色粉末或细颗粒（无水纯品）， 味涩，易溶于水，不溶于乙醇、</w:t>
            </w:r>
          </w:p>
          <w:p w14:paraId="19D4CE9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乙醚等。熔点851℃ , 相对密度</w:t>
            </w:r>
          </w:p>
          <w:p w14:paraId="3976BAC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（水=1）为2.53g/cm</w:t>
            </w:r>
            <w:r>
              <w:rPr>
                <w:rFonts w:hint="default" w:ascii="Times New Roman" w:hAnsi="Times New Roman" w:eastAsia="宋体" w:cs="Times New Roman"/>
                <w:spacing w:val="0"/>
                <w:position w:val="0"/>
                <w:sz w:val="21"/>
                <w:szCs w:val="21"/>
                <w:u w:val="single"/>
                <w:vertAlign w:val="superscript"/>
              </w:rPr>
              <w:t>3</w:t>
            </w:r>
            <w:r>
              <w:rPr>
                <w:rFonts w:hint="default" w:ascii="Times New Roman" w:hAnsi="Times New Roman" w:eastAsia="宋体" w:cs="Times New Roman"/>
                <w:spacing w:val="0"/>
                <w:position w:val="0"/>
                <w:sz w:val="21"/>
                <w:szCs w:val="21"/>
                <w:u w:val="single"/>
              </w:rPr>
              <w:t>。</w:t>
            </w:r>
          </w:p>
        </w:tc>
        <w:tc>
          <w:tcPr>
            <w:tcW w:w="1469" w:type="dxa"/>
            <w:tcBorders>
              <w:tl2br w:val="nil"/>
              <w:tr2bl w:val="nil"/>
            </w:tcBorders>
            <w:vAlign w:val="center"/>
          </w:tcPr>
          <w:p w14:paraId="7F116E4F">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本品不燃，具 腐蚀性、刺激</w:t>
            </w:r>
          </w:p>
          <w:p w14:paraId="60FC7037">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性，可致人体 灼伤。</w:t>
            </w:r>
          </w:p>
        </w:tc>
        <w:tc>
          <w:tcPr>
            <w:tcW w:w="1998" w:type="dxa"/>
            <w:tcBorders>
              <w:tl2br w:val="nil"/>
              <w:tr2bl w:val="nil"/>
            </w:tcBorders>
            <w:vAlign w:val="center"/>
          </w:tcPr>
          <w:p w14:paraId="487BC36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LD50:4090mg/kg （大鼠经口）；LC50:2300mg/m3,2</w:t>
            </w:r>
          </w:p>
          <w:p w14:paraId="099210C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小时（大鼠吸入）</w:t>
            </w:r>
          </w:p>
        </w:tc>
      </w:tr>
      <w:tr w14:paraId="18DB24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667" w:type="dxa"/>
            <w:tcBorders>
              <w:tl2br w:val="nil"/>
              <w:tr2bl w:val="nil"/>
            </w:tcBorders>
            <w:vAlign w:val="center"/>
          </w:tcPr>
          <w:p w14:paraId="7FE70A1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lang w:eastAsia="zh-CN"/>
              </w:rPr>
            </w:pPr>
            <w:r>
              <w:rPr>
                <w:rFonts w:hint="default" w:ascii="Times New Roman" w:hAnsi="Times New Roman" w:eastAsia="宋体" w:cs="Times New Roman"/>
                <w:spacing w:val="0"/>
                <w:position w:val="0"/>
                <w:sz w:val="21"/>
                <w:szCs w:val="21"/>
                <w:u w:val="single"/>
                <w:lang w:val="en-US" w:eastAsia="zh-CN"/>
              </w:rPr>
              <w:t>2</w:t>
            </w:r>
          </w:p>
        </w:tc>
        <w:tc>
          <w:tcPr>
            <w:tcW w:w="1313" w:type="dxa"/>
            <w:tcBorders>
              <w:tl2br w:val="nil"/>
              <w:tr2bl w:val="nil"/>
            </w:tcBorders>
            <w:vAlign w:val="center"/>
          </w:tcPr>
          <w:p w14:paraId="6AE4628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H</w:t>
            </w:r>
            <w:r>
              <w:rPr>
                <w:rFonts w:hint="default" w:ascii="Times New Roman" w:hAnsi="Times New Roman" w:eastAsia="宋体" w:cs="Times New Roman"/>
                <w:spacing w:val="0"/>
                <w:position w:val="0"/>
                <w:sz w:val="21"/>
                <w:szCs w:val="21"/>
                <w:u w:val="single"/>
                <w:vertAlign w:val="subscript"/>
              </w:rPr>
              <w:t>2</w:t>
            </w:r>
            <w:r>
              <w:rPr>
                <w:rFonts w:hint="default" w:ascii="Times New Roman" w:hAnsi="Times New Roman" w:eastAsia="宋体" w:cs="Times New Roman"/>
                <w:spacing w:val="0"/>
                <w:position w:val="0"/>
                <w:sz w:val="21"/>
                <w:szCs w:val="21"/>
                <w:u w:val="single"/>
              </w:rPr>
              <w:t>O</w:t>
            </w:r>
            <w:r>
              <w:rPr>
                <w:rFonts w:hint="default" w:ascii="Times New Roman" w:hAnsi="Times New Roman" w:eastAsia="宋体" w:cs="Times New Roman"/>
                <w:spacing w:val="0"/>
                <w:position w:val="0"/>
                <w:sz w:val="21"/>
                <w:szCs w:val="21"/>
                <w:u w:val="single"/>
                <w:vertAlign w:val="subscript"/>
              </w:rPr>
              <w:t>2</w:t>
            </w:r>
          </w:p>
        </w:tc>
        <w:tc>
          <w:tcPr>
            <w:tcW w:w="3079" w:type="dxa"/>
            <w:tcBorders>
              <w:tl2br w:val="nil"/>
              <w:tr2bl w:val="nil"/>
            </w:tcBorders>
            <w:vAlign w:val="center"/>
          </w:tcPr>
          <w:p w14:paraId="1BD1FAA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无色透明液体，有微弱的特殊气 味，溶于水、醇、醚，不溶于苯、 石油醚。熔点-2℃ , 沸点158℃ ,  相对密度（水=1）为1.46g/cm</w:t>
            </w:r>
            <w:r>
              <w:rPr>
                <w:rFonts w:hint="default" w:ascii="Times New Roman" w:hAnsi="Times New Roman" w:eastAsia="宋体" w:cs="Times New Roman"/>
                <w:spacing w:val="0"/>
                <w:position w:val="0"/>
                <w:sz w:val="21"/>
                <w:szCs w:val="21"/>
                <w:u w:val="single"/>
                <w:vertAlign w:val="superscript"/>
              </w:rPr>
              <w:t>3</w:t>
            </w:r>
            <w:r>
              <w:rPr>
                <w:rFonts w:hint="default" w:ascii="Times New Roman" w:hAnsi="Times New Roman" w:eastAsia="宋体" w:cs="Times New Roman"/>
                <w:spacing w:val="0"/>
                <w:position w:val="0"/>
                <w:sz w:val="21"/>
                <w:szCs w:val="21"/>
                <w:u w:val="single"/>
              </w:rPr>
              <w:t>。</w:t>
            </w:r>
          </w:p>
        </w:tc>
        <w:tc>
          <w:tcPr>
            <w:tcW w:w="1469" w:type="dxa"/>
            <w:tcBorders>
              <w:tl2br w:val="nil"/>
              <w:tr2bl w:val="nil"/>
            </w:tcBorders>
            <w:vAlign w:val="center"/>
          </w:tcPr>
          <w:p w14:paraId="161C66B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本品助燃，具</w:t>
            </w:r>
          </w:p>
          <w:p w14:paraId="579386A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强刺激性。</w:t>
            </w:r>
          </w:p>
        </w:tc>
        <w:tc>
          <w:tcPr>
            <w:tcW w:w="1998" w:type="dxa"/>
            <w:tcBorders>
              <w:tl2br w:val="nil"/>
              <w:tr2bl w:val="nil"/>
            </w:tcBorders>
            <w:vAlign w:val="center"/>
          </w:tcPr>
          <w:p w14:paraId="6227F9E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w:t>
            </w:r>
          </w:p>
        </w:tc>
      </w:tr>
      <w:tr w14:paraId="687BC2E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638" w:hRule="atLeast"/>
        </w:trPr>
        <w:tc>
          <w:tcPr>
            <w:tcW w:w="667" w:type="dxa"/>
            <w:tcBorders>
              <w:tl2br w:val="nil"/>
              <w:tr2bl w:val="nil"/>
            </w:tcBorders>
            <w:vAlign w:val="center"/>
          </w:tcPr>
          <w:p w14:paraId="3ED61D43">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lang w:eastAsia="zh-CN"/>
              </w:rPr>
            </w:pPr>
            <w:r>
              <w:rPr>
                <w:rFonts w:hint="default" w:ascii="Times New Roman" w:hAnsi="Times New Roman" w:eastAsia="宋体" w:cs="Times New Roman"/>
                <w:spacing w:val="0"/>
                <w:position w:val="0"/>
                <w:sz w:val="21"/>
                <w:szCs w:val="21"/>
                <w:u w:val="single"/>
                <w:lang w:val="en-US" w:eastAsia="zh-CN"/>
              </w:rPr>
              <w:t>3</w:t>
            </w:r>
          </w:p>
        </w:tc>
        <w:tc>
          <w:tcPr>
            <w:tcW w:w="1313" w:type="dxa"/>
            <w:tcBorders>
              <w:tl2br w:val="nil"/>
              <w:tr2bl w:val="nil"/>
            </w:tcBorders>
            <w:vAlign w:val="center"/>
          </w:tcPr>
          <w:p w14:paraId="2EAC197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PAC</w:t>
            </w:r>
          </w:p>
        </w:tc>
        <w:tc>
          <w:tcPr>
            <w:tcW w:w="3079" w:type="dxa"/>
            <w:tcBorders>
              <w:tl2br w:val="nil"/>
              <w:tr2bl w:val="nil"/>
            </w:tcBorders>
            <w:vAlign w:val="center"/>
          </w:tcPr>
          <w:p w14:paraId="0F270C4B">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全名为聚合氯化铝，为无色或黄色树脂状固体。溶液为无色或黄褐色透明液体，有时因含杂 质而呈灰黑色粘液，易溶于水。熔点 190℃ , 相对密度（水=1）</w:t>
            </w:r>
          </w:p>
          <w:p w14:paraId="6E6CF9BF">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为 2.44g/cm3。</w:t>
            </w:r>
          </w:p>
        </w:tc>
        <w:tc>
          <w:tcPr>
            <w:tcW w:w="1469" w:type="dxa"/>
            <w:tcBorders>
              <w:tl2br w:val="nil"/>
              <w:tr2bl w:val="nil"/>
            </w:tcBorders>
            <w:vAlign w:val="center"/>
          </w:tcPr>
          <w:p w14:paraId="75F69970">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本品不燃。</w:t>
            </w:r>
          </w:p>
        </w:tc>
        <w:tc>
          <w:tcPr>
            <w:tcW w:w="1998" w:type="dxa"/>
            <w:tcBorders>
              <w:tl2br w:val="nil"/>
              <w:tr2bl w:val="nil"/>
            </w:tcBorders>
            <w:vAlign w:val="center"/>
          </w:tcPr>
          <w:p w14:paraId="0AAC1BB8">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LD50:3730mg/kg （大鼠经口）</w:t>
            </w:r>
          </w:p>
        </w:tc>
      </w:tr>
      <w:tr w14:paraId="35FBEFA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4" w:hRule="atLeast"/>
        </w:trPr>
        <w:tc>
          <w:tcPr>
            <w:tcW w:w="667" w:type="dxa"/>
            <w:tcBorders>
              <w:tl2br w:val="nil"/>
              <w:tr2bl w:val="nil"/>
            </w:tcBorders>
            <w:vAlign w:val="center"/>
          </w:tcPr>
          <w:p w14:paraId="0E01788C">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lang w:eastAsia="zh-CN"/>
              </w:rPr>
            </w:pPr>
            <w:r>
              <w:rPr>
                <w:rFonts w:hint="default" w:ascii="Times New Roman" w:hAnsi="Times New Roman" w:eastAsia="宋体" w:cs="Times New Roman"/>
                <w:spacing w:val="0"/>
                <w:position w:val="0"/>
                <w:sz w:val="21"/>
                <w:szCs w:val="21"/>
                <w:u w:val="single"/>
                <w:lang w:val="en-US" w:eastAsia="zh-CN"/>
              </w:rPr>
              <w:t>4</w:t>
            </w:r>
          </w:p>
        </w:tc>
        <w:tc>
          <w:tcPr>
            <w:tcW w:w="1313" w:type="dxa"/>
            <w:tcBorders>
              <w:tl2br w:val="nil"/>
              <w:tr2bl w:val="nil"/>
            </w:tcBorders>
            <w:vAlign w:val="center"/>
          </w:tcPr>
          <w:p w14:paraId="70B116D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PAM</w:t>
            </w:r>
          </w:p>
        </w:tc>
        <w:tc>
          <w:tcPr>
            <w:tcW w:w="3079" w:type="dxa"/>
            <w:tcBorders>
              <w:tl2br w:val="nil"/>
              <w:tr2bl w:val="nil"/>
            </w:tcBorders>
            <w:vAlign w:val="center"/>
          </w:tcPr>
          <w:p w14:paraId="1B8EBEF9">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全名为聚丙烯酰胺，白色或微黄色粉末，稀释后呈无色液体，无臭。</w:t>
            </w:r>
          </w:p>
        </w:tc>
        <w:tc>
          <w:tcPr>
            <w:tcW w:w="1469" w:type="dxa"/>
            <w:tcBorders>
              <w:tl2br w:val="nil"/>
              <w:tr2bl w:val="nil"/>
            </w:tcBorders>
            <w:vAlign w:val="center"/>
          </w:tcPr>
          <w:p w14:paraId="5E7F4A7A">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本品助燃，具 强腐蚀性、强 刺激性，可致</w:t>
            </w:r>
          </w:p>
          <w:p w14:paraId="67E45E22">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人体灼伤。</w:t>
            </w:r>
          </w:p>
        </w:tc>
        <w:tc>
          <w:tcPr>
            <w:tcW w:w="1998" w:type="dxa"/>
            <w:tcBorders>
              <w:tl2br w:val="nil"/>
              <w:tr2bl w:val="nil"/>
            </w:tcBorders>
            <w:vAlign w:val="center"/>
          </w:tcPr>
          <w:p w14:paraId="1595452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LD50:2140mg/kg （大鼠经口），</w:t>
            </w:r>
          </w:p>
          <w:p w14:paraId="5435E890">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510mg/m3(大鼠吸</w:t>
            </w:r>
          </w:p>
          <w:p w14:paraId="4C6B8CCC">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入）</w:t>
            </w:r>
          </w:p>
        </w:tc>
      </w:tr>
      <w:tr w14:paraId="4916F7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99" w:hRule="atLeast"/>
        </w:trPr>
        <w:tc>
          <w:tcPr>
            <w:tcW w:w="667" w:type="dxa"/>
            <w:tcBorders>
              <w:tl2br w:val="nil"/>
              <w:tr2bl w:val="nil"/>
            </w:tcBorders>
            <w:vAlign w:val="center"/>
          </w:tcPr>
          <w:p w14:paraId="58E994C4">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lang w:eastAsia="zh-CN"/>
              </w:rPr>
            </w:pPr>
            <w:r>
              <w:rPr>
                <w:rFonts w:hint="default" w:ascii="Times New Roman" w:hAnsi="Times New Roman" w:eastAsia="宋体" w:cs="Times New Roman"/>
                <w:spacing w:val="0"/>
                <w:position w:val="0"/>
                <w:sz w:val="21"/>
                <w:szCs w:val="21"/>
                <w:u w:val="single"/>
                <w:lang w:val="en-US" w:eastAsia="zh-CN"/>
              </w:rPr>
              <w:t>5</w:t>
            </w:r>
          </w:p>
        </w:tc>
        <w:tc>
          <w:tcPr>
            <w:tcW w:w="1313" w:type="dxa"/>
            <w:tcBorders>
              <w:tl2br w:val="nil"/>
              <w:tr2bl w:val="nil"/>
            </w:tcBorders>
            <w:vAlign w:val="center"/>
          </w:tcPr>
          <w:p w14:paraId="4FE51CB5">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NaOH</w:t>
            </w:r>
          </w:p>
        </w:tc>
        <w:tc>
          <w:tcPr>
            <w:tcW w:w="3079" w:type="dxa"/>
            <w:tcBorders>
              <w:tl2br w:val="nil"/>
              <w:tr2bl w:val="nil"/>
            </w:tcBorders>
            <w:vAlign w:val="center"/>
          </w:tcPr>
          <w:p w14:paraId="7849355D">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白色不透明固体，易潮解，易溶于水、乙醇、甘油，不溶于丙酮。熔点为318.4℃、沸点为1390℃ , 相对密度（水=1）为2. 12g/cm</w:t>
            </w:r>
            <w:r>
              <w:rPr>
                <w:rFonts w:hint="default" w:ascii="Times New Roman" w:hAnsi="Times New Roman" w:eastAsia="宋体" w:cs="Times New Roman"/>
                <w:spacing w:val="0"/>
                <w:position w:val="0"/>
                <w:sz w:val="21"/>
                <w:szCs w:val="21"/>
                <w:u w:val="single"/>
                <w:vertAlign w:val="superscript"/>
              </w:rPr>
              <w:t>3</w:t>
            </w:r>
            <w:r>
              <w:rPr>
                <w:rFonts w:hint="default" w:ascii="Times New Roman" w:hAnsi="Times New Roman" w:eastAsia="宋体" w:cs="Times New Roman"/>
                <w:spacing w:val="0"/>
                <w:position w:val="0"/>
                <w:sz w:val="21"/>
                <w:szCs w:val="21"/>
                <w:u w:val="single"/>
              </w:rPr>
              <w:t>。</w:t>
            </w:r>
          </w:p>
        </w:tc>
        <w:tc>
          <w:tcPr>
            <w:tcW w:w="1469" w:type="dxa"/>
            <w:tcBorders>
              <w:tl2br w:val="nil"/>
              <w:tr2bl w:val="nil"/>
            </w:tcBorders>
            <w:vAlign w:val="center"/>
          </w:tcPr>
          <w:p w14:paraId="7F031EF9">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本品不燃，具 强腐蚀性、强 刺激性，可致</w:t>
            </w:r>
          </w:p>
          <w:p w14:paraId="05AA9684">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人体灼伤。</w:t>
            </w:r>
          </w:p>
        </w:tc>
        <w:tc>
          <w:tcPr>
            <w:tcW w:w="1998" w:type="dxa"/>
            <w:tcBorders>
              <w:tl2br w:val="nil"/>
              <w:tr2bl w:val="nil"/>
            </w:tcBorders>
            <w:vAlign w:val="center"/>
          </w:tcPr>
          <w:p w14:paraId="6EFD7C2A">
            <w:pPr>
              <w:pStyle w:val="141"/>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pacing w:val="0"/>
                <w:position w:val="0"/>
                <w:sz w:val="21"/>
                <w:szCs w:val="21"/>
                <w:u w:val="single"/>
              </w:rPr>
            </w:pPr>
            <w:r>
              <w:rPr>
                <w:rFonts w:hint="default" w:ascii="Times New Roman" w:hAnsi="Times New Roman" w:eastAsia="宋体" w:cs="Times New Roman"/>
                <w:spacing w:val="0"/>
                <w:position w:val="0"/>
                <w:sz w:val="21"/>
                <w:szCs w:val="21"/>
                <w:u w:val="single"/>
              </w:rPr>
              <w:t>/</w:t>
            </w:r>
          </w:p>
        </w:tc>
      </w:tr>
    </w:tbl>
    <w:p w14:paraId="78931F7A">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4.5.1再生利用的危险废物来源</w:t>
      </w:r>
    </w:p>
    <w:p w14:paraId="7BDDDE0F">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HW49类和HW08类危废回收范围为湖南省内，根据《国家危险废物名录（2021年版）》，本项目收集利用的沾染性包装容器中含废矿物油、含矿物油废物、溶剂、油漆、染料、颜料等包装容器。</w:t>
      </w:r>
    </w:p>
    <w:p w14:paraId="060E1883">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w:t>
      </w:r>
      <w:r>
        <w:rPr>
          <w:rFonts w:hint="default" w:ascii="Times New Roman" w:hAnsi="Times New Roman" w:eastAsia="宋体" w:cs="Times New Roman"/>
          <w:sz w:val="24"/>
          <w:szCs w:val="24"/>
          <w:lang w:val="en-US" w:eastAsia="zh-CN"/>
        </w:rPr>
        <w:t>危险废物的来源主要</w:t>
      </w:r>
      <w:r>
        <w:rPr>
          <w:rFonts w:hint="default" w:ascii="Times New Roman" w:hAnsi="Times New Roman" w:eastAsia="宋体" w:cs="Times New Roman"/>
          <w:sz w:val="24"/>
          <w:szCs w:val="24"/>
        </w:rPr>
        <w:t>以衡阳市各工业园区为主</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并覆盖湖南省全省范围</w:t>
      </w:r>
      <w:r>
        <w:rPr>
          <w:rFonts w:hint="default" w:ascii="Times New Roman" w:hAnsi="Times New Roman" w:eastAsia="宋体" w:cs="Times New Roman"/>
          <w:sz w:val="24"/>
          <w:szCs w:val="24"/>
        </w:rPr>
        <w:t>。</w:t>
      </w:r>
    </w:p>
    <w:p w14:paraId="09E32677">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根据《衡阳市生态环境局2022年度衡阳市固体废物污染防治信息公报》，衡阳市2022年全市工业危险废物产生量为75.11万吨，综合利用量为50.86万吨，处置量为21.56万吨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贮存量为2.69万吨。衡阳市工业危险废物来源较集中，主要集中在有色冶炼、无机盐制造、压延加工等行业，本市主要工业危险废物产生量较大的企业有：湖南株冶有色金属有限公司、水口山有色金属有限责任公司第八冶炼厂、五矿铜业（湖南）有限公司、耒阳市焱鑫有色金属有限公司、常宁市华兴冶化实业有限责任公司等。</w:t>
      </w:r>
    </w:p>
    <w:p w14:paraId="0BFEB05E">
      <w:pPr>
        <w:pStyle w:val="4"/>
        <w:spacing w:before="0" w:after="0" w:line="360" w:lineRule="auto"/>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4.5.2再生利用的危险废物种类限制</w:t>
      </w:r>
    </w:p>
    <w:p w14:paraId="6735A948">
      <w:pPr>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本项目再生利用的包装容器主要为</w:t>
      </w:r>
      <w:r>
        <w:rPr>
          <w:rFonts w:hint="default" w:ascii="Times New Roman" w:hAnsi="Times New Roman" w:eastAsia="宋体" w:cs="Times New Roman"/>
          <w:sz w:val="24"/>
          <w:szCs w:val="24"/>
          <w:u w:val="single"/>
          <w:lang w:val="en-US" w:eastAsia="zh-CN"/>
        </w:rPr>
        <w:t>沾染</w:t>
      </w:r>
      <w:r>
        <w:rPr>
          <w:rFonts w:hint="default" w:ascii="Times New Roman" w:hAnsi="Times New Roman" w:eastAsia="宋体" w:cs="Times New Roman"/>
          <w:sz w:val="24"/>
          <w:szCs w:val="24"/>
          <w:u w:val="single"/>
        </w:rPr>
        <w:t>有HW06含废有机溶剂类、HW08废矿物油类、HW09油/水、烃/水混合物或乳化液类、HW12染料、涂料类</w:t>
      </w:r>
      <w:r>
        <w:rPr>
          <w:rFonts w:hint="default" w:ascii="Times New Roman" w:hAnsi="Times New Roman" w:eastAsia="宋体" w:cs="Times New Roman"/>
          <w:sz w:val="24"/>
          <w:szCs w:val="24"/>
          <w:u w:val="single"/>
          <w:lang w:eastAsia="zh-CN"/>
        </w:rPr>
        <w:t>、HW13有机树脂类废物</w:t>
      </w:r>
      <w:r>
        <w:rPr>
          <w:rFonts w:hint="default" w:ascii="Times New Roman" w:hAnsi="Times New Roman" w:eastAsia="宋体" w:cs="Times New Roman"/>
          <w:sz w:val="24"/>
          <w:szCs w:val="24"/>
          <w:u w:val="single"/>
          <w:lang w:val="en-US" w:eastAsia="zh-CN"/>
        </w:rPr>
        <w:t>等的包装容器</w:t>
      </w:r>
      <w:r>
        <w:rPr>
          <w:rFonts w:hint="default" w:ascii="Times New Roman" w:hAnsi="Times New Roman" w:eastAsia="宋体" w:cs="Times New Roman"/>
          <w:sz w:val="24"/>
          <w:szCs w:val="24"/>
          <w:u w:val="single"/>
        </w:rPr>
        <w:t>（根据《危险化学品目录（2015版）》，其中含易燃溶剂的合成树脂、油漆、辅助材料、涂料等制品[闭杯闪点≤60℃]的属于序号2828的危险化学品）等</w:t>
      </w:r>
      <w:r>
        <w:rPr>
          <w:rFonts w:hint="default" w:ascii="Times New Roman" w:hAnsi="Times New Roman" w:eastAsia="宋体" w:cs="Times New Roman"/>
          <w:sz w:val="24"/>
          <w:szCs w:val="24"/>
          <w:u w:val="single"/>
          <w:lang w:eastAsia="zh-CN"/>
        </w:rPr>
        <w:t>；要来自化工、</w:t>
      </w:r>
      <w:r>
        <w:rPr>
          <w:rFonts w:hint="default" w:ascii="Times New Roman" w:hAnsi="Times New Roman" w:eastAsia="宋体" w:cs="Times New Roman"/>
          <w:sz w:val="24"/>
          <w:szCs w:val="24"/>
          <w:u w:val="single"/>
          <w:lang w:val="en-US" w:eastAsia="zh-CN"/>
        </w:rPr>
        <w:t>机械</w:t>
      </w:r>
      <w:r>
        <w:rPr>
          <w:rFonts w:hint="default" w:ascii="Times New Roman" w:hAnsi="Times New Roman" w:eastAsia="宋体" w:cs="Times New Roman"/>
          <w:sz w:val="24"/>
          <w:szCs w:val="24"/>
          <w:u w:val="single"/>
          <w:lang w:eastAsia="zh-CN"/>
        </w:rPr>
        <w:t>加工、印刷等</w:t>
      </w:r>
      <w:r>
        <w:rPr>
          <w:rFonts w:hint="default" w:ascii="Times New Roman" w:hAnsi="Times New Roman" w:eastAsia="宋体" w:cs="Times New Roman"/>
          <w:sz w:val="24"/>
          <w:szCs w:val="24"/>
          <w:u w:val="single"/>
          <w:lang w:val="en-US" w:eastAsia="zh-CN"/>
        </w:rPr>
        <w:t>行业企业</w:t>
      </w:r>
      <w:r>
        <w:rPr>
          <w:rFonts w:hint="default" w:ascii="Times New Roman" w:hAnsi="Times New Roman" w:eastAsia="宋体" w:cs="Times New Roman"/>
          <w:sz w:val="24"/>
          <w:szCs w:val="24"/>
          <w:u w:val="single"/>
        </w:rPr>
        <w:t>。</w:t>
      </w:r>
    </w:p>
    <w:p w14:paraId="14F826C5">
      <w:pPr>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不回收沾染HW01医疗废物类、HW15爆炸性废物类、含重金属（汞、铅、铬、镉、砷、镍、银、铍及其它第一类污染物），含废酸、含氰化物的包装容器。不接收含氰化物等剧毒类物质废包装容器、含爆炸性物质包装容器、感染性废弃包装物、含重金属包装容器。</w:t>
      </w:r>
    </w:p>
    <w:p w14:paraId="577D595A">
      <w:pPr>
        <w:spacing w:line="360" w:lineRule="auto"/>
        <w:ind w:firstLine="480" w:firstLineChars="200"/>
        <w:jc w:val="left"/>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rPr>
        <w:t>根据项目环评审批会商表的意见（见附件6）：项目不得接收利用含氰化物等剧毒类物质废包装容器、含爆炸性物质包装容器、感染性废弃包装物、含/沾染重金属包装容器、含/沾染一类污染物的包装容器</w:t>
      </w:r>
      <w:r>
        <w:rPr>
          <w:rFonts w:hint="default" w:ascii="Times New Roman" w:hAnsi="Times New Roman" w:eastAsia="宋体" w:cs="Times New Roman"/>
          <w:sz w:val="24"/>
          <w:szCs w:val="24"/>
          <w:u w:val="single"/>
          <w:lang w:eastAsia="zh-CN"/>
        </w:rPr>
        <w:t>。</w:t>
      </w:r>
    </w:p>
    <w:p w14:paraId="4DFD91DE">
      <w:pPr>
        <w:pStyle w:val="4"/>
        <w:spacing w:before="0" w:after="0" w:line="360" w:lineRule="auto"/>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4.5.3再生利用的危险废物进厂控制</w:t>
      </w:r>
    </w:p>
    <w:p w14:paraId="6BF8E9FF">
      <w:pPr>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b w:val="0"/>
          <w:bCs w:val="0"/>
          <w:sz w:val="24"/>
          <w:szCs w:val="24"/>
          <w:u w:val="single"/>
          <w:lang w:val="en-US" w:eastAsia="zh-CN"/>
        </w:rPr>
        <w:t>根据项目环评审批会商表的意见（见附件6）：</w:t>
      </w:r>
      <w:r>
        <w:rPr>
          <w:rFonts w:hint="default" w:ascii="Times New Roman" w:hAnsi="Times New Roman" w:eastAsia="宋体" w:cs="Times New Roman"/>
          <w:b w:val="0"/>
          <w:bCs w:val="0"/>
          <w:sz w:val="24"/>
          <w:szCs w:val="24"/>
          <w:u w:val="single"/>
        </w:rPr>
        <w:t>项目</w:t>
      </w:r>
      <w:r>
        <w:rPr>
          <w:rFonts w:hint="default" w:ascii="Times New Roman" w:hAnsi="Times New Roman" w:eastAsia="宋体" w:cs="Times New Roman"/>
          <w:b w:val="0"/>
          <w:bCs w:val="0"/>
          <w:sz w:val="24"/>
          <w:szCs w:val="24"/>
          <w:u w:val="single"/>
          <w:lang w:val="en-US" w:eastAsia="zh-CN"/>
        </w:rPr>
        <w:t>危废利用部分，</w:t>
      </w:r>
      <w:r>
        <w:rPr>
          <w:rFonts w:hint="default" w:ascii="Times New Roman" w:hAnsi="Times New Roman" w:eastAsia="宋体" w:cs="Times New Roman"/>
          <w:b w:val="0"/>
          <w:bCs w:val="0"/>
          <w:sz w:val="24"/>
          <w:szCs w:val="24"/>
          <w:u w:val="single"/>
        </w:rPr>
        <w:t>不得接收</w:t>
      </w:r>
      <w:r>
        <w:rPr>
          <w:rFonts w:hint="default" w:ascii="Times New Roman" w:hAnsi="Times New Roman" w:eastAsia="宋体" w:cs="Times New Roman"/>
          <w:b w:val="0"/>
          <w:bCs w:val="0"/>
          <w:sz w:val="24"/>
          <w:szCs w:val="24"/>
          <w:u w:val="single"/>
          <w:lang w:val="en-US" w:eastAsia="zh-CN"/>
        </w:rPr>
        <w:t>利用</w:t>
      </w:r>
      <w:r>
        <w:rPr>
          <w:rFonts w:hint="default" w:ascii="Times New Roman" w:hAnsi="Times New Roman" w:eastAsia="宋体" w:cs="Times New Roman"/>
          <w:b w:val="0"/>
          <w:bCs w:val="0"/>
          <w:sz w:val="24"/>
          <w:szCs w:val="24"/>
          <w:u w:val="single"/>
        </w:rPr>
        <w:t>含氰化物等剧毒类物质废包装容器、含爆炸性物质包装容器、感染性废弃包装物（主要为医疗废物包装容器）、含</w:t>
      </w:r>
      <w:r>
        <w:rPr>
          <w:rFonts w:hint="default" w:ascii="Times New Roman" w:hAnsi="Times New Roman" w:eastAsia="宋体" w:cs="Times New Roman"/>
          <w:b w:val="0"/>
          <w:bCs w:val="0"/>
          <w:sz w:val="24"/>
          <w:szCs w:val="24"/>
          <w:u w:val="single"/>
          <w:lang w:val="en-US" w:eastAsia="zh-CN"/>
        </w:rPr>
        <w:t>/沾染</w:t>
      </w:r>
      <w:r>
        <w:rPr>
          <w:rFonts w:hint="default" w:ascii="Times New Roman" w:hAnsi="Times New Roman" w:eastAsia="宋体" w:cs="Times New Roman"/>
          <w:b w:val="0"/>
          <w:bCs w:val="0"/>
          <w:sz w:val="24"/>
          <w:szCs w:val="24"/>
          <w:u w:val="single"/>
        </w:rPr>
        <w:t>重金属包装容器</w:t>
      </w:r>
      <w:r>
        <w:rPr>
          <w:rFonts w:hint="default" w:ascii="Times New Roman" w:hAnsi="Times New Roman" w:eastAsia="宋体" w:cs="Times New Roman"/>
          <w:b w:val="0"/>
          <w:bCs w:val="0"/>
          <w:sz w:val="24"/>
          <w:szCs w:val="24"/>
          <w:u w:val="single"/>
          <w:lang w:eastAsia="zh-CN"/>
        </w:rPr>
        <w:t>、</w:t>
      </w:r>
      <w:r>
        <w:rPr>
          <w:rFonts w:hint="default" w:ascii="Times New Roman" w:hAnsi="Times New Roman" w:eastAsia="宋体" w:cs="Times New Roman"/>
          <w:b w:val="0"/>
          <w:bCs w:val="0"/>
          <w:sz w:val="24"/>
          <w:szCs w:val="24"/>
          <w:u w:val="single"/>
          <w:lang w:val="en-US" w:eastAsia="zh-CN"/>
        </w:rPr>
        <w:t>含/沾染一类污染物的包装容器</w:t>
      </w:r>
      <w:r>
        <w:rPr>
          <w:rFonts w:hint="default" w:ascii="Times New Roman" w:hAnsi="Times New Roman" w:eastAsia="宋体" w:cs="Times New Roman"/>
          <w:sz w:val="24"/>
          <w:szCs w:val="24"/>
          <w:u w:val="single"/>
        </w:rPr>
        <w:t>。对于原料来料主要进行如下进厂控制措施：</w:t>
      </w:r>
    </w:p>
    <w:p w14:paraId="41818F28">
      <w:pPr>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①危险废物产生单位应提供包装桶内物质组份的相关证明材料，废包装容器产生企业必须提供桶内残液的MSDS（化学品安全说明书）及相关信息。特别对于溶剂类废包装桶需明确是否含有剧毒类化学品；对于涂料颜料类废包装桶需明确是否含有铅等重金属成分</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是否含氰化物等剧毒类物质成分、是否</w:t>
      </w:r>
      <w:r>
        <w:rPr>
          <w:rFonts w:hint="default" w:ascii="Times New Roman" w:hAnsi="Times New Roman" w:eastAsia="宋体" w:cs="Times New Roman"/>
          <w:b w:val="0"/>
          <w:bCs w:val="0"/>
          <w:sz w:val="24"/>
          <w:szCs w:val="24"/>
          <w:u w:val="single"/>
          <w:lang w:val="en-US" w:eastAsia="zh-CN"/>
        </w:rPr>
        <w:t>含/沾染一类污染物</w:t>
      </w:r>
      <w:r>
        <w:rPr>
          <w:rFonts w:hint="default" w:ascii="Times New Roman" w:hAnsi="Times New Roman" w:eastAsia="宋体" w:cs="Times New Roman"/>
          <w:sz w:val="24"/>
          <w:szCs w:val="24"/>
          <w:u w:val="single"/>
        </w:rPr>
        <w:t>。</w:t>
      </w:r>
    </w:p>
    <w:p w14:paraId="1181B997">
      <w:pPr>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②危险废物产生单位应确保包装桶完好、无破损并密封桶盖。</w:t>
      </w:r>
    </w:p>
    <w:p w14:paraId="6894CFCD">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lang w:eastAsia="zh-CN"/>
        </w:rPr>
        <w:t>湖南湘蓝再生资源利用有限公司</w:t>
      </w:r>
      <w:r>
        <w:rPr>
          <w:rFonts w:hint="default" w:ascii="Times New Roman" w:hAnsi="Times New Roman" w:eastAsia="宋体" w:cs="Times New Roman"/>
          <w:sz w:val="24"/>
          <w:szCs w:val="24"/>
          <w:u w:val="single"/>
        </w:rPr>
        <w:t>与危废产生单位签订委托处置协议，废物 产生企业按照协议要求，提前向</w:t>
      </w:r>
      <w:r>
        <w:rPr>
          <w:rFonts w:hint="default" w:ascii="Times New Roman" w:hAnsi="Times New Roman" w:eastAsia="宋体" w:cs="Times New Roman"/>
          <w:sz w:val="24"/>
          <w:szCs w:val="24"/>
          <w:u w:val="single"/>
          <w:lang w:eastAsia="zh-CN"/>
        </w:rPr>
        <w:t>湖南湘蓝再生资源利用有限公司</w:t>
      </w:r>
      <w:r>
        <w:rPr>
          <w:rFonts w:hint="default" w:ascii="Times New Roman" w:hAnsi="Times New Roman" w:eastAsia="宋体" w:cs="Times New Roman"/>
          <w:sz w:val="24"/>
          <w:szCs w:val="24"/>
          <w:u w:val="single"/>
        </w:rPr>
        <w:t>通知废物产生情 况，</w:t>
      </w:r>
      <w:r>
        <w:rPr>
          <w:rFonts w:hint="default" w:ascii="Times New Roman" w:hAnsi="Times New Roman" w:eastAsia="宋体" w:cs="Times New Roman"/>
          <w:sz w:val="24"/>
          <w:szCs w:val="24"/>
          <w:u w:val="single"/>
          <w:lang w:eastAsia="zh-CN"/>
        </w:rPr>
        <w:t>危废产生单位所产生的废物一定要有标准包装、废物标签等，填写好废物调查报告表，由危废供应单位提供重金属、</w:t>
      </w:r>
      <w:r>
        <w:rPr>
          <w:rFonts w:hint="default" w:ascii="Times New Roman" w:hAnsi="Times New Roman" w:eastAsia="宋体" w:cs="Times New Roman"/>
          <w:b w:val="0"/>
          <w:bCs w:val="0"/>
          <w:sz w:val="24"/>
          <w:szCs w:val="24"/>
          <w:u w:val="single"/>
        </w:rPr>
        <w:t>含氰化物</w:t>
      </w:r>
      <w:r>
        <w:rPr>
          <w:rFonts w:hint="default" w:ascii="Times New Roman" w:hAnsi="Times New Roman" w:eastAsia="宋体" w:cs="Times New Roman"/>
          <w:b w:val="0"/>
          <w:bCs w:val="0"/>
          <w:sz w:val="24"/>
          <w:szCs w:val="24"/>
          <w:u w:val="single"/>
          <w:lang w:eastAsia="zh-CN"/>
        </w:rPr>
        <w:t>、</w:t>
      </w:r>
      <w:r>
        <w:rPr>
          <w:rFonts w:hint="default" w:ascii="Times New Roman" w:hAnsi="Times New Roman" w:eastAsia="宋体" w:cs="Times New Roman"/>
          <w:b w:val="0"/>
          <w:bCs w:val="0"/>
          <w:sz w:val="24"/>
          <w:szCs w:val="24"/>
          <w:u w:val="single"/>
          <w:lang w:val="en-US" w:eastAsia="zh-CN"/>
        </w:rPr>
        <w:t>一类污染物等禁止入场成分的</w:t>
      </w:r>
      <w:r>
        <w:rPr>
          <w:rFonts w:hint="default" w:ascii="Times New Roman" w:hAnsi="Times New Roman" w:eastAsia="宋体" w:cs="Times New Roman"/>
          <w:sz w:val="24"/>
          <w:szCs w:val="24"/>
          <w:u w:val="single"/>
          <w:lang w:eastAsia="zh-CN"/>
        </w:rPr>
        <w:t>检测报告，</w:t>
      </w:r>
      <w:r>
        <w:rPr>
          <w:rFonts w:hint="default" w:ascii="Times New Roman" w:hAnsi="Times New Roman" w:eastAsia="宋体" w:cs="Times New Roman"/>
          <w:sz w:val="24"/>
          <w:szCs w:val="24"/>
          <w:u w:val="single"/>
        </w:rPr>
        <w:t>并按要求妥善保存，尽可能保持清洁桶的清洁和完整密封性</w:t>
      </w:r>
      <w:r>
        <w:rPr>
          <w:rFonts w:hint="default" w:ascii="Times New Roman" w:hAnsi="Times New Roman" w:eastAsia="宋体" w:cs="Times New Roman"/>
          <w:sz w:val="24"/>
          <w:szCs w:val="24"/>
          <w:u w:val="single"/>
          <w:lang w:eastAsia="zh-CN"/>
        </w:rPr>
        <w:t>，针对各产废单位危废中含有用成分的不同， 除了在合同中进行约定，还必须在进厂时进行第二次成分分析把控。签订长期协议的产废单位需与之签订协议，进行抽检、常规检查和强检，如产废单位配合，检验符合要求方可接收方可接收；</w:t>
      </w:r>
      <w:r>
        <w:rPr>
          <w:rFonts w:hint="default" w:ascii="Times New Roman" w:hAnsi="Times New Roman" w:eastAsia="宋体" w:cs="Times New Roman"/>
          <w:sz w:val="24"/>
          <w:szCs w:val="24"/>
          <w:u w:val="single"/>
        </w:rPr>
        <w:t>对沾染HW06、HW08、HW12等危险废物的包装破损，或包装容器物盖、容器盖丢失的，</w:t>
      </w:r>
      <w:r>
        <w:rPr>
          <w:rFonts w:hint="default" w:ascii="Times New Roman" w:hAnsi="Times New Roman" w:eastAsia="宋体" w:cs="Times New Roman"/>
          <w:sz w:val="24"/>
          <w:szCs w:val="24"/>
          <w:u w:val="single"/>
          <w:lang w:val="en-US" w:eastAsia="zh-CN"/>
        </w:rPr>
        <w:t>危废产生单位需</w:t>
      </w:r>
      <w:r>
        <w:rPr>
          <w:rFonts w:hint="default" w:ascii="Times New Roman" w:hAnsi="Times New Roman" w:eastAsia="宋体" w:cs="Times New Roman"/>
          <w:sz w:val="24"/>
          <w:szCs w:val="24"/>
          <w:u w:val="single"/>
        </w:rPr>
        <w:t>提前通知</w:t>
      </w:r>
      <w:r>
        <w:rPr>
          <w:rFonts w:hint="default" w:ascii="Times New Roman" w:hAnsi="Times New Roman" w:eastAsia="宋体" w:cs="Times New Roman"/>
          <w:sz w:val="24"/>
          <w:szCs w:val="24"/>
          <w:u w:val="single"/>
          <w:lang w:eastAsia="zh-CN"/>
        </w:rPr>
        <w:t>湖南湘蓝再生资源利用有限公司</w:t>
      </w:r>
      <w:r>
        <w:rPr>
          <w:rFonts w:hint="default" w:ascii="Times New Roman" w:hAnsi="Times New Roman" w:eastAsia="宋体" w:cs="Times New Roman"/>
          <w:sz w:val="24"/>
          <w:szCs w:val="24"/>
          <w:u w:val="single"/>
        </w:rPr>
        <w:t>备足预料收集容器和容器盖。</w:t>
      </w:r>
    </w:p>
    <w:p w14:paraId="14D2EAE0">
      <w:pPr>
        <w:spacing w:line="360" w:lineRule="auto"/>
        <w:ind w:firstLine="480" w:firstLineChars="200"/>
        <w:rPr>
          <w:rFonts w:hint="default" w:ascii="Times New Roman" w:hAnsi="Times New Roman" w:eastAsia="宋体" w:cs="Times New Roman"/>
          <w:sz w:val="24"/>
          <w:szCs w:val="24"/>
          <w:u w:val="single"/>
          <w:lang w:eastAsia="zh-CN"/>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sz w:val="24"/>
          <w:szCs w:val="24"/>
          <w:u w:val="single"/>
        </w:rPr>
        <w:t>为明确企业收购废包装容器上沾染的物质，企业在与废包装容器产生企业 签订协议前，废包装容器产生企业必须提供桶内物质的MSDS（化学品安全技术 说明书）信息，并确保包装桶完好无破损并密封桶盖。本项目在收集废包装容器 前期，通过对废包装容器产生企业的调查和现场抽样试验，根据盛装物不同的性 质分类登记，对区域内相同性质的废包装容器进行统筹安排，以维持生产线的稳定运行</w:t>
      </w:r>
      <w:r>
        <w:rPr>
          <w:rFonts w:hint="default" w:ascii="Times New Roman" w:hAnsi="Times New Roman" w:eastAsia="宋体" w:cs="Times New Roman"/>
          <w:sz w:val="24"/>
          <w:szCs w:val="24"/>
          <w:u w:val="single"/>
          <w:lang w:eastAsia="zh-CN"/>
        </w:rPr>
        <w:t>。</w:t>
      </w:r>
    </w:p>
    <w:p w14:paraId="6EF1A1B9">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表4.5-</w:t>
      </w:r>
      <w:r>
        <w:rPr>
          <w:rFonts w:hint="default" w:ascii="Times New Roman" w:hAnsi="Times New Roman" w:eastAsia="宋体" w:cs="Times New Roman"/>
          <w:b/>
          <w:bCs/>
          <w:szCs w:val="21"/>
          <w:lang w:val="en-US" w:eastAsia="zh-CN"/>
        </w:rPr>
        <w:t>3</w:t>
      </w:r>
      <w:r>
        <w:rPr>
          <w:rFonts w:hint="default" w:ascii="Times New Roman" w:hAnsi="Times New Roman" w:eastAsia="宋体" w:cs="Times New Roman"/>
          <w:b/>
          <w:bCs/>
          <w:szCs w:val="21"/>
        </w:rPr>
        <w:t xml:space="preserve">  本项目再生利用的危险废物种类一览表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82"/>
        <w:gridCol w:w="1127"/>
        <w:gridCol w:w="1690"/>
        <w:gridCol w:w="1127"/>
        <w:gridCol w:w="1693"/>
        <w:gridCol w:w="1329"/>
        <w:gridCol w:w="2940"/>
        <w:gridCol w:w="733"/>
        <w:gridCol w:w="2367"/>
      </w:tblGrid>
      <w:tr w14:paraId="50602CD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tcBorders>
              <w:bottom w:val="single" w:color="000000" w:sz="4" w:space="0"/>
              <w:right w:val="single" w:color="000000" w:sz="4" w:space="0"/>
            </w:tcBorders>
            <w:vAlign w:val="center"/>
          </w:tcPr>
          <w:p w14:paraId="01120029">
            <w:pPr>
              <w:pStyle w:val="60"/>
              <w:adjustRightInd w:val="0"/>
              <w:snapToGrid w:val="0"/>
              <w:rPr>
                <w:rFonts w:hint="default" w:ascii="Times New Roman" w:hAnsi="Times New Roman" w:eastAsia="宋体" w:cs="Times New Roman"/>
                <w:b/>
                <w:bCs/>
                <w:sz w:val="21"/>
                <w:szCs w:val="21"/>
                <w:lang w:eastAsia="en-US"/>
              </w:rPr>
            </w:pPr>
            <w:bookmarkStart w:id="265" w:name="_Hlk127537069"/>
            <w:r>
              <w:rPr>
                <w:rFonts w:hint="default" w:ascii="Times New Roman" w:hAnsi="Times New Roman" w:eastAsia="宋体" w:cs="Times New Roman"/>
                <w:b/>
                <w:bCs/>
                <w:sz w:val="21"/>
                <w:szCs w:val="21"/>
                <w:lang w:eastAsia="en-US"/>
              </w:rPr>
              <w:t>废物种类</w:t>
            </w:r>
          </w:p>
        </w:tc>
        <w:tc>
          <w:tcPr>
            <w:tcW w:w="403" w:type="pct"/>
            <w:tcBorders>
              <w:left w:val="single" w:color="000000" w:sz="4" w:space="0"/>
              <w:bottom w:val="single" w:color="000000" w:sz="4" w:space="0"/>
              <w:right w:val="single" w:color="000000" w:sz="4" w:space="0"/>
            </w:tcBorders>
            <w:vAlign w:val="center"/>
          </w:tcPr>
          <w:p w14:paraId="27302366">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年收集量</w:t>
            </w:r>
          </w:p>
          <w:p w14:paraId="755D9E4B">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t/a</w:t>
            </w:r>
          </w:p>
        </w:tc>
        <w:tc>
          <w:tcPr>
            <w:tcW w:w="604" w:type="pct"/>
            <w:tcBorders>
              <w:left w:val="single" w:color="000000" w:sz="4" w:space="0"/>
              <w:bottom w:val="single" w:color="000000" w:sz="4" w:space="0"/>
              <w:right w:val="single" w:color="000000" w:sz="4" w:space="0"/>
            </w:tcBorders>
            <w:vAlign w:val="center"/>
          </w:tcPr>
          <w:p w14:paraId="3EAAFAF1">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废物类别</w:t>
            </w:r>
          </w:p>
        </w:tc>
        <w:tc>
          <w:tcPr>
            <w:tcW w:w="403" w:type="pct"/>
            <w:tcBorders>
              <w:left w:val="single" w:color="000000" w:sz="4" w:space="0"/>
              <w:bottom w:val="single" w:color="000000" w:sz="4" w:space="0"/>
              <w:right w:val="single" w:color="000000" w:sz="4" w:space="0"/>
            </w:tcBorders>
            <w:vAlign w:val="center"/>
          </w:tcPr>
          <w:p w14:paraId="1D026F43">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废物代码</w:t>
            </w:r>
          </w:p>
        </w:tc>
        <w:tc>
          <w:tcPr>
            <w:tcW w:w="605" w:type="pct"/>
            <w:tcBorders>
              <w:left w:val="single" w:color="000000" w:sz="4" w:space="0"/>
              <w:bottom w:val="single" w:color="000000" w:sz="4" w:space="0"/>
              <w:right w:val="single" w:color="000000" w:sz="4" w:space="0"/>
            </w:tcBorders>
            <w:vAlign w:val="center"/>
          </w:tcPr>
          <w:p w14:paraId="091995C5">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危废来源主要行业</w:t>
            </w:r>
          </w:p>
        </w:tc>
        <w:tc>
          <w:tcPr>
            <w:tcW w:w="475" w:type="pct"/>
            <w:tcBorders>
              <w:left w:val="single" w:color="000000" w:sz="4" w:space="0"/>
              <w:bottom w:val="single" w:color="000000" w:sz="4" w:space="0"/>
              <w:right w:val="single" w:color="000000" w:sz="4" w:space="0"/>
            </w:tcBorders>
            <w:vAlign w:val="center"/>
          </w:tcPr>
          <w:p w14:paraId="0BC5E4F0">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种类</w:t>
            </w:r>
          </w:p>
        </w:tc>
        <w:tc>
          <w:tcPr>
            <w:tcW w:w="1051" w:type="pct"/>
            <w:tcBorders>
              <w:left w:val="single" w:color="000000" w:sz="4" w:space="0"/>
              <w:bottom w:val="single" w:color="000000" w:sz="4" w:space="0"/>
              <w:right w:val="single" w:color="000000" w:sz="4" w:space="0"/>
            </w:tcBorders>
            <w:vAlign w:val="center"/>
          </w:tcPr>
          <w:p w14:paraId="090D2593">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残液</w:t>
            </w:r>
            <w:r>
              <w:rPr>
                <w:rFonts w:hint="default" w:ascii="Times New Roman" w:hAnsi="Times New Roman" w:eastAsia="宋体" w:cs="Times New Roman"/>
                <w:b/>
                <w:bCs/>
                <w:sz w:val="21"/>
                <w:szCs w:val="21"/>
                <w:lang w:eastAsia="zh-CN"/>
              </w:rPr>
              <w:t>/残留物</w:t>
            </w:r>
            <w:r>
              <w:rPr>
                <w:rFonts w:hint="default" w:ascii="Times New Roman" w:hAnsi="Times New Roman" w:eastAsia="宋体" w:cs="Times New Roman"/>
                <w:b/>
                <w:bCs/>
                <w:sz w:val="21"/>
                <w:szCs w:val="21"/>
                <w:lang w:eastAsia="en-US"/>
              </w:rPr>
              <w:t>主要成分</w:t>
            </w:r>
          </w:p>
        </w:tc>
        <w:tc>
          <w:tcPr>
            <w:tcW w:w="262" w:type="pct"/>
            <w:tcBorders>
              <w:left w:val="single" w:color="000000" w:sz="4" w:space="0"/>
              <w:bottom w:val="single" w:color="000000" w:sz="4" w:space="0"/>
              <w:right w:val="single" w:color="000000" w:sz="4" w:space="0"/>
            </w:tcBorders>
            <w:vAlign w:val="center"/>
          </w:tcPr>
          <w:p w14:paraId="4242351C">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废物来</w:t>
            </w:r>
          </w:p>
          <w:p w14:paraId="23A8EF3B">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源</w:t>
            </w:r>
          </w:p>
        </w:tc>
        <w:tc>
          <w:tcPr>
            <w:tcW w:w="846" w:type="pct"/>
            <w:tcBorders>
              <w:left w:val="single" w:color="000000" w:sz="4" w:space="0"/>
              <w:bottom w:val="single" w:color="000000" w:sz="4" w:space="0"/>
            </w:tcBorders>
            <w:vAlign w:val="center"/>
          </w:tcPr>
          <w:p w14:paraId="4C4D194C">
            <w:pPr>
              <w:pStyle w:val="60"/>
              <w:adjustRightInd w:val="0"/>
              <w:snapToGrid w:val="0"/>
              <w:rPr>
                <w:rFonts w:hint="default" w:ascii="Times New Roman" w:hAnsi="Times New Roman" w:eastAsia="宋体" w:cs="Times New Roman"/>
                <w:b/>
                <w:bCs/>
                <w:sz w:val="21"/>
                <w:szCs w:val="21"/>
                <w:lang w:eastAsia="zh-CN"/>
              </w:rPr>
            </w:pPr>
            <w:r>
              <w:rPr>
                <w:rFonts w:hint="default" w:ascii="Times New Roman" w:hAnsi="Times New Roman" w:eastAsia="宋体" w:cs="Times New Roman"/>
                <w:b/>
                <w:bCs/>
                <w:sz w:val="21"/>
                <w:szCs w:val="21"/>
                <w:lang w:eastAsia="zh-CN"/>
              </w:rPr>
              <w:t>禁止入厂的沾染性包装容</w:t>
            </w:r>
          </w:p>
          <w:p w14:paraId="6E2B1DED">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器</w:t>
            </w:r>
          </w:p>
        </w:tc>
      </w:tr>
      <w:tr w14:paraId="29AAE3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restart"/>
            <w:tcBorders>
              <w:top w:val="single" w:color="000000" w:sz="4" w:space="0"/>
              <w:bottom w:val="single" w:color="000000" w:sz="4" w:space="0"/>
              <w:right w:val="single" w:color="000000" w:sz="4" w:space="0"/>
            </w:tcBorders>
            <w:vAlign w:val="center"/>
          </w:tcPr>
          <w:p w14:paraId="7D5E0CAA">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废金属包装容器</w:t>
            </w:r>
          </w:p>
        </w:tc>
        <w:tc>
          <w:tcPr>
            <w:tcW w:w="403" w:type="pct"/>
            <w:vMerge w:val="restart"/>
            <w:tcBorders>
              <w:top w:val="single" w:color="000000" w:sz="4" w:space="0"/>
              <w:left w:val="single" w:color="000000" w:sz="4" w:space="0"/>
              <w:bottom w:val="single" w:color="000000" w:sz="4" w:space="0"/>
              <w:right w:val="single" w:color="000000" w:sz="4" w:space="0"/>
            </w:tcBorders>
            <w:vAlign w:val="center"/>
          </w:tcPr>
          <w:p w14:paraId="5CF3D17B">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5000</w:t>
            </w:r>
          </w:p>
        </w:tc>
        <w:tc>
          <w:tcPr>
            <w:tcW w:w="604" w:type="pct"/>
            <w:vMerge w:val="restart"/>
            <w:tcBorders>
              <w:top w:val="single" w:color="000000" w:sz="4" w:space="0"/>
              <w:left w:val="single" w:color="000000" w:sz="4" w:space="0"/>
              <w:bottom w:val="single" w:color="000000" w:sz="4" w:space="0"/>
              <w:right w:val="single" w:color="000000" w:sz="4" w:space="0"/>
            </w:tcBorders>
            <w:vAlign w:val="center"/>
          </w:tcPr>
          <w:p w14:paraId="13AF8E2C">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HW49其他废物</w:t>
            </w:r>
          </w:p>
        </w:tc>
        <w:tc>
          <w:tcPr>
            <w:tcW w:w="403" w:type="pct"/>
            <w:vMerge w:val="restart"/>
            <w:tcBorders>
              <w:top w:val="single" w:color="000000" w:sz="4" w:space="0"/>
              <w:left w:val="single" w:color="000000" w:sz="4" w:space="0"/>
              <w:bottom w:val="single" w:color="000000" w:sz="4" w:space="0"/>
              <w:right w:val="single" w:color="000000" w:sz="4" w:space="0"/>
            </w:tcBorders>
            <w:vAlign w:val="center"/>
          </w:tcPr>
          <w:p w14:paraId="02838F76">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900-041-49</w:t>
            </w:r>
          </w:p>
        </w:tc>
        <w:tc>
          <w:tcPr>
            <w:tcW w:w="605" w:type="pct"/>
            <w:vMerge w:val="restart"/>
            <w:tcBorders>
              <w:top w:val="single" w:color="000000" w:sz="4" w:space="0"/>
              <w:left w:val="single" w:color="000000" w:sz="4" w:space="0"/>
              <w:bottom w:val="single" w:color="000000" w:sz="4" w:space="0"/>
              <w:right w:val="single" w:color="000000" w:sz="4" w:space="0"/>
            </w:tcBorders>
            <w:vAlign w:val="center"/>
          </w:tcPr>
          <w:p w14:paraId="5D5B864E">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表面涂装、机械加工等</w:t>
            </w:r>
          </w:p>
        </w:tc>
        <w:tc>
          <w:tcPr>
            <w:tcW w:w="475" w:type="pct"/>
            <w:tcBorders>
              <w:top w:val="single" w:color="000000" w:sz="4" w:space="0"/>
              <w:left w:val="single" w:color="000000" w:sz="4" w:space="0"/>
              <w:bottom w:val="single" w:color="000000" w:sz="4" w:space="0"/>
              <w:right w:val="single" w:color="000000" w:sz="4" w:space="0"/>
            </w:tcBorders>
            <w:vAlign w:val="center"/>
          </w:tcPr>
          <w:p w14:paraId="0B8FB86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油漆桶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6DC6650C">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油料、树脂、稀料（甲苯、二甲苯）、辅料（固化剂、增塑剂、防潮剂）</w:t>
            </w:r>
          </w:p>
        </w:tc>
        <w:tc>
          <w:tcPr>
            <w:tcW w:w="262" w:type="pct"/>
            <w:vMerge w:val="restart"/>
            <w:tcBorders>
              <w:top w:val="single" w:color="000000" w:sz="4" w:space="0"/>
              <w:left w:val="single" w:color="000000" w:sz="4" w:space="0"/>
              <w:right w:val="single" w:color="000000" w:sz="4" w:space="0"/>
            </w:tcBorders>
            <w:vAlign w:val="center"/>
          </w:tcPr>
          <w:p w14:paraId="61BB616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湖南省内</w:t>
            </w:r>
          </w:p>
        </w:tc>
        <w:tc>
          <w:tcPr>
            <w:tcW w:w="846" w:type="pct"/>
            <w:vMerge w:val="restart"/>
            <w:tcBorders>
              <w:top w:val="single" w:color="000000" w:sz="4" w:space="0"/>
              <w:left w:val="single" w:color="000000" w:sz="4" w:space="0"/>
            </w:tcBorders>
            <w:vAlign w:val="center"/>
          </w:tcPr>
          <w:p w14:paraId="1ADB64E5">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1、含</w:t>
            </w:r>
            <w:r>
              <w:rPr>
                <w:rFonts w:hint="default" w:ascii="Times New Roman" w:hAnsi="Times New Roman" w:eastAsia="宋体" w:cs="Times New Roman"/>
                <w:sz w:val="21"/>
                <w:szCs w:val="21"/>
                <w:lang w:val="en-US" w:eastAsia="zh-CN"/>
              </w:rPr>
              <w:t>重金属/</w:t>
            </w:r>
            <w:r>
              <w:rPr>
                <w:rFonts w:hint="default" w:ascii="Times New Roman" w:hAnsi="Times New Roman" w:eastAsia="宋体" w:cs="Times New Roman"/>
                <w:sz w:val="21"/>
                <w:szCs w:val="21"/>
                <w:lang w:eastAsia="zh-CN"/>
              </w:rPr>
              <w:t>一类污染物；</w:t>
            </w:r>
          </w:p>
          <w:p w14:paraId="341FE748">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2、含感染性、损伤性、病理性等医疗卫生物质包装容器；</w:t>
            </w:r>
          </w:p>
          <w:p w14:paraId="34DF8D1C">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3、含剧毒类化合物包装容器；</w:t>
            </w:r>
          </w:p>
          <w:p w14:paraId="2777A1B2">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4、含爆炸性物质包装容器；</w:t>
            </w:r>
          </w:p>
          <w:p w14:paraId="3971E343">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5、含放射性物质包装容器。</w:t>
            </w:r>
          </w:p>
          <w:p w14:paraId="071C1A2B">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6、含多氯联苯类物质包装容器。</w:t>
            </w:r>
          </w:p>
        </w:tc>
      </w:tr>
      <w:tr w14:paraId="3289154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62A724FF">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03" w:type="pct"/>
            <w:vMerge w:val="continue"/>
            <w:tcBorders>
              <w:top w:val="nil"/>
              <w:left w:val="single" w:color="000000" w:sz="4" w:space="0"/>
              <w:bottom w:val="single" w:color="000000" w:sz="4" w:space="0"/>
              <w:right w:val="single" w:color="000000" w:sz="4" w:space="0"/>
            </w:tcBorders>
            <w:vAlign w:val="center"/>
          </w:tcPr>
          <w:p w14:paraId="3BB2C686">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604" w:type="pct"/>
            <w:vMerge w:val="continue"/>
            <w:tcBorders>
              <w:top w:val="nil"/>
              <w:left w:val="single" w:color="000000" w:sz="4" w:space="0"/>
              <w:bottom w:val="single" w:color="000000" w:sz="4" w:space="0"/>
              <w:right w:val="single" w:color="000000" w:sz="4" w:space="0"/>
            </w:tcBorders>
            <w:vAlign w:val="center"/>
          </w:tcPr>
          <w:p w14:paraId="032D50D5">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03" w:type="pct"/>
            <w:vMerge w:val="continue"/>
            <w:tcBorders>
              <w:top w:val="nil"/>
              <w:left w:val="single" w:color="000000" w:sz="4" w:space="0"/>
              <w:bottom w:val="single" w:color="000000" w:sz="4" w:space="0"/>
              <w:right w:val="single" w:color="000000" w:sz="4" w:space="0"/>
            </w:tcBorders>
            <w:vAlign w:val="center"/>
          </w:tcPr>
          <w:p w14:paraId="6B0707A4">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605" w:type="pct"/>
            <w:vMerge w:val="continue"/>
            <w:tcBorders>
              <w:top w:val="nil"/>
              <w:left w:val="single" w:color="000000" w:sz="4" w:space="0"/>
              <w:bottom w:val="single" w:color="000000" w:sz="4" w:space="0"/>
              <w:right w:val="single" w:color="000000" w:sz="4" w:space="0"/>
            </w:tcBorders>
            <w:vAlign w:val="center"/>
          </w:tcPr>
          <w:p w14:paraId="755E1FAD">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75" w:type="pct"/>
            <w:tcBorders>
              <w:top w:val="single" w:color="000000" w:sz="4" w:space="0"/>
              <w:left w:val="single" w:color="000000" w:sz="4" w:space="0"/>
              <w:bottom w:val="single" w:color="000000" w:sz="4" w:space="0"/>
              <w:right w:val="single" w:color="000000" w:sz="4" w:space="0"/>
            </w:tcBorders>
            <w:vAlign w:val="center"/>
          </w:tcPr>
          <w:p w14:paraId="28EAC74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稀释剂桶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5775FDA8">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乙酸乙酯、乙酸正丁酯、苯、甲苯、丙酮、乙醇、丁醇</w:t>
            </w:r>
          </w:p>
        </w:tc>
        <w:tc>
          <w:tcPr>
            <w:tcW w:w="262" w:type="pct"/>
            <w:vMerge w:val="continue"/>
            <w:tcBorders>
              <w:top w:val="nil"/>
              <w:left w:val="single" w:color="000000" w:sz="4" w:space="0"/>
              <w:right w:val="single" w:color="000000" w:sz="4" w:space="0"/>
            </w:tcBorders>
            <w:vAlign w:val="center"/>
          </w:tcPr>
          <w:p w14:paraId="375F2E59">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846" w:type="pct"/>
            <w:vMerge w:val="continue"/>
            <w:tcBorders>
              <w:top w:val="nil"/>
              <w:left w:val="single" w:color="000000" w:sz="4" w:space="0"/>
            </w:tcBorders>
            <w:vAlign w:val="center"/>
          </w:tcPr>
          <w:p w14:paraId="555D643B">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14:paraId="339190D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7E4B63EF">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403" w:type="pct"/>
            <w:vMerge w:val="continue"/>
            <w:tcBorders>
              <w:top w:val="nil"/>
              <w:left w:val="single" w:color="000000" w:sz="4" w:space="0"/>
              <w:bottom w:val="single" w:color="000000" w:sz="4" w:space="0"/>
              <w:right w:val="single" w:color="000000" w:sz="4" w:space="0"/>
            </w:tcBorders>
            <w:vAlign w:val="center"/>
          </w:tcPr>
          <w:p w14:paraId="67FA011D">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04" w:type="pct"/>
            <w:vMerge w:val="continue"/>
            <w:tcBorders>
              <w:top w:val="nil"/>
              <w:left w:val="single" w:color="000000" w:sz="4" w:space="0"/>
              <w:bottom w:val="single" w:color="000000" w:sz="4" w:space="0"/>
              <w:right w:val="single" w:color="000000" w:sz="4" w:space="0"/>
            </w:tcBorders>
            <w:vAlign w:val="center"/>
          </w:tcPr>
          <w:p w14:paraId="64D35304">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403" w:type="pct"/>
            <w:vMerge w:val="continue"/>
            <w:tcBorders>
              <w:top w:val="nil"/>
              <w:left w:val="single" w:color="000000" w:sz="4" w:space="0"/>
              <w:bottom w:val="single" w:color="000000" w:sz="4" w:space="0"/>
              <w:right w:val="single" w:color="000000" w:sz="4" w:space="0"/>
            </w:tcBorders>
            <w:vAlign w:val="center"/>
          </w:tcPr>
          <w:p w14:paraId="2F4AE0C2">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05" w:type="pct"/>
            <w:vMerge w:val="continue"/>
            <w:tcBorders>
              <w:top w:val="nil"/>
              <w:left w:val="single" w:color="000000" w:sz="4" w:space="0"/>
              <w:bottom w:val="single" w:color="000000" w:sz="4" w:space="0"/>
              <w:right w:val="single" w:color="000000" w:sz="4" w:space="0"/>
            </w:tcBorders>
            <w:vAlign w:val="center"/>
          </w:tcPr>
          <w:p w14:paraId="7132A706">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475" w:type="pct"/>
            <w:tcBorders>
              <w:top w:val="single" w:color="000000" w:sz="4" w:space="0"/>
              <w:left w:val="single" w:color="000000" w:sz="4" w:space="0"/>
              <w:bottom w:val="single" w:color="000000" w:sz="4" w:space="0"/>
              <w:right w:val="single" w:color="000000" w:sz="4" w:space="0"/>
            </w:tcBorders>
            <w:vAlign w:val="center"/>
          </w:tcPr>
          <w:p w14:paraId="41C5DFCA">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水性涂料桶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3254F1A5">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水、乳液、成膜助剂、防腐剂、调节剂、填料、增稠剂、分散剂、消泡剂</w:t>
            </w:r>
          </w:p>
        </w:tc>
        <w:tc>
          <w:tcPr>
            <w:tcW w:w="262" w:type="pct"/>
            <w:vMerge w:val="continue"/>
            <w:tcBorders>
              <w:top w:val="nil"/>
              <w:left w:val="single" w:color="000000" w:sz="4" w:space="0"/>
              <w:right w:val="single" w:color="000000" w:sz="4" w:space="0"/>
            </w:tcBorders>
            <w:vAlign w:val="center"/>
          </w:tcPr>
          <w:p w14:paraId="7C29E61E">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846" w:type="pct"/>
            <w:vMerge w:val="continue"/>
            <w:tcBorders>
              <w:top w:val="nil"/>
              <w:left w:val="single" w:color="000000" w:sz="4" w:space="0"/>
            </w:tcBorders>
            <w:vAlign w:val="center"/>
          </w:tcPr>
          <w:p w14:paraId="7B8B1465">
            <w:pPr>
              <w:autoSpaceDE w:val="0"/>
              <w:autoSpaceDN w:val="0"/>
              <w:adjustRightInd w:val="0"/>
              <w:snapToGrid w:val="0"/>
              <w:jc w:val="center"/>
              <w:rPr>
                <w:rFonts w:hint="default" w:ascii="Times New Roman" w:hAnsi="Times New Roman" w:eastAsia="宋体" w:cs="Times New Roman"/>
                <w:kern w:val="0"/>
                <w:sz w:val="21"/>
                <w:szCs w:val="21"/>
                <w:lang w:eastAsia="zh-CN"/>
              </w:rPr>
            </w:pPr>
          </w:p>
        </w:tc>
      </w:tr>
      <w:tr w14:paraId="7AC476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503A56F9">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03" w:type="pct"/>
            <w:vMerge w:val="continue"/>
            <w:tcBorders>
              <w:top w:val="nil"/>
              <w:left w:val="single" w:color="000000" w:sz="4" w:space="0"/>
              <w:bottom w:val="single" w:color="000000" w:sz="4" w:space="0"/>
              <w:right w:val="single" w:color="000000" w:sz="4" w:space="0"/>
            </w:tcBorders>
            <w:vAlign w:val="center"/>
          </w:tcPr>
          <w:p w14:paraId="04B116E9">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604" w:type="pct"/>
            <w:vMerge w:val="continue"/>
            <w:tcBorders>
              <w:top w:val="nil"/>
              <w:left w:val="single" w:color="000000" w:sz="4" w:space="0"/>
              <w:bottom w:val="single" w:color="000000" w:sz="4" w:space="0"/>
              <w:right w:val="single" w:color="000000" w:sz="4" w:space="0"/>
            </w:tcBorders>
            <w:vAlign w:val="center"/>
          </w:tcPr>
          <w:p w14:paraId="0127579C">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03" w:type="pct"/>
            <w:vMerge w:val="continue"/>
            <w:tcBorders>
              <w:top w:val="nil"/>
              <w:left w:val="single" w:color="000000" w:sz="4" w:space="0"/>
              <w:bottom w:val="single" w:color="000000" w:sz="4" w:space="0"/>
              <w:right w:val="single" w:color="000000" w:sz="4" w:space="0"/>
            </w:tcBorders>
            <w:vAlign w:val="center"/>
          </w:tcPr>
          <w:p w14:paraId="3DE99C51">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605" w:type="pct"/>
            <w:vMerge w:val="continue"/>
            <w:tcBorders>
              <w:top w:val="nil"/>
              <w:left w:val="single" w:color="000000" w:sz="4" w:space="0"/>
              <w:bottom w:val="single" w:color="000000" w:sz="4" w:space="0"/>
              <w:right w:val="single" w:color="000000" w:sz="4" w:space="0"/>
            </w:tcBorders>
            <w:vAlign w:val="center"/>
          </w:tcPr>
          <w:p w14:paraId="53FEF262">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75" w:type="pct"/>
            <w:tcBorders>
              <w:top w:val="single" w:color="000000" w:sz="4" w:space="0"/>
              <w:left w:val="single" w:color="000000" w:sz="4" w:space="0"/>
              <w:bottom w:val="single" w:color="000000" w:sz="4" w:space="0"/>
              <w:right w:val="single" w:color="000000" w:sz="4" w:space="0"/>
            </w:tcBorders>
            <w:vAlign w:val="center"/>
          </w:tcPr>
          <w:p w14:paraId="59A93E22">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酯类溶剂桶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5FC52A68">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低碳的有机酸和醇的结合物，包括醋酸丁酯、醋酸乙酯等</w:t>
            </w:r>
          </w:p>
        </w:tc>
        <w:tc>
          <w:tcPr>
            <w:tcW w:w="262" w:type="pct"/>
            <w:vMerge w:val="continue"/>
            <w:tcBorders>
              <w:top w:val="nil"/>
              <w:left w:val="single" w:color="000000" w:sz="4" w:space="0"/>
              <w:right w:val="single" w:color="000000" w:sz="4" w:space="0"/>
            </w:tcBorders>
            <w:vAlign w:val="center"/>
          </w:tcPr>
          <w:p w14:paraId="05CBFB79">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846" w:type="pct"/>
            <w:vMerge w:val="continue"/>
            <w:tcBorders>
              <w:top w:val="nil"/>
              <w:left w:val="single" w:color="000000" w:sz="4" w:space="0"/>
            </w:tcBorders>
            <w:vAlign w:val="center"/>
          </w:tcPr>
          <w:p w14:paraId="6C7E62C6">
            <w:pPr>
              <w:autoSpaceDE w:val="0"/>
              <w:autoSpaceDN w:val="0"/>
              <w:adjustRightInd w:val="0"/>
              <w:snapToGrid w:val="0"/>
              <w:jc w:val="center"/>
              <w:rPr>
                <w:rFonts w:hint="default" w:ascii="Times New Roman" w:hAnsi="Times New Roman" w:eastAsia="宋体" w:cs="Times New Roman"/>
                <w:kern w:val="0"/>
                <w:sz w:val="21"/>
                <w:szCs w:val="21"/>
                <w:lang w:eastAsia="zh-CN"/>
              </w:rPr>
            </w:pPr>
          </w:p>
        </w:tc>
      </w:tr>
      <w:tr w14:paraId="4225860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0B463656">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03" w:type="pct"/>
            <w:tcBorders>
              <w:top w:val="single" w:color="000000" w:sz="4" w:space="0"/>
              <w:left w:val="single" w:color="000000" w:sz="4" w:space="0"/>
              <w:bottom w:val="single" w:color="000000" w:sz="4" w:space="0"/>
              <w:right w:val="single" w:color="000000" w:sz="4" w:space="0"/>
            </w:tcBorders>
            <w:vAlign w:val="center"/>
          </w:tcPr>
          <w:p w14:paraId="0545FEC4">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5000</w:t>
            </w:r>
          </w:p>
        </w:tc>
        <w:tc>
          <w:tcPr>
            <w:tcW w:w="604" w:type="pct"/>
            <w:tcBorders>
              <w:top w:val="single" w:color="000000" w:sz="4" w:space="0"/>
              <w:left w:val="single" w:color="000000" w:sz="4" w:space="0"/>
              <w:bottom w:val="single" w:color="000000" w:sz="4" w:space="0"/>
              <w:right w:val="single" w:color="000000" w:sz="4" w:space="0"/>
            </w:tcBorders>
            <w:vAlign w:val="center"/>
          </w:tcPr>
          <w:p w14:paraId="54CAA159">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HW08废矿物油与</w:t>
            </w:r>
          </w:p>
          <w:p w14:paraId="0ACD2EC9">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含矿物油废物</w:t>
            </w:r>
          </w:p>
        </w:tc>
        <w:tc>
          <w:tcPr>
            <w:tcW w:w="403" w:type="pct"/>
            <w:tcBorders>
              <w:top w:val="single" w:color="000000" w:sz="4" w:space="0"/>
              <w:left w:val="single" w:color="000000" w:sz="4" w:space="0"/>
              <w:bottom w:val="single" w:color="000000" w:sz="4" w:space="0"/>
              <w:right w:val="single" w:color="000000" w:sz="4" w:space="0"/>
            </w:tcBorders>
            <w:vAlign w:val="center"/>
          </w:tcPr>
          <w:p w14:paraId="4C6B54F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900-249-08</w:t>
            </w:r>
          </w:p>
        </w:tc>
        <w:tc>
          <w:tcPr>
            <w:tcW w:w="605" w:type="pct"/>
            <w:tcBorders>
              <w:top w:val="single" w:color="000000" w:sz="4" w:space="0"/>
              <w:left w:val="single" w:color="000000" w:sz="4" w:space="0"/>
              <w:bottom w:val="single" w:color="000000" w:sz="4" w:space="0"/>
              <w:right w:val="single" w:color="000000" w:sz="4" w:space="0"/>
            </w:tcBorders>
            <w:vAlign w:val="center"/>
          </w:tcPr>
          <w:p w14:paraId="18BFCB2B">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机械加工</w:t>
            </w:r>
          </w:p>
        </w:tc>
        <w:tc>
          <w:tcPr>
            <w:tcW w:w="475" w:type="pct"/>
            <w:tcBorders>
              <w:top w:val="single" w:color="000000" w:sz="4" w:space="0"/>
              <w:left w:val="single" w:color="000000" w:sz="4" w:space="0"/>
              <w:bottom w:val="single" w:color="000000" w:sz="4" w:space="0"/>
              <w:right w:val="single" w:color="000000" w:sz="4" w:space="0"/>
            </w:tcBorders>
            <w:vAlign w:val="center"/>
          </w:tcPr>
          <w:p w14:paraId="5C7AA4E5">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矿物油桶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2BC24EE3">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轻质、重质燃料油，润滑油，冷却油等矿物性碳氢化合物</w:t>
            </w:r>
          </w:p>
        </w:tc>
        <w:tc>
          <w:tcPr>
            <w:tcW w:w="262" w:type="pct"/>
            <w:vMerge w:val="continue"/>
            <w:tcBorders>
              <w:top w:val="nil"/>
              <w:left w:val="single" w:color="000000" w:sz="4" w:space="0"/>
              <w:right w:val="single" w:color="000000" w:sz="4" w:space="0"/>
            </w:tcBorders>
            <w:vAlign w:val="center"/>
          </w:tcPr>
          <w:p w14:paraId="3EDC894C">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846" w:type="pct"/>
            <w:vMerge w:val="continue"/>
            <w:tcBorders>
              <w:top w:val="nil"/>
              <w:left w:val="single" w:color="000000" w:sz="4" w:space="0"/>
            </w:tcBorders>
            <w:vAlign w:val="center"/>
          </w:tcPr>
          <w:p w14:paraId="1A0201F8">
            <w:pPr>
              <w:autoSpaceDE w:val="0"/>
              <w:autoSpaceDN w:val="0"/>
              <w:adjustRightInd w:val="0"/>
              <w:snapToGrid w:val="0"/>
              <w:jc w:val="center"/>
              <w:rPr>
                <w:rFonts w:hint="default" w:ascii="Times New Roman" w:hAnsi="Times New Roman" w:eastAsia="宋体" w:cs="Times New Roman"/>
                <w:kern w:val="0"/>
                <w:sz w:val="21"/>
                <w:szCs w:val="21"/>
                <w:lang w:eastAsia="zh-CN"/>
              </w:rPr>
            </w:pPr>
          </w:p>
        </w:tc>
      </w:tr>
      <w:tr w14:paraId="4F91A55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restart"/>
            <w:tcBorders>
              <w:top w:val="single" w:color="000000" w:sz="4" w:space="0"/>
              <w:bottom w:val="single" w:color="000000" w:sz="4" w:space="0"/>
              <w:right w:val="single" w:color="000000" w:sz="4" w:space="0"/>
            </w:tcBorders>
            <w:vAlign w:val="center"/>
          </w:tcPr>
          <w:p w14:paraId="6C6BA97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废塑料包装容器</w:t>
            </w:r>
          </w:p>
        </w:tc>
        <w:tc>
          <w:tcPr>
            <w:tcW w:w="403" w:type="pct"/>
            <w:tcBorders>
              <w:top w:val="single" w:color="000000" w:sz="4" w:space="0"/>
              <w:left w:val="single" w:color="000000" w:sz="4" w:space="0"/>
              <w:bottom w:val="single" w:color="auto" w:sz="4" w:space="0"/>
              <w:right w:val="single" w:color="000000" w:sz="4" w:space="0"/>
            </w:tcBorders>
            <w:vAlign w:val="center"/>
          </w:tcPr>
          <w:p w14:paraId="26D1F8A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1000</w:t>
            </w:r>
          </w:p>
        </w:tc>
        <w:tc>
          <w:tcPr>
            <w:tcW w:w="604" w:type="pct"/>
            <w:tcBorders>
              <w:top w:val="single" w:color="000000" w:sz="4" w:space="0"/>
              <w:left w:val="single" w:color="000000" w:sz="4" w:space="0"/>
              <w:bottom w:val="single" w:color="auto" w:sz="4" w:space="0"/>
              <w:right w:val="single" w:color="000000" w:sz="4" w:space="0"/>
            </w:tcBorders>
            <w:vAlign w:val="center"/>
          </w:tcPr>
          <w:p w14:paraId="43171099">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HW49其他废物</w:t>
            </w:r>
          </w:p>
        </w:tc>
        <w:tc>
          <w:tcPr>
            <w:tcW w:w="403" w:type="pct"/>
            <w:tcBorders>
              <w:top w:val="single" w:color="000000" w:sz="4" w:space="0"/>
              <w:left w:val="single" w:color="000000" w:sz="4" w:space="0"/>
              <w:bottom w:val="single" w:color="auto" w:sz="4" w:space="0"/>
              <w:right w:val="single" w:color="000000" w:sz="4" w:space="0"/>
            </w:tcBorders>
            <w:vAlign w:val="center"/>
          </w:tcPr>
          <w:p w14:paraId="4664D63A">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900-041-49</w:t>
            </w:r>
          </w:p>
        </w:tc>
        <w:tc>
          <w:tcPr>
            <w:tcW w:w="605" w:type="pct"/>
            <w:tcBorders>
              <w:top w:val="single" w:color="000000" w:sz="4" w:space="0"/>
              <w:left w:val="single" w:color="000000" w:sz="4" w:space="0"/>
              <w:bottom w:val="single" w:color="auto" w:sz="4" w:space="0"/>
              <w:right w:val="single" w:color="000000" w:sz="4" w:space="0"/>
            </w:tcBorders>
            <w:vAlign w:val="center"/>
          </w:tcPr>
          <w:p w14:paraId="684FC08A">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表面涂装、机械加工等</w:t>
            </w:r>
          </w:p>
        </w:tc>
        <w:tc>
          <w:tcPr>
            <w:tcW w:w="475" w:type="pct"/>
            <w:tcBorders>
              <w:top w:val="single" w:color="000000" w:sz="4" w:space="0"/>
              <w:left w:val="single" w:color="000000" w:sz="4" w:space="0"/>
              <w:bottom w:val="single" w:color="000000" w:sz="4" w:space="0"/>
              <w:right w:val="single" w:color="000000" w:sz="4" w:space="0"/>
            </w:tcBorders>
            <w:vAlign w:val="center"/>
          </w:tcPr>
          <w:p w14:paraId="540DE278">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IBC</w:t>
            </w:r>
            <w:r>
              <w:rPr>
                <w:rFonts w:hint="default" w:ascii="Times New Roman" w:hAnsi="Times New Roman" w:eastAsia="宋体" w:cs="Times New Roman"/>
                <w:sz w:val="21"/>
                <w:szCs w:val="21"/>
                <w:lang w:eastAsia="zh-CN"/>
              </w:rPr>
              <w:t>吨</w:t>
            </w:r>
            <w:r>
              <w:rPr>
                <w:rFonts w:hint="default" w:ascii="Times New Roman" w:hAnsi="Times New Roman" w:eastAsia="宋体" w:cs="Times New Roman"/>
                <w:sz w:val="21"/>
                <w:szCs w:val="21"/>
                <w:lang w:eastAsia="en-US"/>
              </w:rPr>
              <w:t>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307085B1">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树脂、固化剂等</w:t>
            </w:r>
          </w:p>
        </w:tc>
        <w:tc>
          <w:tcPr>
            <w:tcW w:w="262" w:type="pct"/>
            <w:vMerge w:val="continue"/>
            <w:tcBorders>
              <w:top w:val="nil"/>
              <w:left w:val="single" w:color="000000" w:sz="4" w:space="0"/>
              <w:right w:val="single" w:color="000000" w:sz="4" w:space="0"/>
            </w:tcBorders>
            <w:vAlign w:val="center"/>
          </w:tcPr>
          <w:p w14:paraId="3684F49C">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846" w:type="pct"/>
            <w:vMerge w:val="continue"/>
            <w:tcBorders>
              <w:top w:val="nil"/>
              <w:left w:val="single" w:color="000000" w:sz="4" w:space="0"/>
            </w:tcBorders>
            <w:vAlign w:val="center"/>
          </w:tcPr>
          <w:p w14:paraId="68763BFF">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14:paraId="796B33F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6BCDF7C4">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403" w:type="pct"/>
            <w:vMerge w:val="restart"/>
            <w:tcBorders>
              <w:top w:val="single" w:color="auto" w:sz="4" w:space="0"/>
              <w:left w:val="single" w:color="000000" w:sz="4" w:space="0"/>
              <w:bottom w:val="single" w:color="000000" w:sz="4" w:space="0"/>
              <w:right w:val="single" w:color="000000" w:sz="4" w:space="0"/>
            </w:tcBorders>
            <w:vAlign w:val="center"/>
          </w:tcPr>
          <w:p w14:paraId="53FBFED0">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2000</w:t>
            </w:r>
          </w:p>
        </w:tc>
        <w:tc>
          <w:tcPr>
            <w:tcW w:w="604" w:type="pct"/>
            <w:vMerge w:val="restart"/>
            <w:tcBorders>
              <w:top w:val="single" w:color="auto" w:sz="4" w:space="0"/>
              <w:left w:val="single" w:color="000000" w:sz="4" w:space="0"/>
              <w:bottom w:val="single" w:color="000000" w:sz="4" w:space="0"/>
              <w:right w:val="single" w:color="000000" w:sz="4" w:space="0"/>
            </w:tcBorders>
            <w:vAlign w:val="center"/>
          </w:tcPr>
          <w:p w14:paraId="6E495CFA">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HW49其他废物</w:t>
            </w:r>
          </w:p>
        </w:tc>
        <w:tc>
          <w:tcPr>
            <w:tcW w:w="403" w:type="pct"/>
            <w:vMerge w:val="restart"/>
            <w:tcBorders>
              <w:top w:val="single" w:color="auto" w:sz="4" w:space="0"/>
              <w:left w:val="single" w:color="000000" w:sz="4" w:space="0"/>
              <w:bottom w:val="single" w:color="000000" w:sz="4" w:space="0"/>
              <w:right w:val="single" w:color="000000" w:sz="4" w:space="0"/>
            </w:tcBorders>
            <w:vAlign w:val="center"/>
          </w:tcPr>
          <w:p w14:paraId="411E31D0">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900-041-49</w:t>
            </w:r>
          </w:p>
        </w:tc>
        <w:tc>
          <w:tcPr>
            <w:tcW w:w="605" w:type="pct"/>
            <w:vMerge w:val="restart"/>
            <w:tcBorders>
              <w:top w:val="single" w:color="auto" w:sz="4" w:space="0"/>
              <w:left w:val="single" w:color="000000" w:sz="4" w:space="0"/>
              <w:bottom w:val="single" w:color="000000" w:sz="4" w:space="0"/>
              <w:right w:val="single" w:color="000000" w:sz="4" w:space="0"/>
            </w:tcBorders>
            <w:vAlign w:val="center"/>
          </w:tcPr>
          <w:p w14:paraId="32A8C6B6">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表面涂装、机械加工等</w:t>
            </w:r>
          </w:p>
        </w:tc>
        <w:tc>
          <w:tcPr>
            <w:tcW w:w="475" w:type="pct"/>
            <w:tcBorders>
              <w:top w:val="single" w:color="000000" w:sz="4" w:space="0"/>
              <w:left w:val="single" w:color="000000" w:sz="4" w:space="0"/>
              <w:bottom w:val="single" w:color="000000" w:sz="4" w:space="0"/>
              <w:right w:val="single" w:color="000000" w:sz="4" w:space="0"/>
            </w:tcBorders>
            <w:vAlign w:val="center"/>
          </w:tcPr>
          <w:p w14:paraId="3512F81E">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pr桶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7909D93B">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pr胶</w:t>
            </w:r>
          </w:p>
        </w:tc>
        <w:tc>
          <w:tcPr>
            <w:tcW w:w="262" w:type="pct"/>
            <w:vMerge w:val="continue"/>
            <w:tcBorders>
              <w:top w:val="nil"/>
              <w:left w:val="single" w:color="000000" w:sz="4" w:space="0"/>
              <w:right w:val="single" w:color="000000" w:sz="4" w:space="0"/>
            </w:tcBorders>
            <w:vAlign w:val="center"/>
          </w:tcPr>
          <w:p w14:paraId="1A5578B1">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846" w:type="pct"/>
            <w:vMerge w:val="continue"/>
            <w:tcBorders>
              <w:top w:val="nil"/>
              <w:left w:val="single" w:color="000000" w:sz="4" w:space="0"/>
            </w:tcBorders>
            <w:vAlign w:val="center"/>
          </w:tcPr>
          <w:p w14:paraId="3F157BE0">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14:paraId="42702B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570E35B3">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403" w:type="pct"/>
            <w:vMerge w:val="continue"/>
            <w:tcBorders>
              <w:top w:val="nil"/>
              <w:left w:val="single" w:color="000000" w:sz="4" w:space="0"/>
              <w:bottom w:val="single" w:color="000000" w:sz="4" w:space="0"/>
              <w:right w:val="single" w:color="000000" w:sz="4" w:space="0"/>
            </w:tcBorders>
            <w:vAlign w:val="center"/>
          </w:tcPr>
          <w:p w14:paraId="7006ABE7">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04" w:type="pct"/>
            <w:vMerge w:val="continue"/>
            <w:tcBorders>
              <w:top w:val="nil"/>
              <w:left w:val="single" w:color="000000" w:sz="4" w:space="0"/>
              <w:bottom w:val="single" w:color="000000" w:sz="4" w:space="0"/>
              <w:right w:val="single" w:color="000000" w:sz="4" w:space="0"/>
            </w:tcBorders>
            <w:vAlign w:val="center"/>
          </w:tcPr>
          <w:p w14:paraId="59B2F58A">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403" w:type="pct"/>
            <w:vMerge w:val="continue"/>
            <w:tcBorders>
              <w:top w:val="nil"/>
              <w:left w:val="single" w:color="000000" w:sz="4" w:space="0"/>
              <w:bottom w:val="single" w:color="000000" w:sz="4" w:space="0"/>
              <w:right w:val="single" w:color="000000" w:sz="4" w:space="0"/>
            </w:tcBorders>
            <w:vAlign w:val="center"/>
          </w:tcPr>
          <w:p w14:paraId="2F65F5EC">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05" w:type="pct"/>
            <w:vMerge w:val="continue"/>
            <w:tcBorders>
              <w:top w:val="nil"/>
              <w:left w:val="single" w:color="000000" w:sz="4" w:space="0"/>
              <w:bottom w:val="single" w:color="000000" w:sz="4" w:space="0"/>
              <w:right w:val="single" w:color="000000" w:sz="4" w:space="0"/>
            </w:tcBorders>
            <w:vAlign w:val="center"/>
          </w:tcPr>
          <w:p w14:paraId="5D78DFD3">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475" w:type="pct"/>
            <w:tcBorders>
              <w:top w:val="single" w:color="000000" w:sz="4" w:space="0"/>
              <w:left w:val="single" w:color="000000" w:sz="4" w:space="0"/>
              <w:bottom w:val="single" w:color="000000" w:sz="4" w:space="0"/>
              <w:right w:val="single" w:color="000000" w:sz="4" w:space="0"/>
            </w:tcBorders>
            <w:vAlign w:val="center"/>
          </w:tcPr>
          <w:p w14:paraId="5CFED2FB">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酯类溶剂桶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4CBB5AD7">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低碳的有机酸和醇的结合物，包括醋酸丁酯、醋酸乙酯等</w:t>
            </w:r>
          </w:p>
        </w:tc>
        <w:tc>
          <w:tcPr>
            <w:tcW w:w="262" w:type="pct"/>
            <w:vMerge w:val="continue"/>
            <w:tcBorders>
              <w:top w:val="nil"/>
              <w:left w:val="single" w:color="000000" w:sz="4" w:space="0"/>
              <w:right w:val="single" w:color="000000" w:sz="4" w:space="0"/>
            </w:tcBorders>
            <w:vAlign w:val="center"/>
          </w:tcPr>
          <w:p w14:paraId="5C20BCB3">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846" w:type="pct"/>
            <w:vMerge w:val="continue"/>
            <w:tcBorders>
              <w:top w:val="nil"/>
              <w:left w:val="single" w:color="000000" w:sz="4" w:space="0"/>
            </w:tcBorders>
            <w:vAlign w:val="center"/>
          </w:tcPr>
          <w:p w14:paraId="6C8FF741">
            <w:pPr>
              <w:autoSpaceDE w:val="0"/>
              <w:autoSpaceDN w:val="0"/>
              <w:adjustRightInd w:val="0"/>
              <w:snapToGrid w:val="0"/>
              <w:jc w:val="center"/>
              <w:rPr>
                <w:rFonts w:hint="default" w:ascii="Times New Roman" w:hAnsi="Times New Roman" w:eastAsia="宋体" w:cs="Times New Roman"/>
                <w:kern w:val="0"/>
                <w:sz w:val="21"/>
                <w:szCs w:val="21"/>
                <w:lang w:eastAsia="zh-CN"/>
              </w:rPr>
            </w:pPr>
          </w:p>
        </w:tc>
      </w:tr>
      <w:tr w14:paraId="1C4A3F4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60AE1FB3">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03" w:type="pct"/>
            <w:vMerge w:val="continue"/>
            <w:tcBorders>
              <w:top w:val="nil"/>
              <w:left w:val="single" w:color="000000" w:sz="4" w:space="0"/>
              <w:bottom w:val="single" w:color="000000" w:sz="4" w:space="0"/>
              <w:right w:val="single" w:color="000000" w:sz="4" w:space="0"/>
            </w:tcBorders>
            <w:vAlign w:val="center"/>
          </w:tcPr>
          <w:p w14:paraId="795EF600">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604" w:type="pct"/>
            <w:vMerge w:val="continue"/>
            <w:tcBorders>
              <w:top w:val="nil"/>
              <w:left w:val="single" w:color="000000" w:sz="4" w:space="0"/>
              <w:bottom w:val="single" w:color="000000" w:sz="4" w:space="0"/>
              <w:right w:val="single" w:color="000000" w:sz="4" w:space="0"/>
            </w:tcBorders>
            <w:vAlign w:val="center"/>
          </w:tcPr>
          <w:p w14:paraId="7453995E">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03" w:type="pct"/>
            <w:vMerge w:val="continue"/>
            <w:tcBorders>
              <w:top w:val="nil"/>
              <w:left w:val="single" w:color="000000" w:sz="4" w:space="0"/>
              <w:bottom w:val="single" w:color="000000" w:sz="4" w:space="0"/>
              <w:right w:val="single" w:color="000000" w:sz="4" w:space="0"/>
            </w:tcBorders>
            <w:vAlign w:val="center"/>
          </w:tcPr>
          <w:p w14:paraId="303810E5">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605" w:type="pct"/>
            <w:vMerge w:val="continue"/>
            <w:tcBorders>
              <w:top w:val="nil"/>
              <w:left w:val="single" w:color="000000" w:sz="4" w:space="0"/>
              <w:bottom w:val="single" w:color="000000" w:sz="4" w:space="0"/>
              <w:right w:val="single" w:color="000000" w:sz="4" w:space="0"/>
            </w:tcBorders>
            <w:vAlign w:val="center"/>
          </w:tcPr>
          <w:p w14:paraId="47AB41E8">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75" w:type="pct"/>
            <w:tcBorders>
              <w:top w:val="single" w:color="000000" w:sz="4" w:space="0"/>
              <w:left w:val="single" w:color="000000" w:sz="4" w:space="0"/>
              <w:bottom w:val="single" w:color="000000" w:sz="4" w:space="0"/>
              <w:right w:val="single" w:color="000000" w:sz="4" w:space="0"/>
            </w:tcBorders>
            <w:vAlign w:val="center"/>
          </w:tcPr>
          <w:p w14:paraId="102FBB2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剥离液桶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47C00C6C">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高分子蜡、矿物油、有机硅等</w:t>
            </w:r>
          </w:p>
        </w:tc>
        <w:tc>
          <w:tcPr>
            <w:tcW w:w="262" w:type="pct"/>
            <w:vMerge w:val="continue"/>
            <w:tcBorders>
              <w:top w:val="nil"/>
              <w:left w:val="single" w:color="000000" w:sz="4" w:space="0"/>
              <w:right w:val="single" w:color="000000" w:sz="4" w:space="0"/>
            </w:tcBorders>
            <w:vAlign w:val="center"/>
          </w:tcPr>
          <w:p w14:paraId="0D520BC4">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846" w:type="pct"/>
            <w:vMerge w:val="continue"/>
            <w:tcBorders>
              <w:top w:val="nil"/>
              <w:left w:val="single" w:color="000000" w:sz="4" w:space="0"/>
            </w:tcBorders>
            <w:vAlign w:val="center"/>
          </w:tcPr>
          <w:p w14:paraId="1D9B7E0D">
            <w:pPr>
              <w:autoSpaceDE w:val="0"/>
              <w:autoSpaceDN w:val="0"/>
              <w:adjustRightInd w:val="0"/>
              <w:snapToGrid w:val="0"/>
              <w:jc w:val="center"/>
              <w:rPr>
                <w:rFonts w:hint="default" w:ascii="Times New Roman" w:hAnsi="Times New Roman" w:eastAsia="宋体" w:cs="Times New Roman"/>
                <w:kern w:val="0"/>
                <w:sz w:val="21"/>
                <w:szCs w:val="21"/>
                <w:lang w:eastAsia="zh-CN"/>
              </w:rPr>
            </w:pPr>
          </w:p>
        </w:tc>
      </w:tr>
      <w:tr w14:paraId="51E6569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30CAF0E4">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03" w:type="pct"/>
            <w:vMerge w:val="continue"/>
            <w:tcBorders>
              <w:top w:val="nil"/>
              <w:left w:val="single" w:color="000000" w:sz="4" w:space="0"/>
              <w:bottom w:val="single" w:color="000000" w:sz="4" w:space="0"/>
              <w:right w:val="single" w:color="000000" w:sz="4" w:space="0"/>
            </w:tcBorders>
            <w:vAlign w:val="center"/>
          </w:tcPr>
          <w:p w14:paraId="10C4687F">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604" w:type="pct"/>
            <w:vMerge w:val="continue"/>
            <w:tcBorders>
              <w:top w:val="nil"/>
              <w:left w:val="single" w:color="000000" w:sz="4" w:space="0"/>
              <w:bottom w:val="single" w:color="000000" w:sz="4" w:space="0"/>
              <w:right w:val="single" w:color="000000" w:sz="4" w:space="0"/>
            </w:tcBorders>
            <w:vAlign w:val="center"/>
          </w:tcPr>
          <w:p w14:paraId="21114B06">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03" w:type="pct"/>
            <w:vMerge w:val="continue"/>
            <w:tcBorders>
              <w:top w:val="nil"/>
              <w:left w:val="single" w:color="000000" w:sz="4" w:space="0"/>
              <w:bottom w:val="single" w:color="000000" w:sz="4" w:space="0"/>
              <w:right w:val="single" w:color="000000" w:sz="4" w:space="0"/>
            </w:tcBorders>
            <w:vAlign w:val="center"/>
          </w:tcPr>
          <w:p w14:paraId="717E84BE">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605" w:type="pct"/>
            <w:vMerge w:val="continue"/>
            <w:tcBorders>
              <w:top w:val="nil"/>
              <w:left w:val="single" w:color="000000" w:sz="4" w:space="0"/>
              <w:bottom w:val="single" w:color="000000" w:sz="4" w:space="0"/>
              <w:right w:val="single" w:color="000000" w:sz="4" w:space="0"/>
            </w:tcBorders>
            <w:vAlign w:val="center"/>
          </w:tcPr>
          <w:p w14:paraId="61CC8C3F">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475" w:type="pct"/>
            <w:tcBorders>
              <w:top w:val="single" w:color="000000" w:sz="4" w:space="0"/>
              <w:left w:val="single" w:color="000000" w:sz="4" w:space="0"/>
              <w:bottom w:val="single" w:color="000000" w:sz="4" w:space="0"/>
              <w:right w:val="single" w:color="000000" w:sz="4" w:space="0"/>
            </w:tcBorders>
            <w:vAlign w:val="center"/>
          </w:tcPr>
          <w:p w14:paraId="3368AAEE">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乳胶漆桶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66BB0C5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聚乙烯醇、添加剂</w:t>
            </w:r>
          </w:p>
        </w:tc>
        <w:tc>
          <w:tcPr>
            <w:tcW w:w="262" w:type="pct"/>
            <w:vMerge w:val="continue"/>
            <w:tcBorders>
              <w:top w:val="nil"/>
              <w:left w:val="single" w:color="000000" w:sz="4" w:space="0"/>
              <w:right w:val="single" w:color="000000" w:sz="4" w:space="0"/>
            </w:tcBorders>
            <w:vAlign w:val="center"/>
          </w:tcPr>
          <w:p w14:paraId="30D255CC">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846" w:type="pct"/>
            <w:vMerge w:val="continue"/>
            <w:tcBorders>
              <w:top w:val="nil"/>
              <w:left w:val="single" w:color="000000" w:sz="4" w:space="0"/>
            </w:tcBorders>
            <w:vAlign w:val="center"/>
          </w:tcPr>
          <w:p w14:paraId="34475551">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tr w14:paraId="47E4CF9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6ACE126E">
            <w:pPr>
              <w:autoSpaceDE w:val="0"/>
              <w:autoSpaceDN w:val="0"/>
              <w:adjustRightInd w:val="0"/>
              <w:snapToGrid w:val="0"/>
              <w:jc w:val="center"/>
              <w:rPr>
                <w:rFonts w:hint="default" w:ascii="Times New Roman" w:hAnsi="Times New Roman" w:eastAsia="宋体" w:cs="Times New Roman"/>
                <w:kern w:val="0"/>
                <w:sz w:val="22"/>
                <w:szCs w:val="21"/>
                <w:lang w:eastAsia="en-US"/>
              </w:rPr>
            </w:pPr>
          </w:p>
        </w:tc>
        <w:tc>
          <w:tcPr>
            <w:tcW w:w="403" w:type="pct"/>
            <w:tcBorders>
              <w:top w:val="nil"/>
              <w:left w:val="single" w:color="000000" w:sz="4" w:space="0"/>
              <w:bottom w:val="single" w:color="000000" w:sz="4" w:space="0"/>
              <w:right w:val="single" w:color="000000" w:sz="4" w:space="0"/>
            </w:tcBorders>
            <w:vAlign w:val="center"/>
          </w:tcPr>
          <w:p w14:paraId="126A5441">
            <w:pPr>
              <w:autoSpaceDE w:val="0"/>
              <w:autoSpaceDN w:val="0"/>
              <w:adjustRightInd w:val="0"/>
              <w:snapToGrid w:val="0"/>
              <w:jc w:val="center"/>
              <w:rPr>
                <w:rFonts w:hint="default" w:ascii="Times New Roman" w:hAnsi="Times New Roman" w:eastAsia="宋体" w:cs="Times New Roman"/>
                <w:kern w:val="0"/>
                <w:sz w:val="22"/>
                <w:szCs w:val="21"/>
                <w:lang w:eastAsia="zh-CN"/>
              </w:rPr>
            </w:pPr>
            <w:r>
              <w:rPr>
                <w:rFonts w:hint="default" w:ascii="Times New Roman" w:hAnsi="Times New Roman" w:eastAsia="宋体" w:cs="Times New Roman"/>
                <w:kern w:val="0"/>
                <w:sz w:val="22"/>
                <w:szCs w:val="21"/>
                <w:lang w:eastAsia="zh-CN"/>
              </w:rPr>
              <w:t>1000</w:t>
            </w:r>
          </w:p>
        </w:tc>
        <w:tc>
          <w:tcPr>
            <w:tcW w:w="604" w:type="pct"/>
            <w:tcBorders>
              <w:top w:val="nil"/>
              <w:left w:val="single" w:color="000000" w:sz="4" w:space="0"/>
              <w:bottom w:val="single" w:color="000000" w:sz="4" w:space="0"/>
              <w:right w:val="single" w:color="000000" w:sz="4" w:space="0"/>
            </w:tcBorders>
            <w:vAlign w:val="center"/>
          </w:tcPr>
          <w:p w14:paraId="5E137553">
            <w:pPr>
              <w:autoSpaceDE w:val="0"/>
              <w:autoSpaceDN w:val="0"/>
              <w:adjustRightInd w:val="0"/>
              <w:snapToGrid w:val="0"/>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21"/>
                <w:szCs w:val="21"/>
                <w:lang w:eastAsia="en-US"/>
              </w:rPr>
              <w:t>HW49其他废物</w:t>
            </w:r>
          </w:p>
        </w:tc>
        <w:tc>
          <w:tcPr>
            <w:tcW w:w="403" w:type="pct"/>
            <w:tcBorders>
              <w:top w:val="nil"/>
              <w:left w:val="single" w:color="000000" w:sz="4" w:space="0"/>
              <w:bottom w:val="single" w:color="000000" w:sz="4" w:space="0"/>
              <w:right w:val="single" w:color="000000" w:sz="4" w:space="0"/>
            </w:tcBorders>
            <w:vAlign w:val="center"/>
          </w:tcPr>
          <w:p w14:paraId="5F6F9E3D">
            <w:pPr>
              <w:autoSpaceDE w:val="0"/>
              <w:autoSpaceDN w:val="0"/>
              <w:adjustRightInd w:val="0"/>
              <w:snapToGrid w:val="0"/>
              <w:jc w:val="center"/>
              <w:rPr>
                <w:rFonts w:hint="default" w:ascii="Times New Roman" w:hAnsi="Times New Roman" w:eastAsia="宋体" w:cs="Times New Roman"/>
                <w:kern w:val="0"/>
                <w:sz w:val="22"/>
                <w:szCs w:val="21"/>
                <w:lang w:eastAsia="en-US"/>
              </w:rPr>
            </w:pPr>
            <w:r>
              <w:rPr>
                <w:rFonts w:hint="default" w:ascii="Times New Roman" w:hAnsi="Times New Roman" w:eastAsia="宋体" w:cs="Times New Roman"/>
                <w:kern w:val="0"/>
                <w:sz w:val="21"/>
                <w:szCs w:val="21"/>
                <w:lang w:eastAsia="en-US"/>
              </w:rPr>
              <w:t>900-041-49</w:t>
            </w:r>
          </w:p>
        </w:tc>
        <w:tc>
          <w:tcPr>
            <w:tcW w:w="605" w:type="pct"/>
            <w:tcBorders>
              <w:top w:val="nil"/>
              <w:left w:val="single" w:color="000000" w:sz="4" w:space="0"/>
              <w:bottom w:val="single" w:color="000000" w:sz="4" w:space="0"/>
              <w:right w:val="single" w:color="000000" w:sz="4" w:space="0"/>
            </w:tcBorders>
            <w:vAlign w:val="center"/>
          </w:tcPr>
          <w:p w14:paraId="735DCC50">
            <w:pPr>
              <w:autoSpaceDE w:val="0"/>
              <w:autoSpaceDN w:val="0"/>
              <w:adjustRightInd w:val="0"/>
              <w:snapToGrid w:val="0"/>
              <w:jc w:val="center"/>
              <w:rPr>
                <w:rFonts w:hint="default" w:ascii="Times New Roman" w:hAnsi="Times New Roman" w:eastAsia="宋体" w:cs="Times New Roman"/>
                <w:kern w:val="0"/>
                <w:sz w:val="22"/>
                <w:szCs w:val="21"/>
                <w:lang w:eastAsia="zh-CN"/>
              </w:rPr>
            </w:pPr>
            <w:r>
              <w:rPr>
                <w:rFonts w:hint="default" w:ascii="Times New Roman" w:hAnsi="Times New Roman" w:eastAsia="宋体" w:cs="Times New Roman"/>
                <w:kern w:val="0"/>
                <w:sz w:val="21"/>
                <w:szCs w:val="21"/>
                <w:lang w:eastAsia="zh-CN"/>
              </w:rPr>
              <w:t>表面涂装、化工、轻工等</w:t>
            </w:r>
          </w:p>
        </w:tc>
        <w:tc>
          <w:tcPr>
            <w:tcW w:w="475" w:type="pct"/>
            <w:tcBorders>
              <w:top w:val="single" w:color="000000" w:sz="4" w:space="0"/>
              <w:left w:val="single" w:color="000000" w:sz="4" w:space="0"/>
              <w:bottom w:val="single" w:color="000000" w:sz="4" w:space="0"/>
              <w:right w:val="single" w:color="000000" w:sz="4" w:space="0"/>
            </w:tcBorders>
            <w:vAlign w:val="center"/>
          </w:tcPr>
          <w:p w14:paraId="5A3E952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Cs w:val="21"/>
                <w:lang w:eastAsia="en-US"/>
              </w:rPr>
              <w:t>纤维包装袋</w:t>
            </w:r>
          </w:p>
        </w:tc>
        <w:tc>
          <w:tcPr>
            <w:tcW w:w="1051" w:type="pct"/>
            <w:tcBorders>
              <w:top w:val="single" w:color="000000" w:sz="4" w:space="0"/>
              <w:left w:val="single" w:color="000000" w:sz="4" w:space="0"/>
              <w:bottom w:val="single" w:color="000000" w:sz="4" w:space="0"/>
              <w:right w:val="single" w:color="000000" w:sz="4" w:space="0"/>
            </w:tcBorders>
            <w:vAlign w:val="center"/>
          </w:tcPr>
          <w:p w14:paraId="68FADD9E">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PP/PE材质</w:t>
            </w:r>
          </w:p>
        </w:tc>
        <w:tc>
          <w:tcPr>
            <w:tcW w:w="262" w:type="pct"/>
            <w:vMerge w:val="continue"/>
            <w:tcBorders>
              <w:top w:val="nil"/>
              <w:left w:val="single" w:color="000000" w:sz="4" w:space="0"/>
              <w:right w:val="single" w:color="000000" w:sz="4" w:space="0"/>
            </w:tcBorders>
            <w:vAlign w:val="center"/>
          </w:tcPr>
          <w:p w14:paraId="09F86D24">
            <w:pPr>
              <w:autoSpaceDE w:val="0"/>
              <w:autoSpaceDN w:val="0"/>
              <w:adjustRightInd w:val="0"/>
              <w:snapToGrid w:val="0"/>
              <w:jc w:val="center"/>
              <w:rPr>
                <w:rFonts w:hint="default" w:ascii="Times New Roman" w:hAnsi="Times New Roman" w:eastAsia="宋体" w:cs="Times New Roman"/>
                <w:kern w:val="0"/>
                <w:sz w:val="22"/>
                <w:szCs w:val="21"/>
                <w:lang w:eastAsia="en-US"/>
              </w:rPr>
            </w:pPr>
          </w:p>
        </w:tc>
        <w:tc>
          <w:tcPr>
            <w:tcW w:w="846" w:type="pct"/>
            <w:vMerge w:val="continue"/>
            <w:tcBorders>
              <w:top w:val="nil"/>
              <w:left w:val="single" w:color="000000" w:sz="4" w:space="0"/>
            </w:tcBorders>
            <w:vAlign w:val="center"/>
          </w:tcPr>
          <w:p w14:paraId="4374419D">
            <w:pPr>
              <w:autoSpaceDE w:val="0"/>
              <w:autoSpaceDN w:val="0"/>
              <w:adjustRightInd w:val="0"/>
              <w:snapToGrid w:val="0"/>
              <w:jc w:val="center"/>
              <w:rPr>
                <w:rFonts w:hint="default" w:ascii="Times New Roman" w:hAnsi="Times New Roman" w:eastAsia="宋体" w:cs="Times New Roman"/>
                <w:kern w:val="0"/>
                <w:sz w:val="22"/>
                <w:szCs w:val="21"/>
                <w:lang w:eastAsia="en-US"/>
              </w:rPr>
            </w:pPr>
          </w:p>
        </w:tc>
      </w:tr>
      <w:tr w14:paraId="750C5C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vMerge w:val="continue"/>
            <w:tcBorders>
              <w:top w:val="nil"/>
              <w:bottom w:val="single" w:color="000000" w:sz="4" w:space="0"/>
              <w:right w:val="single" w:color="000000" w:sz="4" w:space="0"/>
            </w:tcBorders>
            <w:vAlign w:val="center"/>
          </w:tcPr>
          <w:p w14:paraId="114FC542">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403" w:type="pct"/>
            <w:tcBorders>
              <w:top w:val="single" w:color="000000" w:sz="4" w:space="0"/>
              <w:left w:val="single" w:color="000000" w:sz="4" w:space="0"/>
              <w:bottom w:val="single" w:color="000000" w:sz="4" w:space="0"/>
              <w:right w:val="single" w:color="000000" w:sz="4" w:space="0"/>
            </w:tcBorders>
            <w:vAlign w:val="center"/>
          </w:tcPr>
          <w:p w14:paraId="74E5F41E">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1000</w:t>
            </w:r>
          </w:p>
        </w:tc>
        <w:tc>
          <w:tcPr>
            <w:tcW w:w="604" w:type="pct"/>
            <w:tcBorders>
              <w:top w:val="single" w:color="000000" w:sz="4" w:space="0"/>
              <w:left w:val="single" w:color="000000" w:sz="4" w:space="0"/>
              <w:bottom w:val="single" w:color="000000" w:sz="4" w:space="0"/>
              <w:right w:val="single" w:color="000000" w:sz="4" w:space="0"/>
            </w:tcBorders>
            <w:vAlign w:val="center"/>
          </w:tcPr>
          <w:p w14:paraId="26D5C33F">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HW08废矿物油与</w:t>
            </w:r>
          </w:p>
          <w:p w14:paraId="3A6E0CF3">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含矿物油废物</w:t>
            </w:r>
          </w:p>
        </w:tc>
        <w:tc>
          <w:tcPr>
            <w:tcW w:w="403" w:type="pct"/>
            <w:tcBorders>
              <w:top w:val="single" w:color="000000" w:sz="4" w:space="0"/>
              <w:left w:val="single" w:color="000000" w:sz="4" w:space="0"/>
              <w:bottom w:val="single" w:color="000000" w:sz="4" w:space="0"/>
              <w:right w:val="single" w:color="000000" w:sz="4" w:space="0"/>
            </w:tcBorders>
            <w:vAlign w:val="center"/>
          </w:tcPr>
          <w:p w14:paraId="215CFA3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900-249-08</w:t>
            </w:r>
          </w:p>
        </w:tc>
        <w:tc>
          <w:tcPr>
            <w:tcW w:w="605" w:type="pct"/>
            <w:tcBorders>
              <w:top w:val="single" w:color="000000" w:sz="4" w:space="0"/>
              <w:left w:val="single" w:color="000000" w:sz="4" w:space="0"/>
              <w:bottom w:val="single" w:color="000000" w:sz="4" w:space="0"/>
              <w:right w:val="single" w:color="000000" w:sz="4" w:space="0"/>
            </w:tcBorders>
            <w:vAlign w:val="center"/>
          </w:tcPr>
          <w:p w14:paraId="79ED257D">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机械加工</w:t>
            </w:r>
          </w:p>
        </w:tc>
        <w:tc>
          <w:tcPr>
            <w:tcW w:w="475" w:type="pct"/>
            <w:tcBorders>
              <w:top w:val="single" w:color="000000" w:sz="4" w:space="0"/>
              <w:left w:val="single" w:color="000000" w:sz="4" w:space="0"/>
              <w:bottom w:val="single" w:color="000000" w:sz="4" w:space="0"/>
              <w:right w:val="single" w:color="000000" w:sz="4" w:space="0"/>
            </w:tcBorders>
            <w:vAlign w:val="center"/>
          </w:tcPr>
          <w:p w14:paraId="04E582C4">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矿物油桶</w:t>
            </w:r>
          </w:p>
        </w:tc>
        <w:tc>
          <w:tcPr>
            <w:tcW w:w="1051" w:type="pct"/>
            <w:tcBorders>
              <w:top w:val="single" w:color="000000" w:sz="4" w:space="0"/>
              <w:left w:val="single" w:color="000000" w:sz="4" w:space="0"/>
              <w:bottom w:val="single" w:color="000000" w:sz="4" w:space="0"/>
              <w:right w:val="single" w:color="000000" w:sz="4" w:space="0"/>
            </w:tcBorders>
            <w:vAlign w:val="center"/>
          </w:tcPr>
          <w:p w14:paraId="5B4E4F1F">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轻质、重质燃料油，润滑油，冷却油等矿物性碳氢化合物</w:t>
            </w:r>
          </w:p>
        </w:tc>
        <w:tc>
          <w:tcPr>
            <w:tcW w:w="262" w:type="pct"/>
            <w:vMerge w:val="continue"/>
            <w:tcBorders>
              <w:top w:val="nil"/>
              <w:left w:val="single" w:color="000000" w:sz="4" w:space="0"/>
              <w:right w:val="single" w:color="000000" w:sz="4" w:space="0"/>
            </w:tcBorders>
            <w:vAlign w:val="center"/>
          </w:tcPr>
          <w:p w14:paraId="193D1BAF">
            <w:pPr>
              <w:autoSpaceDE w:val="0"/>
              <w:autoSpaceDN w:val="0"/>
              <w:adjustRightInd w:val="0"/>
              <w:snapToGrid w:val="0"/>
              <w:jc w:val="center"/>
              <w:rPr>
                <w:rFonts w:hint="default" w:ascii="Times New Roman" w:hAnsi="Times New Roman" w:eastAsia="宋体" w:cs="Times New Roman"/>
                <w:kern w:val="0"/>
                <w:sz w:val="21"/>
                <w:szCs w:val="21"/>
                <w:lang w:eastAsia="zh-CN"/>
              </w:rPr>
            </w:pPr>
          </w:p>
        </w:tc>
        <w:tc>
          <w:tcPr>
            <w:tcW w:w="846" w:type="pct"/>
            <w:vMerge w:val="continue"/>
            <w:tcBorders>
              <w:top w:val="nil"/>
              <w:left w:val="single" w:color="000000" w:sz="4" w:space="0"/>
            </w:tcBorders>
            <w:vAlign w:val="center"/>
          </w:tcPr>
          <w:p w14:paraId="6C6838E2">
            <w:pPr>
              <w:autoSpaceDE w:val="0"/>
              <w:autoSpaceDN w:val="0"/>
              <w:adjustRightInd w:val="0"/>
              <w:snapToGrid w:val="0"/>
              <w:jc w:val="center"/>
              <w:rPr>
                <w:rFonts w:hint="default" w:ascii="Times New Roman" w:hAnsi="Times New Roman" w:eastAsia="宋体" w:cs="Times New Roman"/>
                <w:kern w:val="0"/>
                <w:sz w:val="21"/>
                <w:szCs w:val="21"/>
                <w:lang w:eastAsia="zh-CN"/>
              </w:rPr>
            </w:pPr>
          </w:p>
        </w:tc>
      </w:tr>
      <w:tr w14:paraId="51BA49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c>
          <w:tcPr>
            <w:tcW w:w="351" w:type="pct"/>
            <w:tcBorders>
              <w:top w:val="single" w:color="000000" w:sz="4" w:space="0"/>
              <w:right w:val="single" w:color="000000" w:sz="4" w:space="0"/>
            </w:tcBorders>
            <w:vAlign w:val="center"/>
          </w:tcPr>
          <w:p w14:paraId="51E8DAFE">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废金属机</w:t>
            </w:r>
          </w:p>
          <w:p w14:paraId="4594E330">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油滤芯</w:t>
            </w:r>
          </w:p>
        </w:tc>
        <w:tc>
          <w:tcPr>
            <w:tcW w:w="403" w:type="pct"/>
            <w:tcBorders>
              <w:top w:val="single" w:color="000000" w:sz="4" w:space="0"/>
              <w:left w:val="single" w:color="000000" w:sz="4" w:space="0"/>
              <w:right w:val="single" w:color="000000" w:sz="4" w:space="0"/>
            </w:tcBorders>
            <w:vAlign w:val="center"/>
          </w:tcPr>
          <w:p w14:paraId="2DE94DC1">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5000</w:t>
            </w:r>
          </w:p>
        </w:tc>
        <w:tc>
          <w:tcPr>
            <w:tcW w:w="604" w:type="pct"/>
            <w:tcBorders>
              <w:top w:val="single" w:color="000000" w:sz="4" w:space="0"/>
              <w:left w:val="single" w:color="000000" w:sz="4" w:space="0"/>
              <w:right w:val="single" w:color="000000" w:sz="4" w:space="0"/>
            </w:tcBorders>
            <w:vAlign w:val="center"/>
          </w:tcPr>
          <w:p w14:paraId="5DBE3D59">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HW49其他废物</w:t>
            </w:r>
          </w:p>
        </w:tc>
        <w:tc>
          <w:tcPr>
            <w:tcW w:w="403" w:type="pct"/>
            <w:tcBorders>
              <w:top w:val="single" w:color="000000" w:sz="4" w:space="0"/>
              <w:left w:val="single" w:color="000000" w:sz="4" w:space="0"/>
              <w:right w:val="single" w:color="000000" w:sz="4" w:space="0"/>
            </w:tcBorders>
            <w:vAlign w:val="center"/>
          </w:tcPr>
          <w:p w14:paraId="277EE8CE">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900-041-49</w:t>
            </w:r>
          </w:p>
        </w:tc>
        <w:tc>
          <w:tcPr>
            <w:tcW w:w="605" w:type="pct"/>
            <w:tcBorders>
              <w:top w:val="single" w:color="000000" w:sz="4" w:space="0"/>
              <w:left w:val="single" w:color="000000" w:sz="4" w:space="0"/>
              <w:right w:val="single" w:color="000000" w:sz="4" w:space="0"/>
            </w:tcBorders>
            <w:vAlign w:val="center"/>
          </w:tcPr>
          <w:p w14:paraId="21057A95">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机械加工</w:t>
            </w:r>
          </w:p>
        </w:tc>
        <w:tc>
          <w:tcPr>
            <w:tcW w:w="475" w:type="pct"/>
            <w:tcBorders>
              <w:top w:val="single" w:color="000000" w:sz="4" w:space="0"/>
              <w:left w:val="single" w:color="000000" w:sz="4" w:space="0"/>
              <w:right w:val="single" w:color="000000" w:sz="4" w:space="0"/>
            </w:tcBorders>
            <w:vAlign w:val="center"/>
          </w:tcPr>
          <w:p w14:paraId="1E14A728">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废金属机油滤</w:t>
            </w:r>
          </w:p>
          <w:p w14:paraId="48099A16">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芯</w:t>
            </w:r>
          </w:p>
        </w:tc>
        <w:tc>
          <w:tcPr>
            <w:tcW w:w="1051" w:type="pct"/>
            <w:tcBorders>
              <w:top w:val="single" w:color="000000" w:sz="4" w:space="0"/>
              <w:left w:val="single" w:color="000000" w:sz="4" w:space="0"/>
              <w:right w:val="single" w:color="000000" w:sz="4" w:space="0"/>
            </w:tcBorders>
            <w:vAlign w:val="center"/>
          </w:tcPr>
          <w:p w14:paraId="4BD33438">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废机油类</w:t>
            </w:r>
          </w:p>
        </w:tc>
        <w:tc>
          <w:tcPr>
            <w:tcW w:w="262" w:type="pct"/>
            <w:vMerge w:val="continue"/>
            <w:tcBorders>
              <w:top w:val="nil"/>
              <w:left w:val="single" w:color="000000" w:sz="4" w:space="0"/>
              <w:right w:val="single" w:color="000000" w:sz="4" w:space="0"/>
            </w:tcBorders>
            <w:vAlign w:val="center"/>
          </w:tcPr>
          <w:p w14:paraId="086D70D4">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846" w:type="pct"/>
            <w:vMerge w:val="continue"/>
            <w:tcBorders>
              <w:top w:val="nil"/>
              <w:left w:val="single" w:color="000000" w:sz="4" w:space="0"/>
            </w:tcBorders>
            <w:vAlign w:val="center"/>
          </w:tcPr>
          <w:p w14:paraId="6AC1A7A8">
            <w:pPr>
              <w:autoSpaceDE w:val="0"/>
              <w:autoSpaceDN w:val="0"/>
              <w:adjustRightInd w:val="0"/>
              <w:snapToGrid w:val="0"/>
              <w:jc w:val="center"/>
              <w:rPr>
                <w:rFonts w:hint="default" w:ascii="Times New Roman" w:hAnsi="Times New Roman" w:eastAsia="宋体" w:cs="Times New Roman"/>
                <w:kern w:val="0"/>
                <w:sz w:val="21"/>
                <w:szCs w:val="21"/>
                <w:lang w:eastAsia="en-US"/>
              </w:rPr>
            </w:pPr>
          </w:p>
        </w:tc>
      </w:tr>
      <w:bookmarkEnd w:id="265"/>
    </w:tbl>
    <w:p w14:paraId="60AD3FCC">
      <w:pPr>
        <w:spacing w:line="360" w:lineRule="auto"/>
        <w:jc w:val="center"/>
        <w:rPr>
          <w:rFonts w:hint="default" w:ascii="Times New Roman" w:hAnsi="Times New Roman" w:eastAsia="宋体" w:cs="Times New Roman"/>
          <w:sz w:val="24"/>
          <w:szCs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3C17DE66">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表4.5-</w:t>
      </w:r>
      <w:r>
        <w:rPr>
          <w:rFonts w:hint="default" w:ascii="Times New Roman" w:hAnsi="Times New Roman" w:eastAsia="宋体" w:cs="Times New Roman"/>
          <w:b/>
          <w:bCs/>
          <w:szCs w:val="21"/>
          <w:lang w:val="en-US" w:eastAsia="zh-CN"/>
        </w:rPr>
        <w:t xml:space="preserve">4 </w:t>
      </w:r>
      <w:r>
        <w:rPr>
          <w:rFonts w:hint="default" w:ascii="Times New Roman" w:hAnsi="Times New Roman" w:eastAsia="宋体" w:cs="Times New Roman"/>
          <w:b/>
          <w:bCs/>
          <w:szCs w:val="21"/>
        </w:rPr>
        <w:t xml:space="preserve"> 本项目危险废物综合利用方案</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46"/>
        <w:gridCol w:w="1092"/>
        <w:gridCol w:w="1711"/>
        <w:gridCol w:w="1719"/>
        <w:gridCol w:w="1564"/>
        <w:gridCol w:w="1504"/>
      </w:tblGrid>
      <w:tr w14:paraId="1E31C0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Align w:val="center"/>
          </w:tcPr>
          <w:p w14:paraId="73A8CBDB">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废物</w:t>
            </w:r>
          </w:p>
          <w:p w14:paraId="39F6FE33">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种类</w:t>
            </w:r>
          </w:p>
        </w:tc>
        <w:tc>
          <w:tcPr>
            <w:tcW w:w="655" w:type="pct"/>
            <w:vAlign w:val="center"/>
          </w:tcPr>
          <w:p w14:paraId="10433AE9">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年收集量</w:t>
            </w:r>
          </w:p>
          <w:p w14:paraId="086CE438">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t/a</w:t>
            </w:r>
          </w:p>
        </w:tc>
        <w:tc>
          <w:tcPr>
            <w:tcW w:w="1026" w:type="pct"/>
            <w:vAlign w:val="center"/>
          </w:tcPr>
          <w:p w14:paraId="45F2E647">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废物类别</w:t>
            </w:r>
          </w:p>
        </w:tc>
        <w:tc>
          <w:tcPr>
            <w:tcW w:w="1031" w:type="pct"/>
            <w:vAlign w:val="center"/>
          </w:tcPr>
          <w:p w14:paraId="0904AA41">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种类</w:t>
            </w:r>
          </w:p>
        </w:tc>
        <w:tc>
          <w:tcPr>
            <w:tcW w:w="938" w:type="pct"/>
            <w:vAlign w:val="center"/>
          </w:tcPr>
          <w:p w14:paraId="266EE5AD">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zh-CN"/>
              </w:rPr>
              <w:t>处置利用方案</w:t>
            </w:r>
          </w:p>
        </w:tc>
        <w:tc>
          <w:tcPr>
            <w:tcW w:w="902" w:type="pct"/>
            <w:vAlign w:val="center"/>
          </w:tcPr>
          <w:p w14:paraId="4BE66FB4">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zh-CN"/>
              </w:rPr>
              <w:t>处置利用量t/a</w:t>
            </w:r>
          </w:p>
        </w:tc>
      </w:tr>
      <w:tr w14:paraId="7B4C0C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0" w:hRule="atLeast"/>
        </w:trPr>
        <w:tc>
          <w:tcPr>
            <w:tcW w:w="448" w:type="pct"/>
            <w:vMerge w:val="restart"/>
            <w:vAlign w:val="center"/>
          </w:tcPr>
          <w:p w14:paraId="5A9BFDAB">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sz w:val="21"/>
                <w:szCs w:val="21"/>
                <w:lang w:eastAsia="en-US"/>
              </w:rPr>
              <w:t>废金属包装容器</w:t>
            </w:r>
          </w:p>
        </w:tc>
        <w:tc>
          <w:tcPr>
            <w:tcW w:w="655" w:type="pct"/>
            <w:vMerge w:val="restart"/>
            <w:vAlign w:val="center"/>
          </w:tcPr>
          <w:p w14:paraId="0FEF3295">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sz w:val="21"/>
                <w:szCs w:val="21"/>
                <w:lang w:eastAsia="en-US"/>
              </w:rPr>
              <w:t>5000</w:t>
            </w:r>
          </w:p>
        </w:tc>
        <w:tc>
          <w:tcPr>
            <w:tcW w:w="1026" w:type="pct"/>
            <w:vMerge w:val="restart"/>
            <w:vAlign w:val="center"/>
          </w:tcPr>
          <w:p w14:paraId="6CEB38FE">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HW08废矿物油与</w:t>
            </w:r>
          </w:p>
          <w:p w14:paraId="2E32C159">
            <w:pPr>
              <w:pStyle w:val="60"/>
              <w:adjustRightInd w:val="0"/>
              <w:snapToGrid w:val="0"/>
              <w:rPr>
                <w:rFonts w:hint="default" w:ascii="Times New Roman" w:hAnsi="Times New Roman" w:eastAsia="宋体" w:cs="Times New Roman"/>
                <w:b/>
                <w:bCs/>
                <w:sz w:val="21"/>
                <w:szCs w:val="21"/>
                <w:lang w:eastAsia="zh-CN"/>
              </w:rPr>
            </w:pPr>
            <w:r>
              <w:rPr>
                <w:rFonts w:hint="default" w:ascii="Times New Roman" w:hAnsi="Times New Roman" w:eastAsia="宋体" w:cs="Times New Roman"/>
                <w:sz w:val="21"/>
                <w:szCs w:val="21"/>
                <w:lang w:eastAsia="zh-CN"/>
              </w:rPr>
              <w:t>含矿物油废物</w:t>
            </w:r>
          </w:p>
        </w:tc>
        <w:tc>
          <w:tcPr>
            <w:tcW w:w="1031" w:type="pct"/>
            <w:vMerge w:val="restart"/>
            <w:vAlign w:val="center"/>
          </w:tcPr>
          <w:p w14:paraId="62261E44">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sz w:val="21"/>
                <w:szCs w:val="21"/>
                <w:lang w:eastAsia="en-US"/>
              </w:rPr>
              <w:t>矿物油桶</w:t>
            </w:r>
          </w:p>
        </w:tc>
        <w:tc>
          <w:tcPr>
            <w:tcW w:w="938" w:type="pct"/>
            <w:tcBorders>
              <w:bottom w:val="single" w:color="000000" w:sz="4" w:space="0"/>
            </w:tcBorders>
            <w:vAlign w:val="center"/>
          </w:tcPr>
          <w:p w14:paraId="64410B6B">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zh-CN"/>
              </w:rPr>
              <w:t>翻新</w:t>
            </w:r>
          </w:p>
        </w:tc>
        <w:tc>
          <w:tcPr>
            <w:tcW w:w="902" w:type="pct"/>
            <w:tcBorders>
              <w:bottom w:val="single" w:color="000000" w:sz="4" w:space="0"/>
            </w:tcBorders>
            <w:vAlign w:val="center"/>
          </w:tcPr>
          <w:p w14:paraId="666F2404">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1500</w:t>
            </w:r>
          </w:p>
        </w:tc>
      </w:tr>
      <w:tr w14:paraId="6D96E24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67" w:hRule="atLeast"/>
        </w:trPr>
        <w:tc>
          <w:tcPr>
            <w:tcW w:w="448" w:type="pct"/>
            <w:vMerge w:val="continue"/>
            <w:vAlign w:val="center"/>
          </w:tcPr>
          <w:p w14:paraId="5393F2DF">
            <w:pPr>
              <w:pStyle w:val="60"/>
              <w:adjustRightInd w:val="0"/>
              <w:snapToGrid w:val="0"/>
              <w:rPr>
                <w:rFonts w:hint="default" w:ascii="Times New Roman" w:hAnsi="Times New Roman" w:eastAsia="宋体" w:cs="Times New Roman"/>
                <w:sz w:val="21"/>
                <w:szCs w:val="21"/>
                <w:lang w:eastAsia="en-US"/>
              </w:rPr>
            </w:pPr>
          </w:p>
        </w:tc>
        <w:tc>
          <w:tcPr>
            <w:tcW w:w="655" w:type="pct"/>
            <w:vMerge w:val="continue"/>
            <w:vAlign w:val="center"/>
          </w:tcPr>
          <w:p w14:paraId="3F180B24">
            <w:pPr>
              <w:pStyle w:val="60"/>
              <w:adjustRightInd w:val="0"/>
              <w:snapToGrid w:val="0"/>
              <w:rPr>
                <w:rFonts w:hint="default" w:ascii="Times New Roman" w:hAnsi="Times New Roman" w:eastAsia="宋体" w:cs="Times New Roman"/>
                <w:sz w:val="21"/>
                <w:szCs w:val="21"/>
                <w:lang w:eastAsia="en-US"/>
              </w:rPr>
            </w:pPr>
          </w:p>
        </w:tc>
        <w:tc>
          <w:tcPr>
            <w:tcW w:w="1026" w:type="pct"/>
            <w:vMerge w:val="continue"/>
            <w:vAlign w:val="center"/>
          </w:tcPr>
          <w:p w14:paraId="74CDDA61">
            <w:pPr>
              <w:pStyle w:val="60"/>
              <w:adjustRightInd w:val="0"/>
              <w:snapToGrid w:val="0"/>
              <w:rPr>
                <w:rFonts w:hint="default" w:ascii="Times New Roman" w:hAnsi="Times New Roman" w:eastAsia="宋体" w:cs="Times New Roman"/>
                <w:sz w:val="21"/>
                <w:szCs w:val="21"/>
                <w:lang w:eastAsia="en-US"/>
              </w:rPr>
            </w:pPr>
          </w:p>
        </w:tc>
        <w:tc>
          <w:tcPr>
            <w:tcW w:w="1031" w:type="pct"/>
            <w:vMerge w:val="continue"/>
            <w:vAlign w:val="center"/>
          </w:tcPr>
          <w:p w14:paraId="446B6DEE">
            <w:pPr>
              <w:pStyle w:val="60"/>
              <w:adjustRightInd w:val="0"/>
              <w:snapToGrid w:val="0"/>
              <w:rPr>
                <w:rFonts w:hint="default" w:ascii="Times New Roman" w:hAnsi="Times New Roman" w:eastAsia="宋体" w:cs="Times New Roman"/>
                <w:sz w:val="21"/>
                <w:szCs w:val="21"/>
                <w:lang w:eastAsia="en-US"/>
              </w:rPr>
            </w:pPr>
          </w:p>
        </w:tc>
        <w:tc>
          <w:tcPr>
            <w:tcW w:w="938" w:type="pct"/>
            <w:tcBorders>
              <w:top w:val="single" w:color="000000" w:sz="4" w:space="0"/>
            </w:tcBorders>
            <w:vAlign w:val="center"/>
          </w:tcPr>
          <w:p w14:paraId="03E02E71">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zh-CN"/>
              </w:rPr>
              <w:t>破碎清洗</w:t>
            </w:r>
          </w:p>
        </w:tc>
        <w:tc>
          <w:tcPr>
            <w:tcW w:w="902" w:type="pct"/>
            <w:tcBorders>
              <w:top w:val="single" w:color="000000" w:sz="4" w:space="0"/>
            </w:tcBorders>
            <w:vAlign w:val="center"/>
          </w:tcPr>
          <w:p w14:paraId="400B047F">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3500</w:t>
            </w:r>
          </w:p>
        </w:tc>
      </w:tr>
      <w:tr w14:paraId="1ED959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04" w:hRule="atLeast"/>
        </w:trPr>
        <w:tc>
          <w:tcPr>
            <w:tcW w:w="448" w:type="pct"/>
            <w:vMerge w:val="continue"/>
            <w:vAlign w:val="center"/>
          </w:tcPr>
          <w:p w14:paraId="58859795">
            <w:pPr>
              <w:pStyle w:val="60"/>
              <w:adjustRightInd w:val="0"/>
              <w:snapToGrid w:val="0"/>
              <w:rPr>
                <w:rFonts w:hint="default" w:ascii="Times New Roman" w:hAnsi="Times New Roman" w:eastAsia="宋体" w:cs="Times New Roman"/>
                <w:sz w:val="21"/>
                <w:szCs w:val="21"/>
                <w:lang w:eastAsia="en-US"/>
              </w:rPr>
            </w:pPr>
          </w:p>
        </w:tc>
        <w:tc>
          <w:tcPr>
            <w:tcW w:w="655" w:type="pct"/>
            <w:vAlign w:val="center"/>
          </w:tcPr>
          <w:p w14:paraId="404F4CB8">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5000</w:t>
            </w:r>
          </w:p>
        </w:tc>
        <w:tc>
          <w:tcPr>
            <w:tcW w:w="1026" w:type="pct"/>
            <w:vAlign w:val="center"/>
          </w:tcPr>
          <w:p w14:paraId="1CD5BBD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HW49其他废物</w:t>
            </w:r>
          </w:p>
        </w:tc>
        <w:tc>
          <w:tcPr>
            <w:tcW w:w="1031" w:type="pct"/>
            <w:vAlign w:val="center"/>
          </w:tcPr>
          <w:p w14:paraId="7EE01C19">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油漆桶、稀释剂桶、水性涂料桶、酯类溶剂桶等</w:t>
            </w:r>
          </w:p>
        </w:tc>
        <w:tc>
          <w:tcPr>
            <w:tcW w:w="938" w:type="pct"/>
            <w:vAlign w:val="center"/>
          </w:tcPr>
          <w:p w14:paraId="7CAEF4DF">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破碎清洗</w:t>
            </w:r>
          </w:p>
        </w:tc>
        <w:tc>
          <w:tcPr>
            <w:tcW w:w="902" w:type="pct"/>
            <w:vAlign w:val="center"/>
          </w:tcPr>
          <w:p w14:paraId="17884C31">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5000</w:t>
            </w:r>
          </w:p>
        </w:tc>
      </w:tr>
      <w:tr w14:paraId="6D97F0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Merge w:val="restart"/>
            <w:vAlign w:val="center"/>
          </w:tcPr>
          <w:p w14:paraId="2CF66A7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废塑料包装容器</w:t>
            </w:r>
          </w:p>
        </w:tc>
        <w:tc>
          <w:tcPr>
            <w:tcW w:w="655" w:type="pct"/>
            <w:vMerge w:val="restart"/>
            <w:vAlign w:val="center"/>
          </w:tcPr>
          <w:p w14:paraId="4611903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1000</w:t>
            </w:r>
          </w:p>
        </w:tc>
        <w:tc>
          <w:tcPr>
            <w:tcW w:w="1026" w:type="pct"/>
            <w:vMerge w:val="restart"/>
            <w:vAlign w:val="center"/>
          </w:tcPr>
          <w:p w14:paraId="0A127620">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HW49其他废物</w:t>
            </w:r>
          </w:p>
        </w:tc>
        <w:tc>
          <w:tcPr>
            <w:tcW w:w="1031" w:type="pct"/>
            <w:vMerge w:val="restart"/>
            <w:vAlign w:val="center"/>
          </w:tcPr>
          <w:p w14:paraId="781A7885">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IBC</w:t>
            </w:r>
            <w:r>
              <w:rPr>
                <w:rFonts w:hint="default" w:ascii="Times New Roman" w:hAnsi="Times New Roman" w:eastAsia="宋体" w:cs="Times New Roman"/>
                <w:sz w:val="21"/>
                <w:szCs w:val="21"/>
                <w:lang w:eastAsia="zh-CN"/>
              </w:rPr>
              <w:t>吨</w:t>
            </w:r>
            <w:r>
              <w:rPr>
                <w:rFonts w:hint="default" w:ascii="Times New Roman" w:hAnsi="Times New Roman" w:eastAsia="宋体" w:cs="Times New Roman"/>
                <w:sz w:val="21"/>
                <w:szCs w:val="21"/>
                <w:lang w:eastAsia="en-US"/>
              </w:rPr>
              <w:t>桶</w:t>
            </w:r>
          </w:p>
        </w:tc>
        <w:tc>
          <w:tcPr>
            <w:tcW w:w="938" w:type="pct"/>
            <w:vAlign w:val="center"/>
          </w:tcPr>
          <w:p w14:paraId="136050BC">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zh-CN"/>
              </w:rPr>
              <w:t>翻新</w:t>
            </w:r>
          </w:p>
        </w:tc>
        <w:tc>
          <w:tcPr>
            <w:tcW w:w="902" w:type="pct"/>
            <w:vAlign w:val="center"/>
          </w:tcPr>
          <w:p w14:paraId="7291F05D">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500</w:t>
            </w:r>
          </w:p>
        </w:tc>
      </w:tr>
      <w:tr w14:paraId="071A437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Merge w:val="continue"/>
            <w:vAlign w:val="center"/>
          </w:tcPr>
          <w:p w14:paraId="6299E52C">
            <w:pPr>
              <w:pStyle w:val="60"/>
              <w:adjustRightInd w:val="0"/>
              <w:snapToGrid w:val="0"/>
              <w:rPr>
                <w:rFonts w:hint="default" w:ascii="Times New Roman" w:hAnsi="Times New Roman" w:eastAsia="宋体" w:cs="Times New Roman"/>
                <w:sz w:val="21"/>
                <w:szCs w:val="21"/>
                <w:lang w:eastAsia="en-US"/>
              </w:rPr>
            </w:pPr>
          </w:p>
        </w:tc>
        <w:tc>
          <w:tcPr>
            <w:tcW w:w="655" w:type="pct"/>
            <w:vMerge w:val="continue"/>
            <w:vAlign w:val="center"/>
          </w:tcPr>
          <w:p w14:paraId="4E59C56F">
            <w:pPr>
              <w:pStyle w:val="60"/>
              <w:adjustRightInd w:val="0"/>
              <w:snapToGrid w:val="0"/>
              <w:rPr>
                <w:rFonts w:hint="default" w:ascii="Times New Roman" w:hAnsi="Times New Roman" w:eastAsia="宋体" w:cs="Times New Roman"/>
                <w:sz w:val="21"/>
                <w:szCs w:val="21"/>
                <w:lang w:eastAsia="en-US"/>
              </w:rPr>
            </w:pPr>
          </w:p>
        </w:tc>
        <w:tc>
          <w:tcPr>
            <w:tcW w:w="1026" w:type="pct"/>
            <w:vMerge w:val="continue"/>
            <w:vAlign w:val="center"/>
          </w:tcPr>
          <w:p w14:paraId="6F9966B3">
            <w:pPr>
              <w:pStyle w:val="60"/>
              <w:adjustRightInd w:val="0"/>
              <w:snapToGrid w:val="0"/>
              <w:rPr>
                <w:rFonts w:hint="default" w:ascii="Times New Roman" w:hAnsi="Times New Roman" w:eastAsia="宋体" w:cs="Times New Roman"/>
                <w:sz w:val="21"/>
                <w:szCs w:val="21"/>
                <w:lang w:eastAsia="en-US"/>
              </w:rPr>
            </w:pPr>
          </w:p>
        </w:tc>
        <w:tc>
          <w:tcPr>
            <w:tcW w:w="1031" w:type="pct"/>
            <w:vMerge w:val="continue"/>
            <w:vAlign w:val="center"/>
          </w:tcPr>
          <w:p w14:paraId="12E9A5A9">
            <w:pPr>
              <w:pStyle w:val="60"/>
              <w:adjustRightInd w:val="0"/>
              <w:snapToGrid w:val="0"/>
              <w:rPr>
                <w:rFonts w:hint="default" w:ascii="Times New Roman" w:hAnsi="Times New Roman" w:eastAsia="宋体" w:cs="Times New Roman"/>
                <w:sz w:val="21"/>
                <w:szCs w:val="21"/>
                <w:lang w:eastAsia="en-US"/>
              </w:rPr>
            </w:pPr>
          </w:p>
        </w:tc>
        <w:tc>
          <w:tcPr>
            <w:tcW w:w="938" w:type="pct"/>
            <w:vAlign w:val="center"/>
          </w:tcPr>
          <w:p w14:paraId="494B784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zh-CN"/>
              </w:rPr>
              <w:t>破碎清洗</w:t>
            </w:r>
          </w:p>
        </w:tc>
        <w:tc>
          <w:tcPr>
            <w:tcW w:w="902" w:type="pct"/>
            <w:vAlign w:val="center"/>
          </w:tcPr>
          <w:p w14:paraId="505F1B46">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500</w:t>
            </w:r>
          </w:p>
        </w:tc>
      </w:tr>
      <w:tr w14:paraId="0BEF5E7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Merge w:val="continue"/>
            <w:vAlign w:val="center"/>
          </w:tcPr>
          <w:p w14:paraId="0F73F21D">
            <w:pPr>
              <w:pStyle w:val="60"/>
              <w:adjustRightInd w:val="0"/>
              <w:snapToGrid w:val="0"/>
              <w:rPr>
                <w:rFonts w:hint="default" w:ascii="Times New Roman" w:hAnsi="Times New Roman" w:eastAsia="宋体" w:cs="Times New Roman"/>
                <w:sz w:val="21"/>
                <w:szCs w:val="21"/>
                <w:lang w:eastAsia="en-US"/>
              </w:rPr>
            </w:pPr>
          </w:p>
        </w:tc>
        <w:tc>
          <w:tcPr>
            <w:tcW w:w="655" w:type="pct"/>
            <w:vAlign w:val="center"/>
          </w:tcPr>
          <w:p w14:paraId="2530E9C7">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Cs w:val="21"/>
                <w:lang w:eastAsia="zh-CN"/>
              </w:rPr>
              <w:t>1000</w:t>
            </w:r>
          </w:p>
        </w:tc>
        <w:tc>
          <w:tcPr>
            <w:tcW w:w="1026" w:type="pct"/>
            <w:vAlign w:val="center"/>
          </w:tcPr>
          <w:p w14:paraId="575E4D15">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HW49其他废物</w:t>
            </w:r>
          </w:p>
        </w:tc>
        <w:tc>
          <w:tcPr>
            <w:tcW w:w="1031" w:type="pct"/>
            <w:vAlign w:val="center"/>
          </w:tcPr>
          <w:p w14:paraId="7F12633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Cs w:val="21"/>
                <w:lang w:eastAsia="en-US"/>
              </w:rPr>
              <w:t>纤维包装袋</w:t>
            </w:r>
          </w:p>
        </w:tc>
        <w:tc>
          <w:tcPr>
            <w:tcW w:w="938" w:type="pct"/>
            <w:vAlign w:val="center"/>
          </w:tcPr>
          <w:p w14:paraId="09E7DB3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zh-CN"/>
              </w:rPr>
              <w:t>破碎清洗</w:t>
            </w:r>
          </w:p>
        </w:tc>
        <w:tc>
          <w:tcPr>
            <w:tcW w:w="902" w:type="pct"/>
            <w:vAlign w:val="center"/>
          </w:tcPr>
          <w:p w14:paraId="7BFA71A1">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1000</w:t>
            </w:r>
          </w:p>
        </w:tc>
      </w:tr>
      <w:tr w14:paraId="2C34E86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26" w:hRule="atLeast"/>
        </w:trPr>
        <w:tc>
          <w:tcPr>
            <w:tcW w:w="448" w:type="pct"/>
            <w:vMerge w:val="continue"/>
            <w:vAlign w:val="center"/>
          </w:tcPr>
          <w:p w14:paraId="65725811">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55" w:type="pct"/>
            <w:vAlign w:val="center"/>
          </w:tcPr>
          <w:p w14:paraId="61E34B5D">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2000</w:t>
            </w:r>
          </w:p>
        </w:tc>
        <w:tc>
          <w:tcPr>
            <w:tcW w:w="1026" w:type="pct"/>
            <w:vAlign w:val="center"/>
          </w:tcPr>
          <w:p w14:paraId="71C8159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HW49其他废物</w:t>
            </w:r>
          </w:p>
        </w:tc>
        <w:tc>
          <w:tcPr>
            <w:tcW w:w="1031" w:type="pct"/>
            <w:vAlign w:val="center"/>
          </w:tcPr>
          <w:p w14:paraId="57323FE4">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pr桶、酯类溶剂桶、剥离液桶、乳胶漆桶等</w:t>
            </w:r>
          </w:p>
        </w:tc>
        <w:tc>
          <w:tcPr>
            <w:tcW w:w="938" w:type="pct"/>
            <w:vAlign w:val="center"/>
          </w:tcPr>
          <w:p w14:paraId="78ED43B5">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破碎清洗</w:t>
            </w:r>
          </w:p>
        </w:tc>
        <w:tc>
          <w:tcPr>
            <w:tcW w:w="902" w:type="pct"/>
            <w:vAlign w:val="center"/>
          </w:tcPr>
          <w:p w14:paraId="2FF75BA7">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2000</w:t>
            </w:r>
          </w:p>
        </w:tc>
      </w:tr>
      <w:tr w14:paraId="10EA85B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Merge w:val="continue"/>
            <w:vAlign w:val="center"/>
          </w:tcPr>
          <w:p w14:paraId="536520B6">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55" w:type="pct"/>
            <w:vAlign w:val="center"/>
          </w:tcPr>
          <w:p w14:paraId="05922879">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1000</w:t>
            </w:r>
          </w:p>
        </w:tc>
        <w:tc>
          <w:tcPr>
            <w:tcW w:w="1026" w:type="pct"/>
            <w:vAlign w:val="center"/>
          </w:tcPr>
          <w:p w14:paraId="00F0312D">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HW08废矿物油与</w:t>
            </w:r>
          </w:p>
          <w:p w14:paraId="6EEB6229">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含矿物油废物</w:t>
            </w:r>
          </w:p>
        </w:tc>
        <w:tc>
          <w:tcPr>
            <w:tcW w:w="1031" w:type="pct"/>
            <w:vAlign w:val="center"/>
          </w:tcPr>
          <w:p w14:paraId="53F36329">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矿物油桶</w:t>
            </w:r>
          </w:p>
        </w:tc>
        <w:tc>
          <w:tcPr>
            <w:tcW w:w="938" w:type="pct"/>
            <w:vAlign w:val="center"/>
          </w:tcPr>
          <w:p w14:paraId="7CCE584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zh-CN"/>
              </w:rPr>
              <w:t>破碎清洗</w:t>
            </w:r>
          </w:p>
        </w:tc>
        <w:tc>
          <w:tcPr>
            <w:tcW w:w="902" w:type="pct"/>
            <w:vAlign w:val="center"/>
          </w:tcPr>
          <w:p w14:paraId="3F194CA6">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1000</w:t>
            </w:r>
          </w:p>
        </w:tc>
      </w:tr>
      <w:tr w14:paraId="4F4654C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48" w:type="pct"/>
            <w:vAlign w:val="center"/>
          </w:tcPr>
          <w:p w14:paraId="43D7C01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废金属机油滤芯</w:t>
            </w:r>
          </w:p>
        </w:tc>
        <w:tc>
          <w:tcPr>
            <w:tcW w:w="655" w:type="pct"/>
            <w:vAlign w:val="center"/>
          </w:tcPr>
          <w:p w14:paraId="1FEBEBBA">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5000</w:t>
            </w:r>
          </w:p>
        </w:tc>
        <w:tc>
          <w:tcPr>
            <w:tcW w:w="1026" w:type="pct"/>
            <w:vAlign w:val="center"/>
          </w:tcPr>
          <w:p w14:paraId="109C95A8">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HW49其他废物</w:t>
            </w:r>
          </w:p>
        </w:tc>
        <w:tc>
          <w:tcPr>
            <w:tcW w:w="1031" w:type="pct"/>
            <w:vAlign w:val="center"/>
          </w:tcPr>
          <w:p w14:paraId="02656498">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废金属机油滤</w:t>
            </w:r>
          </w:p>
          <w:p w14:paraId="376C6BB5">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芯</w:t>
            </w:r>
          </w:p>
        </w:tc>
        <w:tc>
          <w:tcPr>
            <w:tcW w:w="938" w:type="pct"/>
            <w:vAlign w:val="center"/>
          </w:tcPr>
          <w:p w14:paraId="7F1187B7">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zh-CN"/>
              </w:rPr>
              <w:t>破碎清洗</w:t>
            </w:r>
          </w:p>
        </w:tc>
        <w:tc>
          <w:tcPr>
            <w:tcW w:w="902" w:type="pct"/>
            <w:vAlign w:val="center"/>
          </w:tcPr>
          <w:p w14:paraId="127B6346">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5000</w:t>
            </w:r>
          </w:p>
        </w:tc>
      </w:tr>
    </w:tbl>
    <w:p w14:paraId="6BA00591">
      <w:pPr>
        <w:spacing w:line="360" w:lineRule="auto"/>
        <w:jc w:val="center"/>
        <w:rPr>
          <w:rFonts w:hint="default" w:ascii="Times New Roman" w:hAnsi="Times New Roman" w:eastAsia="宋体" w:cs="Times New Roman"/>
          <w:b/>
          <w:bCs/>
          <w:szCs w:val="21"/>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13F89274">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4.5.4再生利用危险废物中废包装容器沾染性废物的理化性质</w:t>
      </w:r>
    </w:p>
    <w:p w14:paraId="4674BE3F">
      <w:pPr>
        <w:pStyle w:val="12"/>
        <w:spacing w:line="360" w:lineRule="auto"/>
        <w:ind w:right="116" w:firstLine="480"/>
        <w:jc w:val="both"/>
        <w:rPr>
          <w:rFonts w:hint="default" w:ascii="Times New Roman" w:hAnsi="Times New Roman" w:eastAsia="宋体" w:cs="Times New Roman"/>
        </w:rPr>
      </w:pPr>
      <w:r>
        <w:rPr>
          <w:rFonts w:hint="default" w:ascii="Times New Roman" w:hAnsi="Times New Roman" w:eastAsia="宋体" w:cs="Times New Roman"/>
        </w:rPr>
        <w:t>本项目再生利用的危险废物包装容器主要沾染了以下物质：HW06废有机溶剂类、HW08废矿物油类、HW09油/水、烃/水混合物或乳化液类、HW12染料、涂料废物</w:t>
      </w:r>
      <w:r>
        <w:rPr>
          <w:rFonts w:hint="default" w:ascii="Times New Roman" w:hAnsi="Times New Roman" w:eastAsia="宋体" w:cs="Times New Roman"/>
          <w:lang w:eastAsia="zh-CN"/>
        </w:rPr>
        <w:t>、HW13有机树脂类废物</w:t>
      </w:r>
      <w:r>
        <w:rPr>
          <w:rFonts w:hint="default" w:ascii="Times New Roman" w:hAnsi="Times New Roman" w:eastAsia="宋体" w:cs="Times New Roman"/>
        </w:rPr>
        <w:t>类。具体理化性质详见下表。</w:t>
      </w:r>
    </w:p>
    <w:p w14:paraId="5AD20226">
      <w:pPr>
        <w:pStyle w:val="12"/>
        <w:spacing w:line="360" w:lineRule="auto"/>
        <w:ind w:right="116"/>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表4.5-</w:t>
      </w:r>
      <w:r>
        <w:rPr>
          <w:rFonts w:hint="default" w:ascii="Times New Roman" w:hAnsi="Times New Roman" w:eastAsia="宋体" w:cs="Times New Roman"/>
          <w:b/>
          <w:bCs/>
          <w:sz w:val="21"/>
          <w:szCs w:val="21"/>
          <w:lang w:val="en-US" w:eastAsia="zh-CN"/>
        </w:rPr>
        <w:t>5</w:t>
      </w:r>
      <w:r>
        <w:rPr>
          <w:rFonts w:hint="default" w:ascii="Times New Roman" w:hAnsi="Times New Roman" w:eastAsia="宋体" w:cs="Times New Roman"/>
          <w:b/>
          <w:bCs/>
          <w:sz w:val="21"/>
          <w:szCs w:val="21"/>
        </w:rPr>
        <w:t xml:space="preserve"> 项目再生利用的危险废物主要沾染性物质理化性质一览表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627"/>
        <w:gridCol w:w="3798"/>
        <w:gridCol w:w="3911"/>
      </w:tblGrid>
      <w:tr w14:paraId="7749BFE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2" w:hRule="atLeast"/>
        </w:trPr>
        <w:tc>
          <w:tcPr>
            <w:tcW w:w="376" w:type="pct"/>
            <w:tcBorders>
              <w:bottom w:val="single" w:color="000000" w:sz="4" w:space="0"/>
              <w:right w:val="single" w:color="000000" w:sz="4" w:space="0"/>
            </w:tcBorders>
            <w:vAlign w:val="center"/>
          </w:tcPr>
          <w:p w14:paraId="1BD33EFA">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名称</w:t>
            </w:r>
          </w:p>
        </w:tc>
        <w:tc>
          <w:tcPr>
            <w:tcW w:w="2278" w:type="pct"/>
            <w:tcBorders>
              <w:left w:val="single" w:color="000000" w:sz="4" w:space="0"/>
              <w:bottom w:val="single" w:color="000000" w:sz="4" w:space="0"/>
              <w:right w:val="single" w:color="000000" w:sz="4" w:space="0"/>
            </w:tcBorders>
            <w:vAlign w:val="center"/>
          </w:tcPr>
          <w:p w14:paraId="392204AF">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理化性质</w:t>
            </w:r>
          </w:p>
        </w:tc>
        <w:tc>
          <w:tcPr>
            <w:tcW w:w="2346" w:type="pct"/>
            <w:tcBorders>
              <w:left w:val="single" w:color="000000" w:sz="4" w:space="0"/>
              <w:bottom w:val="single" w:color="000000" w:sz="4" w:space="0"/>
            </w:tcBorders>
            <w:vAlign w:val="center"/>
          </w:tcPr>
          <w:p w14:paraId="40A76E85">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危害</w:t>
            </w:r>
          </w:p>
        </w:tc>
      </w:tr>
      <w:tr w14:paraId="290F61E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51" w:hRule="atLeast"/>
        </w:trPr>
        <w:tc>
          <w:tcPr>
            <w:tcW w:w="376" w:type="pct"/>
            <w:tcBorders>
              <w:top w:val="single" w:color="000000" w:sz="4" w:space="0"/>
              <w:bottom w:val="single" w:color="000000" w:sz="4" w:space="0"/>
              <w:right w:val="single" w:color="000000" w:sz="4" w:space="0"/>
            </w:tcBorders>
            <w:vAlign w:val="center"/>
          </w:tcPr>
          <w:p w14:paraId="34248664">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有机溶剂</w:t>
            </w:r>
          </w:p>
        </w:tc>
        <w:tc>
          <w:tcPr>
            <w:tcW w:w="2278" w:type="pct"/>
            <w:tcBorders>
              <w:top w:val="single" w:color="000000" w:sz="4" w:space="0"/>
              <w:left w:val="single" w:color="000000" w:sz="4" w:space="0"/>
              <w:bottom w:val="single" w:color="000000" w:sz="4" w:space="0"/>
              <w:right w:val="single" w:color="000000" w:sz="4" w:space="0"/>
            </w:tcBorders>
            <w:vAlign w:val="center"/>
          </w:tcPr>
          <w:p w14:paraId="276CD55F">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有机溶剂是一大类在生活和生产中广泛应用的有机化合物，分子量不大，它存在于涂料、粘合剂、漆和清洁剂中。经常使用有机溶剂如，苯乙烯、全氯乙烯、三氯乙烯、乙烯乙二醇醚和三乙醇胺等。有机溶剂能溶解一些不溶于水的（如油脂、蜡、树脂、橡胶、染料等）的有机化合物，其特点是在常温常压下呈液态，具有较大的挥发性，在溶</w:t>
            </w:r>
          </w:p>
          <w:p w14:paraId="1260896A">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解过程中，溶质与溶剂。</w:t>
            </w:r>
          </w:p>
        </w:tc>
        <w:tc>
          <w:tcPr>
            <w:tcW w:w="2346" w:type="pct"/>
            <w:tcBorders>
              <w:top w:val="single" w:color="000000" w:sz="4" w:space="0"/>
              <w:left w:val="single" w:color="000000" w:sz="4" w:space="0"/>
              <w:bottom w:val="single" w:color="000000" w:sz="4" w:space="0"/>
            </w:tcBorders>
            <w:vAlign w:val="center"/>
          </w:tcPr>
          <w:p w14:paraId="0F41F14B">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①神经毒性。</w:t>
            </w:r>
          </w:p>
          <w:p w14:paraId="6D0DA257">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②血液毒性。</w:t>
            </w:r>
          </w:p>
          <w:p w14:paraId="66ED98E1">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③肝肾毒性。</w:t>
            </w:r>
          </w:p>
          <w:p w14:paraId="630C2987">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④皮肤粘膜刺激。</w:t>
            </w:r>
          </w:p>
        </w:tc>
      </w:tr>
      <w:tr w14:paraId="7F8C72A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995" w:hRule="atLeast"/>
        </w:trPr>
        <w:tc>
          <w:tcPr>
            <w:tcW w:w="376" w:type="pct"/>
            <w:tcBorders>
              <w:top w:val="single" w:color="000000" w:sz="4" w:space="0"/>
              <w:bottom w:val="single" w:color="000000" w:sz="4" w:space="0"/>
              <w:right w:val="single" w:color="000000" w:sz="4" w:space="0"/>
            </w:tcBorders>
            <w:vAlign w:val="center"/>
          </w:tcPr>
          <w:p w14:paraId="18F66A0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矿物油</w:t>
            </w:r>
          </w:p>
        </w:tc>
        <w:tc>
          <w:tcPr>
            <w:tcW w:w="2278" w:type="pct"/>
            <w:tcBorders>
              <w:top w:val="single" w:color="000000" w:sz="4" w:space="0"/>
              <w:left w:val="single" w:color="000000" w:sz="4" w:space="0"/>
              <w:bottom w:val="single" w:color="000000" w:sz="4" w:space="0"/>
              <w:right w:val="single" w:color="000000" w:sz="4" w:space="0"/>
            </w:tcBorders>
            <w:vAlign w:val="center"/>
          </w:tcPr>
          <w:p w14:paraId="4BBC265E">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矿物油是由石油所得精炼液态烃的混合物，主要为饱和的环烷烃与链烷烃混合物，原油经常压和减压分馏、溶剂抽提和脱蜡，加氢精制而得。液体石蜡性状为无色透明油状液体，在日光下观察不显荧光。室温下无嗅无味， 加热后略有石油臭。密度比重0.86- 0.905（25度）不溶于水、甘油、冷乙醇。溶于苯、乙醚、氯仿、二硫化碳、热乙醇。与除蓖麻油外大多数脂肪油能任意混合，樟脑、薄荷脑及大多数天然或人造麝香均能被溶解。</w:t>
            </w:r>
          </w:p>
        </w:tc>
        <w:tc>
          <w:tcPr>
            <w:tcW w:w="2346" w:type="pct"/>
            <w:tcBorders>
              <w:top w:val="single" w:color="000000" w:sz="4" w:space="0"/>
              <w:left w:val="single" w:color="000000" w:sz="4" w:space="0"/>
              <w:bottom w:val="single" w:color="000000" w:sz="4" w:space="0"/>
            </w:tcBorders>
            <w:vAlign w:val="center"/>
          </w:tcPr>
          <w:p w14:paraId="44468B91">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矿物油在人体肠道不被吸收或消化，同时能妨碍水分的吸收，医学上将其作为润滑性泻药使用，治疗老年人或儿童的便秘。大量摄入可致便软、腹泻；长期摄入可导致消化道障碍，影响脂溶性维生素A、D、K和钙、磷等的吸收。对人体极其有害，它会将人体的脂溶性维生素全部带出，使他们无法被人体吸收，食用矿物油会导致人体维生素A、D、E、K的严重缺乏，产生一系列的病变。</w:t>
            </w:r>
          </w:p>
        </w:tc>
      </w:tr>
      <w:tr w14:paraId="4247C71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06" w:hRule="atLeast"/>
        </w:trPr>
        <w:tc>
          <w:tcPr>
            <w:tcW w:w="376" w:type="pct"/>
            <w:tcBorders>
              <w:top w:val="single" w:color="000000" w:sz="4" w:space="0"/>
              <w:bottom w:val="single" w:color="000000" w:sz="4" w:space="0"/>
              <w:right w:val="single" w:color="000000" w:sz="4" w:space="0"/>
            </w:tcBorders>
            <w:vAlign w:val="center"/>
          </w:tcPr>
          <w:p w14:paraId="12AA7A5E">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乳化液</w:t>
            </w:r>
          </w:p>
        </w:tc>
        <w:tc>
          <w:tcPr>
            <w:tcW w:w="2278" w:type="pct"/>
            <w:tcBorders>
              <w:top w:val="single" w:color="000000" w:sz="4" w:space="0"/>
              <w:left w:val="single" w:color="000000" w:sz="4" w:space="0"/>
              <w:bottom w:val="single" w:color="000000" w:sz="4" w:space="0"/>
              <w:right w:val="single" w:color="000000" w:sz="4" w:space="0"/>
            </w:tcBorders>
            <w:vAlign w:val="center"/>
          </w:tcPr>
          <w:p w14:paraId="0661D0B5">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组成：水、基础油（矿物油、植物油、合成酯或它们的混合物）、表面活性剂、防锈添加剂（环烷酸锌、石油磺酸钠（亦是乳化剂）、石油磺酸钡、苯并三唑，山梨糖醇单油酸酯、硬脂酸铝）、极压添加剂（含硫、磷、氯等元素的极性化合物）、摩擦改进剂（减摩剂或油性添加剂）、抗氧化剂。</w:t>
            </w:r>
          </w:p>
        </w:tc>
        <w:tc>
          <w:tcPr>
            <w:tcW w:w="2346" w:type="pct"/>
            <w:tcBorders>
              <w:top w:val="single" w:color="000000" w:sz="4" w:space="0"/>
              <w:left w:val="single" w:color="000000" w:sz="4" w:space="0"/>
              <w:bottom w:val="single" w:color="000000" w:sz="4" w:space="0"/>
            </w:tcBorders>
            <w:vAlign w:val="center"/>
          </w:tcPr>
          <w:p w14:paraId="6B3D4100">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乳化液的缺点是细菌、霉菌容易繁殖，使乳化液中的有效成分产生化学分解而发臭、变质， 所以一般都应加入毒性小的有机杀菌剂。</w:t>
            </w:r>
          </w:p>
        </w:tc>
      </w:tr>
      <w:tr w14:paraId="5C4CFA6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68" w:hRule="atLeast"/>
        </w:trPr>
        <w:tc>
          <w:tcPr>
            <w:tcW w:w="376" w:type="pct"/>
            <w:tcBorders>
              <w:top w:val="single" w:color="000000" w:sz="4" w:space="0"/>
              <w:right w:val="single" w:color="000000" w:sz="4" w:space="0"/>
            </w:tcBorders>
            <w:vAlign w:val="center"/>
          </w:tcPr>
          <w:p w14:paraId="3B6A6CB1">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涂料</w:t>
            </w:r>
          </w:p>
        </w:tc>
        <w:tc>
          <w:tcPr>
            <w:tcW w:w="2278" w:type="pct"/>
            <w:tcBorders>
              <w:top w:val="single" w:color="000000" w:sz="4" w:space="0"/>
              <w:left w:val="single" w:color="000000" w:sz="4" w:space="0"/>
              <w:right w:val="single" w:color="000000" w:sz="4" w:space="0"/>
            </w:tcBorders>
            <w:vAlign w:val="center"/>
          </w:tcPr>
          <w:p w14:paraId="773AA997">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组成：涂料一般由四种基本成分：成膜物质（树脂、乳液）、颜料（包括体质颜料）、溶剂和添加剂（助剂）。</w:t>
            </w:r>
          </w:p>
        </w:tc>
        <w:tc>
          <w:tcPr>
            <w:tcW w:w="2346" w:type="pct"/>
            <w:tcBorders>
              <w:top w:val="single" w:color="000000" w:sz="4" w:space="0"/>
              <w:left w:val="single" w:color="000000" w:sz="4" w:space="0"/>
            </w:tcBorders>
            <w:vAlign w:val="center"/>
          </w:tcPr>
          <w:p w14:paraId="11720408">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大部分溶剂性涂料及有机溶剂里都含有苯及其化合物。苯是一种无色具有特殊芳香气味的液体， 所以专家们把它称为“ 芳香杀手”。据介绍，苯化合物已经被世界卫生组织确定为强烈致癌物质。人在短时间内吸收高浓度的甲苯、二甲苯时，会出现中枢神经系统麻醉的症状，轻者头晕、头痛、恶心、胸闷、乏力、意识模糊， 严重的会出现昏迷，以致呼吸、循环衰竭而死亡。苯主要对皮肤、眼睛和上呼吸道有刺激作用，经常接触苯，皮肤可因脱脂而变干燥，脱屑，有的出现过敏性湿疹。</w:t>
            </w:r>
          </w:p>
        </w:tc>
      </w:tr>
    </w:tbl>
    <w:p w14:paraId="58B01E0D">
      <w:pPr>
        <w:pStyle w:val="3"/>
        <w:spacing w:before="0" w:after="0" w:line="360" w:lineRule="auto"/>
        <w:jc w:val="left"/>
        <w:rPr>
          <w:rFonts w:hint="default" w:ascii="Times New Roman" w:hAnsi="Times New Roman" w:eastAsia="宋体" w:cs="Times New Roman"/>
        </w:rPr>
      </w:pPr>
      <w:bookmarkStart w:id="266" w:name="_Toc10666"/>
      <w:bookmarkStart w:id="267" w:name="_Toc123733091"/>
      <w:bookmarkStart w:id="268" w:name="_Toc106961886"/>
      <w:r>
        <w:rPr>
          <w:rFonts w:hint="default" w:ascii="Times New Roman" w:hAnsi="Times New Roman" w:eastAsia="宋体" w:cs="Times New Roman"/>
          <w:kern w:val="0"/>
          <w:sz w:val="30"/>
          <w:szCs w:val="28"/>
        </w:rPr>
        <w:t>4.6</w:t>
      </w:r>
      <w:r>
        <w:rPr>
          <w:rFonts w:hint="default" w:ascii="Times New Roman" w:hAnsi="Times New Roman" w:eastAsia="宋体" w:cs="Times New Roman"/>
          <w:kern w:val="0"/>
        </w:rPr>
        <w:t>扩建项目</w:t>
      </w:r>
      <w:r>
        <w:rPr>
          <w:rFonts w:hint="default" w:ascii="Times New Roman" w:hAnsi="Times New Roman" w:eastAsia="宋体" w:cs="Times New Roman"/>
        </w:rPr>
        <w:t>收运与贮存工程</w:t>
      </w:r>
      <w:bookmarkEnd w:id="266"/>
    </w:p>
    <w:p w14:paraId="20BE0437">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4.6.1再生利用危险废物的收集与运输</w:t>
      </w:r>
    </w:p>
    <w:p w14:paraId="2297FF7D">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①收运条件</w:t>
      </w:r>
    </w:p>
    <w:p w14:paraId="4BE5D36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废物产生单位必须根据《危险废物贮存污染控制标准》（18597-2023）中的要求规范废物的包装和标识，杜绝跑、冒、滴、漏现象，且包装物与标识一致，并根据《危险废物转移联单管理办法》办理相关报批、转移手续后，本企业方才允许接收综合利用；否则，不予接收危废产生单位的危险废物。</w:t>
      </w:r>
    </w:p>
    <w:p w14:paraId="4CD8621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扩建部分的不接收利用含氰化物等剧毒类物质废包装容器、含爆炸性物质包装容器、含放射性类废包装容器、含硫醇、硫醚、氯苄类等恶臭物质的废包装容器和物理化学特性未确定的危险废物包装容器，危险废物产生单位应提供包装桶内物质组份的相关证明材料（废包装容器产生企业必须提供桶内残液的MSDS（化学品安全说明书）及相关信息，并确保包装完好、无破损并密封桶盖）。在收集废包装容器前期，通过对废包装容器产生企业的调查和现场抽样试验，根据不同残液的性质分类登记，对区域内相同性质的废包装容器进行统筹安排，尽可能维持生产线的稳定运行。</w:t>
      </w:r>
    </w:p>
    <w:p w14:paraId="068893E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企业须根据桶残性质的不同对废包装容器进行分类收集、分批运输，并在入厂后进行开盖倒残并分区储存。严禁在未明确桶残性质之前，对废包装容器进行混装、混运和混存，避免在收集、运输和储存过程中引发二次污染。</w:t>
      </w:r>
    </w:p>
    <w:p w14:paraId="123AA4D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②运输方案</w:t>
      </w:r>
    </w:p>
    <w:p w14:paraId="7B7574F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依据《危险废物收集、贮存、运输技术规范》（HJ2025-2012）运输要求，公司拟购置5辆危险废物运输车辆可满足危险品专用运输车辆去各家企业收集和转运要求。</w:t>
      </w:r>
    </w:p>
    <w:p w14:paraId="60C9F7D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贮存和转运按照《危险废物转移联单管理办法》要求执行。废包装容器转运过程中要办理好危废转移联单手续，运输车辆应配备必需的应急处理器材和安全防护设施、设备。废旧金属容器应堆码整齐，防止混杂、撒漏、破损，不能与普通货物混合存放。</w:t>
      </w:r>
    </w:p>
    <w:p w14:paraId="5DCD6A1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输车辆采取防雨、防渗、防遗撒措施。在废包装容器收集起运之前，应对拟收集的废包装容器种类进行核实，不符合本项目处理种类的废容器不得回收；对废包装容器内的残留物进行检查，残留物过多的废桶待产生单位清理至无明显残留后方可回收。回收起运前，应将每个包装桶均旋紧桶盖，降低运输过程中桶残泄漏的可能性。运输过程中应按照既定的路线进行， 尽量避免进入城镇等人员密集区，避免靠近饮用水源保护区等敏感点。</w:t>
      </w:r>
    </w:p>
    <w:p w14:paraId="3F0725D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接收方案：载有废包装容器的车辆进入厂区后，首先进行登记报备，然后驶至原料仓库内的堆桶危废区进行卸货，卸货现场安排的货物接收人根据司机提供的《危险废物转移联单》进行货物确认并管理卸货现场。</w:t>
      </w:r>
    </w:p>
    <w:p w14:paraId="47AAE2F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③进厂检验</w:t>
      </w:r>
    </w:p>
    <w:p w14:paraId="7EB4701D">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司严格按照国家颁布的《危险废弃物管理条例》和《国家危险废弃物名录》进行控制管理。在废包装容器未到达公司前，业务人员必须将安全资料信息传达给操作人员和运输人员，废物在进入公司后，现场交接时需按接受控制制度核对危险废物的数量、种类、标识等进行核对，进厂检验控制要求如下：</w:t>
      </w:r>
    </w:p>
    <w:p w14:paraId="20EDA83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（a）只接收公司《危险废物经营许可证》范围以内的废包装容器，不在接受范围内的废包装容器退回原厂；</w:t>
      </w:r>
    </w:p>
    <w:p w14:paraId="6F10597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（b）接收的危险废物含残留物过多导致公司无法综合利用或综合利用成本提高的，将其退回原厂；</w:t>
      </w:r>
    </w:p>
    <w:p w14:paraId="5778E20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（c）对接收的危险废物进行严格检查，是否有跑冒漏滴的现象；</w:t>
      </w:r>
    </w:p>
    <w:p w14:paraId="79FFCBE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（d）对接收的危险废物，公司环保科和质检科人员应对其进行检查，必要时进行分析，以确认所接收危险废物与转移联单、经营合同或其他运输文件所列危险废物是否一致；</w:t>
      </w:r>
    </w:p>
    <w:p w14:paraId="0B137CB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（e）对接收的废物及时登记，将进厂废物的数量、重量等有关信息输入计算机系统。</w:t>
      </w:r>
    </w:p>
    <w:p w14:paraId="363250F8">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4.6.2再生利用危险废物的厂内储存</w:t>
      </w:r>
    </w:p>
    <w:p w14:paraId="4E1C32B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本项目危废暂存区域的地面与裙脚要用坚固、防渗的材料建造，建筑材料必须与危险废物相容，暂存库基础防渗层渗透系数小于10</w:t>
      </w:r>
      <w:r>
        <w:rPr>
          <w:rFonts w:hint="default" w:ascii="Times New Roman" w:hAnsi="Times New Roman" w:eastAsia="宋体" w:cs="Times New Roman"/>
          <w:sz w:val="24"/>
          <w:szCs w:val="24"/>
          <w:vertAlign w:val="superscript"/>
        </w:rPr>
        <w:t>-10</w:t>
      </w:r>
      <w:r>
        <w:rPr>
          <w:rFonts w:hint="default" w:ascii="Times New Roman" w:hAnsi="Times New Roman" w:eastAsia="宋体" w:cs="Times New Roman"/>
          <w:sz w:val="24"/>
          <w:szCs w:val="24"/>
        </w:rPr>
        <w:t>cm/s；库房内设置明确的分区，严禁不相容物质混贮；库房封闭，并防雨、防风、防渗漏、防扬散措施；暂存区内设托盘收集溢流出的废液。</w:t>
      </w:r>
    </w:p>
    <w:p w14:paraId="0D761F9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各类废包装容器按照产生企业提供废物的安全资料信息（残留物的理化性质或MSDS信息），按包装容器内物料性质的不同经去盖倒残后在仓库内分区储存。</w:t>
      </w:r>
    </w:p>
    <w:p w14:paraId="45F91FB2">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废在厂内的储存及转运应严格执行《危险废物贮存污染控制标准》（GB18597-2023）相关要求。危废进入厂区后，仓库收货人员应现场核对危险废物的数量、种类、标识等，并确认与危险废物转移联单相符，对危废进行及时登记后送至与危废相对应的分区进行储存。</w:t>
      </w:r>
    </w:p>
    <w:p w14:paraId="430D597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本项目综合利用的危废原料暂存场所（设施）基本情况如下表所示：</w:t>
      </w:r>
    </w:p>
    <w:p w14:paraId="132DE805">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表4.6-1</w:t>
      </w:r>
      <w:r>
        <w:rPr>
          <w:rFonts w:hint="default" w:ascii="Times New Roman" w:hAnsi="Times New Roman" w:eastAsia="宋体" w:cs="Times New Roman"/>
          <w:b/>
          <w:bCs/>
          <w:szCs w:val="21"/>
        </w:rPr>
        <w:tab/>
      </w:r>
      <w:r>
        <w:rPr>
          <w:rFonts w:hint="default" w:ascii="Times New Roman" w:hAnsi="Times New Roman" w:eastAsia="宋体" w:cs="Times New Roman"/>
          <w:b/>
          <w:bCs/>
          <w:szCs w:val="21"/>
        </w:rPr>
        <w:t xml:space="preserve"> 项目综合利用的危废原料暂存场所（设施）基本情况</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64"/>
        <w:gridCol w:w="868"/>
        <w:gridCol w:w="1224"/>
        <w:gridCol w:w="984"/>
        <w:gridCol w:w="1254"/>
        <w:gridCol w:w="695"/>
        <w:gridCol w:w="694"/>
        <w:gridCol w:w="874"/>
        <w:gridCol w:w="879"/>
      </w:tblGrid>
      <w:tr w14:paraId="4FDB54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519" w:type="pct"/>
            <w:vAlign w:val="center"/>
          </w:tcPr>
          <w:p w14:paraId="111FDE27">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类别</w:t>
            </w:r>
          </w:p>
        </w:tc>
        <w:tc>
          <w:tcPr>
            <w:tcW w:w="521" w:type="pct"/>
            <w:vAlign w:val="center"/>
          </w:tcPr>
          <w:p w14:paraId="4D9F985E">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危险废物</w:t>
            </w:r>
          </w:p>
          <w:p w14:paraId="18BC1C26">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名称</w:t>
            </w:r>
          </w:p>
        </w:tc>
        <w:tc>
          <w:tcPr>
            <w:tcW w:w="734" w:type="pct"/>
            <w:vAlign w:val="center"/>
          </w:tcPr>
          <w:p w14:paraId="6B86ABE4">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代码</w:t>
            </w:r>
          </w:p>
        </w:tc>
        <w:tc>
          <w:tcPr>
            <w:tcW w:w="590" w:type="pct"/>
            <w:vAlign w:val="center"/>
          </w:tcPr>
          <w:p w14:paraId="4F7E0AC8">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贮存场</w:t>
            </w:r>
          </w:p>
          <w:p w14:paraId="166DD3CD">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所名称</w:t>
            </w:r>
          </w:p>
        </w:tc>
        <w:tc>
          <w:tcPr>
            <w:tcW w:w="752" w:type="pct"/>
            <w:vAlign w:val="center"/>
          </w:tcPr>
          <w:p w14:paraId="592370FA">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位置</w:t>
            </w:r>
          </w:p>
        </w:tc>
        <w:tc>
          <w:tcPr>
            <w:tcW w:w="417" w:type="pct"/>
            <w:vAlign w:val="center"/>
          </w:tcPr>
          <w:p w14:paraId="709802FA">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占地</w:t>
            </w:r>
          </w:p>
          <w:p w14:paraId="5C54A388">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面积</w:t>
            </w:r>
          </w:p>
        </w:tc>
        <w:tc>
          <w:tcPr>
            <w:tcW w:w="416" w:type="pct"/>
            <w:vAlign w:val="center"/>
          </w:tcPr>
          <w:p w14:paraId="4FFBB8C0">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贮存</w:t>
            </w:r>
          </w:p>
          <w:p w14:paraId="3B388EA3">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方式</w:t>
            </w:r>
          </w:p>
        </w:tc>
        <w:tc>
          <w:tcPr>
            <w:tcW w:w="524" w:type="pct"/>
            <w:vAlign w:val="center"/>
          </w:tcPr>
          <w:p w14:paraId="466D6F9F">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贮存能</w:t>
            </w:r>
          </w:p>
          <w:p w14:paraId="1E1080E7">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力（t）</w:t>
            </w:r>
          </w:p>
        </w:tc>
        <w:tc>
          <w:tcPr>
            <w:tcW w:w="527" w:type="pct"/>
            <w:vAlign w:val="center"/>
          </w:tcPr>
          <w:p w14:paraId="5E6E1480">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贮存</w:t>
            </w:r>
          </w:p>
          <w:p w14:paraId="75393104">
            <w:pPr>
              <w:pStyle w:val="60"/>
              <w:adjustRightInd w:val="0"/>
              <w:snapToGrid w:val="0"/>
              <w:rPr>
                <w:rFonts w:hint="default" w:ascii="Times New Roman" w:hAnsi="Times New Roman" w:eastAsia="宋体" w:cs="Times New Roman"/>
                <w:b/>
                <w:sz w:val="21"/>
                <w:szCs w:val="21"/>
                <w:lang w:eastAsia="en-US"/>
              </w:rPr>
            </w:pPr>
            <w:r>
              <w:rPr>
                <w:rFonts w:hint="default" w:ascii="Times New Roman" w:hAnsi="Times New Roman" w:eastAsia="宋体" w:cs="Times New Roman"/>
                <w:b/>
                <w:sz w:val="21"/>
                <w:szCs w:val="21"/>
                <w:lang w:eastAsia="en-US"/>
              </w:rPr>
              <w:t>周期</w:t>
            </w:r>
          </w:p>
        </w:tc>
      </w:tr>
      <w:tr w14:paraId="212EE6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121" w:hRule="atLeast"/>
        </w:trPr>
        <w:tc>
          <w:tcPr>
            <w:tcW w:w="519" w:type="pct"/>
            <w:vAlign w:val="center"/>
          </w:tcPr>
          <w:p w14:paraId="0FBB3CD7">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w:t>
            </w:r>
          </w:p>
        </w:tc>
        <w:tc>
          <w:tcPr>
            <w:tcW w:w="521" w:type="pct"/>
            <w:vAlign w:val="center"/>
          </w:tcPr>
          <w:p w14:paraId="77A81020">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含有或沾</w:t>
            </w:r>
          </w:p>
          <w:p w14:paraId="3B6FB398">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染毒性危</w:t>
            </w:r>
          </w:p>
          <w:p w14:paraId="12A3721D">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险废物的</w:t>
            </w:r>
          </w:p>
          <w:p w14:paraId="59D0A0BC">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废弃包装</w:t>
            </w:r>
          </w:p>
          <w:p w14:paraId="1E464CE6">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物、容器、过滤吸附介质</w:t>
            </w:r>
          </w:p>
        </w:tc>
        <w:tc>
          <w:tcPr>
            <w:tcW w:w="734" w:type="pct"/>
            <w:vAlign w:val="center"/>
          </w:tcPr>
          <w:p w14:paraId="47D32E20">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900-041-49</w:t>
            </w:r>
          </w:p>
        </w:tc>
        <w:tc>
          <w:tcPr>
            <w:tcW w:w="590" w:type="pct"/>
            <w:vMerge w:val="restart"/>
            <w:vAlign w:val="center"/>
          </w:tcPr>
          <w:p w14:paraId="1CB0697C">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废金属包装容器暂存区、废金属机油滤芯暂存区</w:t>
            </w:r>
          </w:p>
        </w:tc>
        <w:tc>
          <w:tcPr>
            <w:tcW w:w="752" w:type="pct"/>
            <w:vMerge w:val="restart"/>
            <w:vAlign w:val="center"/>
          </w:tcPr>
          <w:p w14:paraId="7A6E1EFD">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来料暂存堆放区</w:t>
            </w:r>
          </w:p>
        </w:tc>
        <w:tc>
          <w:tcPr>
            <w:tcW w:w="417" w:type="pct"/>
            <w:vAlign w:val="center"/>
          </w:tcPr>
          <w:p w14:paraId="33AA17AA">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300m</w:t>
            </w:r>
            <w:r>
              <w:rPr>
                <w:rFonts w:hint="default" w:ascii="Times New Roman" w:hAnsi="Times New Roman" w:eastAsia="宋体" w:cs="Times New Roman"/>
                <w:sz w:val="21"/>
                <w:szCs w:val="21"/>
                <w:vertAlign w:val="superscript"/>
                <w:lang w:eastAsia="en-US"/>
              </w:rPr>
              <w:t>2</w:t>
            </w:r>
          </w:p>
        </w:tc>
        <w:tc>
          <w:tcPr>
            <w:tcW w:w="416" w:type="pct"/>
            <w:vAlign w:val="center"/>
          </w:tcPr>
          <w:p w14:paraId="6E2C665F">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堆放</w:t>
            </w:r>
          </w:p>
        </w:tc>
        <w:tc>
          <w:tcPr>
            <w:tcW w:w="524" w:type="pct"/>
            <w:vAlign w:val="center"/>
          </w:tcPr>
          <w:p w14:paraId="0CFED537">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120</w:t>
            </w:r>
          </w:p>
        </w:tc>
        <w:tc>
          <w:tcPr>
            <w:tcW w:w="527" w:type="pct"/>
            <w:vAlign w:val="center"/>
          </w:tcPr>
          <w:p w14:paraId="2582A975">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一周</w:t>
            </w:r>
          </w:p>
        </w:tc>
      </w:tr>
      <w:tr w14:paraId="6527D2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132" w:hRule="atLeast"/>
        </w:trPr>
        <w:tc>
          <w:tcPr>
            <w:tcW w:w="519" w:type="pct"/>
            <w:vAlign w:val="center"/>
          </w:tcPr>
          <w:p w14:paraId="5045CBE2">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HW08</w:t>
            </w:r>
          </w:p>
        </w:tc>
        <w:tc>
          <w:tcPr>
            <w:tcW w:w="521" w:type="pct"/>
            <w:vAlign w:val="center"/>
          </w:tcPr>
          <w:p w14:paraId="31A3C72F">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沾染矿物</w:t>
            </w:r>
          </w:p>
          <w:p w14:paraId="0B25A45E">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油的废弃</w:t>
            </w:r>
          </w:p>
          <w:p w14:paraId="142A1A58">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包装物</w:t>
            </w:r>
          </w:p>
        </w:tc>
        <w:tc>
          <w:tcPr>
            <w:tcW w:w="734" w:type="pct"/>
            <w:vAlign w:val="center"/>
          </w:tcPr>
          <w:p w14:paraId="2D5DE739">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900-249-08</w:t>
            </w:r>
          </w:p>
        </w:tc>
        <w:tc>
          <w:tcPr>
            <w:tcW w:w="590" w:type="pct"/>
            <w:vMerge w:val="continue"/>
            <w:vAlign w:val="center"/>
          </w:tcPr>
          <w:p w14:paraId="6F224121">
            <w:pPr>
              <w:pStyle w:val="60"/>
              <w:adjustRightInd w:val="0"/>
              <w:snapToGrid w:val="0"/>
              <w:rPr>
                <w:rFonts w:hint="default" w:ascii="Times New Roman" w:hAnsi="Times New Roman" w:eastAsia="宋体" w:cs="Times New Roman"/>
                <w:sz w:val="21"/>
                <w:szCs w:val="21"/>
                <w:lang w:eastAsia="en-US"/>
              </w:rPr>
            </w:pPr>
          </w:p>
        </w:tc>
        <w:tc>
          <w:tcPr>
            <w:tcW w:w="752" w:type="pct"/>
            <w:vMerge w:val="continue"/>
            <w:vAlign w:val="center"/>
          </w:tcPr>
          <w:p w14:paraId="4460F7F0">
            <w:pPr>
              <w:pStyle w:val="60"/>
              <w:adjustRightInd w:val="0"/>
              <w:snapToGrid w:val="0"/>
              <w:rPr>
                <w:rFonts w:hint="default" w:ascii="Times New Roman" w:hAnsi="Times New Roman" w:eastAsia="宋体" w:cs="Times New Roman"/>
                <w:sz w:val="21"/>
                <w:szCs w:val="21"/>
                <w:lang w:eastAsia="en-US"/>
              </w:rPr>
            </w:pPr>
          </w:p>
        </w:tc>
        <w:tc>
          <w:tcPr>
            <w:tcW w:w="417" w:type="pct"/>
            <w:vAlign w:val="center"/>
          </w:tcPr>
          <w:p w14:paraId="7180FC3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150m</w:t>
            </w:r>
            <w:r>
              <w:rPr>
                <w:rFonts w:hint="default" w:ascii="Times New Roman" w:hAnsi="Times New Roman" w:eastAsia="宋体" w:cs="Times New Roman"/>
                <w:sz w:val="21"/>
                <w:szCs w:val="21"/>
                <w:vertAlign w:val="superscript"/>
                <w:lang w:eastAsia="en-US"/>
              </w:rPr>
              <w:t>2</w:t>
            </w:r>
          </w:p>
        </w:tc>
        <w:tc>
          <w:tcPr>
            <w:tcW w:w="416" w:type="pct"/>
            <w:vAlign w:val="center"/>
          </w:tcPr>
          <w:p w14:paraId="7510218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堆放</w:t>
            </w:r>
          </w:p>
        </w:tc>
        <w:tc>
          <w:tcPr>
            <w:tcW w:w="524" w:type="pct"/>
            <w:vAlign w:val="center"/>
          </w:tcPr>
          <w:p w14:paraId="52F369B9">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20</w:t>
            </w:r>
          </w:p>
        </w:tc>
        <w:tc>
          <w:tcPr>
            <w:tcW w:w="527" w:type="pct"/>
            <w:vAlign w:val="center"/>
          </w:tcPr>
          <w:p w14:paraId="3DC67F7B">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一周</w:t>
            </w:r>
          </w:p>
        </w:tc>
      </w:tr>
      <w:tr w14:paraId="1D4230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02" w:hRule="atLeast"/>
        </w:trPr>
        <w:tc>
          <w:tcPr>
            <w:tcW w:w="519" w:type="pct"/>
            <w:vAlign w:val="center"/>
          </w:tcPr>
          <w:p w14:paraId="4D425BB0">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HW49</w:t>
            </w:r>
          </w:p>
        </w:tc>
        <w:tc>
          <w:tcPr>
            <w:tcW w:w="521" w:type="pct"/>
            <w:vAlign w:val="center"/>
          </w:tcPr>
          <w:p w14:paraId="47FDDBD8">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含有或沾</w:t>
            </w:r>
          </w:p>
          <w:p w14:paraId="7BF04298">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染毒性危</w:t>
            </w:r>
          </w:p>
          <w:p w14:paraId="579458FB">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险废物的</w:t>
            </w:r>
          </w:p>
          <w:p w14:paraId="754EDE1E">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废弃包装</w:t>
            </w:r>
          </w:p>
          <w:p w14:paraId="2A4B27BF">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物、容器、过滤吸附介质</w:t>
            </w:r>
          </w:p>
        </w:tc>
        <w:tc>
          <w:tcPr>
            <w:tcW w:w="734" w:type="pct"/>
            <w:vAlign w:val="center"/>
          </w:tcPr>
          <w:p w14:paraId="2195FC59">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900-041-49</w:t>
            </w:r>
          </w:p>
        </w:tc>
        <w:tc>
          <w:tcPr>
            <w:tcW w:w="590" w:type="pct"/>
            <w:vMerge w:val="restart"/>
            <w:vAlign w:val="center"/>
          </w:tcPr>
          <w:p w14:paraId="257A5671">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废塑料包装容器暂存间危废暂存区</w:t>
            </w:r>
          </w:p>
        </w:tc>
        <w:tc>
          <w:tcPr>
            <w:tcW w:w="752" w:type="pct"/>
            <w:vMerge w:val="restart"/>
            <w:vAlign w:val="center"/>
          </w:tcPr>
          <w:p w14:paraId="29ABB12E">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来料暂存堆放区</w:t>
            </w:r>
          </w:p>
        </w:tc>
        <w:tc>
          <w:tcPr>
            <w:tcW w:w="417" w:type="pct"/>
            <w:vAlign w:val="center"/>
          </w:tcPr>
          <w:p w14:paraId="117B5765">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200m</w:t>
            </w:r>
            <w:r>
              <w:rPr>
                <w:rFonts w:hint="default" w:ascii="Times New Roman" w:hAnsi="Times New Roman" w:eastAsia="宋体" w:cs="Times New Roman"/>
                <w:sz w:val="21"/>
                <w:szCs w:val="21"/>
                <w:vertAlign w:val="superscript"/>
                <w:lang w:eastAsia="en-US"/>
              </w:rPr>
              <w:t>2</w:t>
            </w:r>
          </w:p>
        </w:tc>
        <w:tc>
          <w:tcPr>
            <w:tcW w:w="416" w:type="pct"/>
            <w:vAlign w:val="center"/>
          </w:tcPr>
          <w:p w14:paraId="591404FD">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堆放</w:t>
            </w:r>
          </w:p>
        </w:tc>
        <w:tc>
          <w:tcPr>
            <w:tcW w:w="524" w:type="pct"/>
            <w:vAlign w:val="center"/>
          </w:tcPr>
          <w:p w14:paraId="246C3B79">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60</w:t>
            </w:r>
          </w:p>
        </w:tc>
        <w:tc>
          <w:tcPr>
            <w:tcW w:w="527" w:type="pct"/>
            <w:vAlign w:val="center"/>
          </w:tcPr>
          <w:p w14:paraId="6119AD96">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en-US"/>
              </w:rPr>
              <w:t>一周</w:t>
            </w:r>
          </w:p>
        </w:tc>
      </w:tr>
      <w:tr w14:paraId="5D41BE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24" w:hRule="atLeast"/>
        </w:trPr>
        <w:tc>
          <w:tcPr>
            <w:tcW w:w="519" w:type="pct"/>
            <w:tcBorders>
              <w:bottom w:val="single" w:color="000000" w:sz="12" w:space="0"/>
            </w:tcBorders>
            <w:vAlign w:val="center"/>
          </w:tcPr>
          <w:p w14:paraId="530826B6">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HW08</w:t>
            </w:r>
          </w:p>
        </w:tc>
        <w:tc>
          <w:tcPr>
            <w:tcW w:w="521" w:type="pct"/>
            <w:tcBorders>
              <w:bottom w:val="single" w:color="000000" w:sz="12" w:space="0"/>
            </w:tcBorders>
            <w:vAlign w:val="center"/>
          </w:tcPr>
          <w:p w14:paraId="0A9FA718">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沾染矿物</w:t>
            </w:r>
          </w:p>
          <w:p w14:paraId="3553DCC7">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油的废弃包装物</w:t>
            </w:r>
          </w:p>
        </w:tc>
        <w:tc>
          <w:tcPr>
            <w:tcW w:w="734" w:type="pct"/>
            <w:tcBorders>
              <w:bottom w:val="single" w:color="000000" w:sz="12" w:space="0"/>
            </w:tcBorders>
            <w:vAlign w:val="center"/>
          </w:tcPr>
          <w:p w14:paraId="35CBFDEE">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900-249-08</w:t>
            </w:r>
          </w:p>
        </w:tc>
        <w:tc>
          <w:tcPr>
            <w:tcW w:w="590" w:type="pct"/>
            <w:vMerge w:val="continue"/>
            <w:tcBorders>
              <w:bottom w:val="single" w:color="000000" w:sz="12" w:space="0"/>
            </w:tcBorders>
            <w:vAlign w:val="center"/>
          </w:tcPr>
          <w:p w14:paraId="354905B5">
            <w:pPr>
              <w:pStyle w:val="60"/>
              <w:adjustRightInd w:val="0"/>
              <w:snapToGrid w:val="0"/>
              <w:rPr>
                <w:rFonts w:hint="default" w:ascii="Times New Roman" w:hAnsi="Times New Roman" w:eastAsia="宋体" w:cs="Times New Roman"/>
                <w:sz w:val="21"/>
                <w:szCs w:val="21"/>
                <w:lang w:eastAsia="en-US"/>
              </w:rPr>
            </w:pPr>
          </w:p>
        </w:tc>
        <w:tc>
          <w:tcPr>
            <w:tcW w:w="752" w:type="pct"/>
            <w:vMerge w:val="continue"/>
            <w:tcBorders>
              <w:bottom w:val="single" w:color="000000" w:sz="12" w:space="0"/>
            </w:tcBorders>
            <w:vAlign w:val="center"/>
          </w:tcPr>
          <w:p w14:paraId="1764F959">
            <w:pPr>
              <w:pStyle w:val="60"/>
              <w:adjustRightInd w:val="0"/>
              <w:snapToGrid w:val="0"/>
              <w:rPr>
                <w:rFonts w:hint="default" w:ascii="Times New Roman" w:hAnsi="Times New Roman" w:eastAsia="宋体" w:cs="Times New Roman"/>
                <w:sz w:val="21"/>
                <w:szCs w:val="21"/>
                <w:lang w:eastAsia="en-US"/>
              </w:rPr>
            </w:pPr>
          </w:p>
        </w:tc>
        <w:tc>
          <w:tcPr>
            <w:tcW w:w="417" w:type="pct"/>
            <w:tcBorders>
              <w:bottom w:val="single" w:color="000000" w:sz="12" w:space="0"/>
            </w:tcBorders>
            <w:vAlign w:val="center"/>
          </w:tcPr>
          <w:p w14:paraId="3DDF048B">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150m</w:t>
            </w:r>
            <w:r>
              <w:rPr>
                <w:rFonts w:hint="default" w:ascii="Times New Roman" w:hAnsi="Times New Roman" w:eastAsia="宋体" w:cs="Times New Roman"/>
                <w:sz w:val="21"/>
                <w:szCs w:val="21"/>
                <w:vertAlign w:val="superscript"/>
                <w:lang w:eastAsia="en-US"/>
              </w:rPr>
              <w:t>2</w:t>
            </w:r>
          </w:p>
        </w:tc>
        <w:tc>
          <w:tcPr>
            <w:tcW w:w="416" w:type="pct"/>
            <w:tcBorders>
              <w:bottom w:val="single" w:color="000000" w:sz="12" w:space="0"/>
            </w:tcBorders>
            <w:vAlign w:val="center"/>
          </w:tcPr>
          <w:p w14:paraId="55017A2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堆放</w:t>
            </w:r>
          </w:p>
        </w:tc>
        <w:tc>
          <w:tcPr>
            <w:tcW w:w="524" w:type="pct"/>
            <w:tcBorders>
              <w:bottom w:val="single" w:color="000000" w:sz="12" w:space="0"/>
            </w:tcBorders>
            <w:vAlign w:val="center"/>
          </w:tcPr>
          <w:p w14:paraId="67F92334">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15</w:t>
            </w:r>
          </w:p>
        </w:tc>
        <w:tc>
          <w:tcPr>
            <w:tcW w:w="527" w:type="pct"/>
            <w:tcBorders>
              <w:bottom w:val="single" w:color="000000" w:sz="12" w:space="0"/>
            </w:tcBorders>
            <w:vAlign w:val="center"/>
          </w:tcPr>
          <w:p w14:paraId="5FF3C44E">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一周</w:t>
            </w:r>
          </w:p>
        </w:tc>
      </w:tr>
    </w:tbl>
    <w:p w14:paraId="42367143">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4.6.3危险废物再生利用产品的储存</w:t>
      </w:r>
    </w:p>
    <w:p w14:paraId="29A2ABEE">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项目利用危险废物再生加工后的产品包括翻新的金属桶、金属颗粒、塑料碎片，以上产品在出厂前均需根据《危险废物鉴别标准 通则》（GB 5085.7-2007）及《危险废物鉴别技术规范》（HJ/T298-2019）进行属性鉴别，经检验合格确认不属于危险废物方可出厂外售，因此在产品完成鉴别之前，其属性尚不能确定为一般固废，则对应进行产品暂存的区域同样应按照</w:t>
      </w:r>
      <w:r>
        <w:rPr>
          <w:rFonts w:hint="default" w:ascii="Times New Roman" w:hAnsi="Times New Roman" w:eastAsia="宋体" w:cs="Times New Roman"/>
          <w:sz w:val="24"/>
          <w:szCs w:val="21"/>
        </w:rPr>
        <w:t>《危险废物贮存污染控制标准》（GB18597-2023）相关要求进行设计建设，做到防渗、防风、防雨、防晒等要求，产品按照种类分区分类存放。</w:t>
      </w:r>
    </w:p>
    <w:p w14:paraId="56E58A47">
      <w:pPr>
        <w:pStyle w:val="3"/>
        <w:spacing w:before="0" w:after="0" w:line="360" w:lineRule="auto"/>
        <w:jc w:val="left"/>
        <w:rPr>
          <w:rFonts w:hint="default" w:ascii="Times New Roman" w:hAnsi="Times New Roman" w:eastAsia="宋体" w:cs="Times New Roman"/>
        </w:rPr>
      </w:pPr>
      <w:bookmarkStart w:id="269" w:name="_Toc4745"/>
      <w:r>
        <w:rPr>
          <w:rFonts w:hint="default" w:ascii="Times New Roman" w:hAnsi="Times New Roman" w:eastAsia="宋体" w:cs="Times New Roman"/>
          <w:kern w:val="0"/>
          <w:sz w:val="30"/>
          <w:szCs w:val="28"/>
        </w:rPr>
        <w:t>4.7</w:t>
      </w:r>
      <w:r>
        <w:rPr>
          <w:rFonts w:hint="default" w:ascii="Times New Roman" w:hAnsi="Times New Roman" w:eastAsia="宋体" w:cs="Times New Roman"/>
        </w:rPr>
        <w:t>给排水</w:t>
      </w:r>
      <w:bookmarkEnd w:id="267"/>
      <w:bookmarkEnd w:id="268"/>
      <w:bookmarkEnd w:id="269"/>
    </w:p>
    <w:p w14:paraId="4871A386">
      <w:pPr>
        <w:spacing w:line="360" w:lineRule="auto"/>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拟建项目生产用水量为</w:t>
      </w:r>
      <w:r>
        <w:rPr>
          <w:rFonts w:hint="default" w:ascii="Times New Roman" w:hAnsi="Times New Roman" w:eastAsia="宋体" w:cs="Times New Roman"/>
          <w:sz w:val="24"/>
          <w:szCs w:val="21"/>
          <w:lang w:val="en-US" w:eastAsia="zh-CN"/>
        </w:rPr>
        <w:t>28</w:t>
      </w:r>
      <w:r>
        <w:rPr>
          <w:rFonts w:hint="default" w:ascii="Times New Roman" w:hAnsi="Times New Roman" w:eastAsia="宋体" w:cs="Times New Roman"/>
          <w:sz w:val="24"/>
          <w:szCs w:val="21"/>
        </w:rPr>
        <w:t>m</w:t>
      </w:r>
      <w:r>
        <w:rPr>
          <w:rFonts w:hint="default" w:ascii="Times New Roman" w:hAnsi="Times New Roman" w:eastAsia="宋体" w:cs="Times New Roman"/>
          <w:sz w:val="24"/>
          <w:szCs w:val="21"/>
          <w:vertAlign w:val="superscript"/>
        </w:rPr>
        <w:t>3</w:t>
      </w:r>
      <w:r>
        <w:rPr>
          <w:rFonts w:hint="default" w:ascii="Times New Roman" w:hAnsi="Times New Roman" w:eastAsia="宋体" w:cs="Times New Roman"/>
          <w:sz w:val="24"/>
          <w:szCs w:val="21"/>
        </w:rPr>
        <w:t>/d，</w:t>
      </w:r>
      <w:r>
        <w:rPr>
          <w:rFonts w:hint="default" w:ascii="Times New Roman" w:hAnsi="Times New Roman" w:eastAsia="宋体" w:cs="Times New Roman"/>
          <w:sz w:val="24"/>
          <w:szCs w:val="21"/>
          <w:lang w:val="en-US" w:eastAsia="zh-CN"/>
        </w:rPr>
        <w:t>9240</w:t>
      </w:r>
      <w:r>
        <w:rPr>
          <w:rFonts w:hint="default" w:ascii="Times New Roman" w:hAnsi="Times New Roman" w:eastAsia="宋体" w:cs="Times New Roman"/>
          <w:sz w:val="24"/>
          <w:szCs w:val="21"/>
        </w:rPr>
        <w:t>m</w:t>
      </w:r>
      <w:r>
        <w:rPr>
          <w:rFonts w:hint="default" w:ascii="Times New Roman" w:hAnsi="Times New Roman" w:eastAsia="宋体" w:cs="Times New Roman"/>
          <w:sz w:val="24"/>
          <w:szCs w:val="21"/>
          <w:vertAlign w:val="superscript"/>
        </w:rPr>
        <w:t>3</w:t>
      </w:r>
      <w:r>
        <w:rPr>
          <w:rFonts w:hint="default" w:ascii="Times New Roman" w:hAnsi="Times New Roman" w:eastAsia="宋体" w:cs="Times New Roman"/>
          <w:sz w:val="24"/>
          <w:szCs w:val="21"/>
        </w:rPr>
        <w:t>/a</w:t>
      </w:r>
      <w:r>
        <w:rPr>
          <w:rFonts w:hint="default" w:ascii="Times New Roman" w:hAnsi="Times New Roman" w:eastAsia="宋体" w:cs="Times New Roman"/>
          <w:color w:val="000000"/>
          <w:sz w:val="24"/>
          <w:szCs w:val="24"/>
        </w:rPr>
        <w:t>，生活用水量为</w:t>
      </w:r>
      <w:r>
        <w:rPr>
          <w:rFonts w:hint="default" w:ascii="Times New Roman" w:hAnsi="Times New Roman" w:eastAsia="宋体" w:cs="Times New Roman"/>
          <w:sz w:val="24"/>
        </w:rPr>
        <w:t>2</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/d</w:t>
      </w:r>
      <w:r>
        <w:rPr>
          <w:rFonts w:hint="default" w:ascii="Times New Roman" w:hAnsi="Times New Roman" w:eastAsia="宋体" w:cs="Times New Roman"/>
          <w:sz w:val="24"/>
        </w:rPr>
        <w:t>、660</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/a</w:t>
      </w:r>
      <w:r>
        <w:rPr>
          <w:rFonts w:hint="default" w:ascii="Times New Roman" w:hAnsi="Times New Roman" w:eastAsia="宋体" w:cs="Times New Roman"/>
          <w:color w:val="000000"/>
          <w:sz w:val="24"/>
          <w:szCs w:val="24"/>
        </w:rPr>
        <w:t>，由城市水厂提供，管径为DN200，市政给水压力不低于0.3Mpa，水量和水压均能满足本工程的需要。</w:t>
      </w:r>
    </w:p>
    <w:p w14:paraId="7A6F2003">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本项目实行雨污分流</w:t>
      </w:r>
      <w:r>
        <w:rPr>
          <w:rFonts w:hint="default" w:ascii="Times New Roman" w:hAnsi="Times New Roman" w:eastAsia="宋体" w:cs="Times New Roman"/>
          <w:color w:val="000000"/>
          <w:sz w:val="24"/>
          <w:szCs w:val="24"/>
          <w:u w:val="single"/>
          <w:lang w:val="en-US" w:eastAsia="zh-CN"/>
        </w:rPr>
        <w:t>和污污分流</w:t>
      </w:r>
      <w:r>
        <w:rPr>
          <w:rFonts w:hint="default" w:ascii="Times New Roman" w:hAnsi="Times New Roman" w:eastAsia="宋体" w:cs="Times New Roman"/>
          <w:color w:val="000000"/>
          <w:sz w:val="24"/>
          <w:szCs w:val="24"/>
          <w:u w:val="single"/>
        </w:rPr>
        <w:t>制。</w:t>
      </w:r>
    </w:p>
    <w:p w14:paraId="3BDD4DF6">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①雨水系统：全厂区敷设雨水管网，</w:t>
      </w:r>
      <w:r>
        <w:rPr>
          <w:rFonts w:hint="default" w:ascii="Times New Roman" w:hAnsi="Times New Roman" w:eastAsia="宋体" w:cs="Times New Roman"/>
          <w:color w:val="000000"/>
          <w:sz w:val="24"/>
          <w:szCs w:val="24"/>
          <w:u w:val="single"/>
          <w:lang w:val="en-US" w:eastAsia="zh-CN"/>
        </w:rPr>
        <w:t>初期雨水经收集后进入初期雨水池，再经自建的污水处理站处理后排放，后期</w:t>
      </w:r>
      <w:r>
        <w:rPr>
          <w:rFonts w:hint="default" w:ascii="Times New Roman" w:hAnsi="Times New Roman" w:eastAsia="宋体" w:cs="Times New Roman"/>
          <w:color w:val="000000"/>
          <w:sz w:val="24"/>
          <w:szCs w:val="24"/>
          <w:u w:val="single"/>
        </w:rPr>
        <w:t>雨水</w:t>
      </w:r>
      <w:r>
        <w:rPr>
          <w:rFonts w:hint="default" w:ascii="Times New Roman" w:hAnsi="Times New Roman" w:eastAsia="宋体" w:cs="Times New Roman"/>
          <w:color w:val="000000"/>
          <w:sz w:val="24"/>
          <w:szCs w:val="24"/>
          <w:u w:val="single"/>
          <w:lang w:val="en-US" w:eastAsia="zh-CN"/>
        </w:rPr>
        <w:t>直接经</w:t>
      </w:r>
      <w:r>
        <w:rPr>
          <w:rFonts w:hint="default" w:ascii="Times New Roman" w:hAnsi="Times New Roman" w:eastAsia="宋体" w:cs="Times New Roman"/>
          <w:color w:val="000000"/>
          <w:sz w:val="24"/>
          <w:szCs w:val="24"/>
          <w:u w:val="single"/>
        </w:rPr>
        <w:t>市政雨水管网最终排入湘江。</w:t>
      </w:r>
    </w:p>
    <w:p w14:paraId="7AFEB249">
      <w:pPr>
        <w:spacing w:line="360" w:lineRule="auto"/>
        <w:ind w:firstLine="480" w:firstLineChars="200"/>
        <w:rPr>
          <w:rFonts w:hint="default" w:ascii="Times New Roman" w:hAnsi="Times New Roman" w:eastAsia="宋体" w:cs="Times New Roman"/>
          <w:color w:val="000000"/>
          <w:sz w:val="24"/>
          <w:szCs w:val="24"/>
          <w:u w:val="single"/>
          <w:lang w:eastAsia="zh-CN"/>
        </w:rPr>
      </w:pPr>
      <w:r>
        <w:rPr>
          <w:rFonts w:hint="default" w:ascii="Times New Roman" w:hAnsi="Times New Roman" w:eastAsia="宋体" w:cs="Times New Roman"/>
          <w:color w:val="000000"/>
          <w:sz w:val="24"/>
          <w:szCs w:val="24"/>
          <w:u w:val="single"/>
        </w:rPr>
        <w:t>②生产废水：</w:t>
      </w:r>
      <w:r>
        <w:rPr>
          <w:rFonts w:hint="default" w:ascii="Times New Roman" w:hAnsi="Times New Roman" w:eastAsia="宋体" w:cs="Times New Roman"/>
          <w:color w:val="000000"/>
          <w:sz w:val="24"/>
          <w:szCs w:val="24"/>
          <w:u w:val="single"/>
          <w:lang w:val="en-US" w:eastAsia="zh-CN"/>
        </w:rPr>
        <w:t>项目</w:t>
      </w:r>
      <w:r>
        <w:rPr>
          <w:rFonts w:hint="default" w:ascii="Times New Roman" w:hAnsi="Times New Roman" w:eastAsia="宋体" w:cs="Times New Roman"/>
          <w:sz w:val="24"/>
          <w:szCs w:val="21"/>
          <w:u w:val="single"/>
        </w:rPr>
        <w:t>排污系数取0.8，则废水总量为</w:t>
      </w:r>
      <w:r>
        <w:rPr>
          <w:rFonts w:hint="default" w:ascii="Times New Roman" w:hAnsi="Times New Roman" w:eastAsia="宋体" w:cs="Times New Roman"/>
          <w:sz w:val="24"/>
          <w:szCs w:val="21"/>
          <w:u w:val="single"/>
          <w:lang w:val="en-US" w:eastAsia="zh-CN"/>
        </w:rPr>
        <w:t>22.4</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/d（</w:t>
      </w:r>
      <w:r>
        <w:rPr>
          <w:rFonts w:hint="default" w:ascii="Times New Roman" w:hAnsi="Times New Roman" w:eastAsia="宋体" w:cs="Times New Roman"/>
          <w:sz w:val="24"/>
          <w:szCs w:val="21"/>
          <w:u w:val="single"/>
          <w:lang w:val="en-US" w:eastAsia="zh-CN"/>
        </w:rPr>
        <w:t>7392</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/a）</w:t>
      </w:r>
      <w:r>
        <w:rPr>
          <w:rFonts w:hint="default" w:ascii="Times New Roman" w:hAnsi="Times New Roman" w:eastAsia="宋体" w:cs="Times New Roman"/>
          <w:color w:val="000000"/>
          <w:sz w:val="24"/>
          <w:szCs w:val="24"/>
          <w:u w:val="single"/>
          <w:lang w:eastAsia="zh-CN"/>
        </w:rPr>
        <w:t>；</w:t>
      </w:r>
      <w:r>
        <w:rPr>
          <w:rFonts w:hint="default" w:ascii="Times New Roman" w:hAnsi="Times New Roman" w:eastAsia="宋体" w:cs="Times New Roman"/>
          <w:sz w:val="24"/>
          <w:szCs w:val="21"/>
          <w:u w:val="single"/>
        </w:rPr>
        <w:t>项目各生产线废水统一通过厂区内的排水管道汇入项目自建的污水处理站，经处理达标后</w:t>
      </w:r>
      <w:r>
        <w:rPr>
          <w:rFonts w:hint="default" w:ascii="Times New Roman" w:hAnsi="Times New Roman" w:eastAsia="宋体" w:cs="Times New Roman"/>
          <w:sz w:val="24"/>
          <w:szCs w:val="21"/>
          <w:u w:val="single"/>
          <w:lang w:val="en-US" w:eastAsia="zh-CN"/>
        </w:rPr>
        <w:t>暂存至污水处理站配套的蓄水池，之后全部回用于危险废物的清洗工序</w:t>
      </w: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根据建设单位的使用计划，生产废水拟回用一次后再次进入污水处理站，处理达到</w:t>
      </w:r>
      <w:r>
        <w:rPr>
          <w:rFonts w:hint="default" w:ascii="Times New Roman" w:hAnsi="Times New Roman" w:eastAsia="宋体" w:cs="Times New Roman"/>
          <w:sz w:val="24"/>
          <w:szCs w:val="21"/>
          <w:u w:val="single"/>
        </w:rPr>
        <w:t>经处理达</w:t>
      </w:r>
      <w:r>
        <w:rPr>
          <w:rFonts w:hint="default" w:ascii="Times New Roman" w:hAnsi="Times New Roman" w:eastAsia="宋体" w:cs="Times New Roman"/>
          <w:sz w:val="24"/>
          <w:szCs w:val="21"/>
          <w:u w:val="single"/>
          <w:lang w:val="en-US" w:eastAsia="zh-CN"/>
        </w:rPr>
        <w:t>到</w:t>
      </w:r>
      <w:r>
        <w:rPr>
          <w:rFonts w:hint="default" w:ascii="Times New Roman" w:hAnsi="Times New Roman" w:eastAsia="宋体" w:cs="Times New Roman"/>
          <w:sz w:val="24"/>
          <w:szCs w:val="21"/>
          <w:u w:val="single"/>
        </w:rPr>
        <w:t>《污水综合排放标准》（GB8978-1996）表4三级标准，</w:t>
      </w:r>
      <w:r>
        <w:rPr>
          <w:rFonts w:hint="default" w:ascii="Times New Roman" w:hAnsi="Times New Roman" w:eastAsia="宋体" w:cs="Times New Roman"/>
          <w:sz w:val="24"/>
          <w:szCs w:val="21"/>
          <w:u w:val="single"/>
          <w:lang w:val="en-US" w:eastAsia="zh-CN"/>
        </w:rPr>
        <w:t>且</w:t>
      </w:r>
      <w:r>
        <w:rPr>
          <w:rFonts w:hint="default" w:ascii="Times New Roman" w:hAnsi="Times New Roman" w:eastAsia="宋体" w:cs="Times New Roman"/>
          <w:sz w:val="24"/>
          <w:szCs w:val="21"/>
          <w:u w:val="single"/>
        </w:rPr>
        <w:t>同时满足松木污水处理厂进水水质要求后排入园区污水管网</w:t>
      </w:r>
      <w:r>
        <w:rPr>
          <w:rFonts w:hint="default" w:ascii="Times New Roman" w:hAnsi="Times New Roman" w:eastAsia="宋体" w:cs="Times New Roman"/>
          <w:sz w:val="24"/>
          <w:szCs w:val="21"/>
          <w:u w:val="single"/>
          <w:lang w:val="en-US" w:eastAsia="zh-CN"/>
        </w:rPr>
        <w:t>进入松木污水处理厂</w:t>
      </w:r>
      <w:r>
        <w:rPr>
          <w:rFonts w:hint="default" w:ascii="Times New Roman" w:hAnsi="Times New Roman" w:eastAsia="宋体" w:cs="Times New Roman"/>
          <w:sz w:val="24"/>
          <w:szCs w:val="21"/>
          <w:u w:val="single"/>
          <w:lang w:eastAsia="zh-CN"/>
        </w:rPr>
        <w:t>。</w:t>
      </w:r>
    </w:p>
    <w:p w14:paraId="380125FB">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③生活排水系统：本项目生活污水经收集预处理后通过园区污水管网排入</w:t>
      </w:r>
      <w:r>
        <w:rPr>
          <w:rFonts w:hint="default" w:ascii="Times New Roman" w:hAnsi="Times New Roman" w:eastAsia="宋体" w:cs="Times New Roman"/>
          <w:color w:val="000000"/>
          <w:sz w:val="24"/>
          <w:szCs w:val="24"/>
          <w:u w:val="single"/>
          <w:lang w:val="en-US" w:eastAsia="zh-CN"/>
        </w:rPr>
        <w:t>松木</w:t>
      </w:r>
      <w:r>
        <w:rPr>
          <w:rFonts w:hint="default" w:ascii="Times New Roman" w:hAnsi="Times New Roman" w:eastAsia="宋体" w:cs="Times New Roman"/>
          <w:color w:val="000000"/>
          <w:sz w:val="24"/>
          <w:szCs w:val="24"/>
          <w:u w:val="single"/>
        </w:rPr>
        <w:t>污水处理厂。</w:t>
      </w:r>
    </w:p>
    <w:p w14:paraId="22B6A9D3">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color w:val="000000"/>
          <w:sz w:val="24"/>
          <w:szCs w:val="24"/>
          <w:u w:val="single"/>
        </w:rPr>
        <w:t>④消防废水：本项目消防废水经收集后进入事故池，消防废水收集管渠与雨水管共用，收集管末端设有阀门，通过阀门控制使事故废水全部进入事故池</w:t>
      </w:r>
      <w:r>
        <w:rPr>
          <w:rFonts w:hint="default" w:ascii="Times New Roman" w:hAnsi="Times New Roman" w:eastAsia="宋体" w:cs="Times New Roman"/>
          <w:sz w:val="24"/>
          <w:u w:val="single"/>
        </w:rPr>
        <w:t>。</w:t>
      </w:r>
    </w:p>
    <w:p w14:paraId="12ED3431">
      <w:pPr>
        <w:rPr>
          <w:rFonts w:hint="default" w:ascii="Times New Roman" w:hAnsi="Times New Roman" w:eastAsia="宋体" w:cs="Times New Roman"/>
          <w:sz w:val="24"/>
          <w:szCs w:val="24"/>
          <w:u w:val="single"/>
        </w:rPr>
      </w:pPr>
      <w:r>
        <w:rPr>
          <w:rFonts w:hint="default" w:ascii="Times New Roman" w:hAnsi="Times New Roman" w:eastAsia="宋体" w:cs="Times New Roman"/>
          <w:u w:val="single"/>
        </w:rPr>
        <w:drawing>
          <wp:inline distT="0" distB="0" distL="0" distR="0">
            <wp:extent cx="5274310" cy="156337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a:stretch>
                      <a:fillRect/>
                    </a:stretch>
                  </pic:blipFill>
                  <pic:spPr>
                    <a:xfrm>
                      <a:off x="0" y="0"/>
                      <a:ext cx="5274310" cy="1563370"/>
                    </a:xfrm>
                    <a:prstGeom prst="rect">
                      <a:avLst/>
                    </a:prstGeom>
                  </pic:spPr>
                </pic:pic>
              </a:graphicData>
            </a:graphic>
          </wp:inline>
        </w:drawing>
      </w:r>
    </w:p>
    <w:p w14:paraId="4FBAFED2">
      <w:pPr>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图4.7-1</w:t>
      </w:r>
      <w:r>
        <w:rPr>
          <w:rFonts w:hint="default" w:ascii="Times New Roman" w:hAnsi="Times New Roman" w:eastAsia="宋体" w:cs="Times New Roman"/>
          <w:b/>
          <w:bCs/>
          <w:szCs w:val="21"/>
          <w:u w:val="single"/>
        </w:rPr>
        <w:tab/>
      </w:r>
      <w:r>
        <w:rPr>
          <w:rFonts w:hint="default" w:ascii="Times New Roman" w:hAnsi="Times New Roman" w:eastAsia="宋体" w:cs="Times New Roman"/>
          <w:b/>
          <w:bCs/>
          <w:szCs w:val="21"/>
          <w:u w:val="single"/>
        </w:rPr>
        <w:t xml:space="preserve"> 企业雨污分流系统设置情况示意图</w:t>
      </w:r>
    </w:p>
    <w:p w14:paraId="5D5D0299">
      <w:pPr>
        <w:pStyle w:val="3"/>
        <w:spacing w:before="0" w:after="0" w:line="360" w:lineRule="auto"/>
        <w:jc w:val="left"/>
        <w:rPr>
          <w:rFonts w:hint="default" w:ascii="Times New Roman" w:hAnsi="Times New Roman" w:eastAsia="宋体" w:cs="Times New Roman"/>
        </w:rPr>
      </w:pPr>
      <w:bookmarkStart w:id="270" w:name="_Toc123733092"/>
      <w:bookmarkStart w:id="271" w:name="_Toc23316"/>
      <w:bookmarkStart w:id="272" w:name="_Toc106961887"/>
      <w:r>
        <w:rPr>
          <w:rFonts w:hint="default" w:ascii="Times New Roman" w:hAnsi="Times New Roman" w:eastAsia="宋体" w:cs="Times New Roman"/>
          <w:kern w:val="0"/>
          <w:sz w:val="30"/>
          <w:szCs w:val="28"/>
        </w:rPr>
        <w:t>4.8</w:t>
      </w:r>
      <w:r>
        <w:rPr>
          <w:rFonts w:hint="default" w:ascii="Times New Roman" w:hAnsi="Times New Roman" w:eastAsia="宋体" w:cs="Times New Roman"/>
        </w:rPr>
        <w:t>总平面布置</w:t>
      </w:r>
      <w:bookmarkEnd w:id="270"/>
      <w:bookmarkEnd w:id="271"/>
      <w:bookmarkEnd w:id="272"/>
    </w:p>
    <w:p w14:paraId="6065D92B">
      <w:pPr>
        <w:tabs>
          <w:tab w:val="left" w:pos="1021"/>
        </w:tabs>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color w:val="000000"/>
          <w:sz w:val="24"/>
          <w:szCs w:val="24"/>
        </w:rPr>
        <w:t>项目厂区共布置2栋车间，其中北侧为A栋、南侧为B栋，</w:t>
      </w:r>
      <w:r>
        <w:rPr>
          <w:rFonts w:hint="default" w:ascii="Times New Roman" w:hAnsi="Times New Roman" w:eastAsia="宋体" w:cs="Times New Roman"/>
          <w:sz w:val="24"/>
          <w:szCs w:val="24"/>
          <w:lang w:eastAsia="zh-CN"/>
        </w:rPr>
        <w:t>危险废物综合处置车间</w:t>
      </w:r>
      <w:r>
        <w:rPr>
          <w:rFonts w:hint="default" w:ascii="Times New Roman" w:hAnsi="Times New Roman" w:eastAsia="宋体" w:cs="Times New Roman"/>
          <w:sz w:val="24"/>
          <w:szCs w:val="24"/>
        </w:rPr>
        <w:t>（A#栋）用于布置本次扩建新增的危险废物再生利用生产线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A#栋北区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以及</w:t>
      </w:r>
      <w:r>
        <w:rPr>
          <w:rFonts w:hint="default" w:ascii="Times New Roman" w:hAnsi="Times New Roman" w:eastAsia="宋体" w:cs="Times New Roman"/>
          <w:sz w:val="24"/>
          <w:szCs w:val="24"/>
        </w:rPr>
        <w:t>本次整体搬迁并扩建的</w:t>
      </w:r>
      <w:r>
        <w:rPr>
          <w:rFonts w:hint="default" w:ascii="Times New Roman" w:hAnsi="Times New Roman" w:eastAsia="宋体" w:cs="Times New Roman"/>
          <w:color w:val="000000"/>
          <w:sz w:val="24"/>
          <w:szCs w:val="24"/>
        </w:rPr>
        <w:t>“年收集贮存9800吨危险废物项目”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A#栋北区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rPr>
        <w:t>，整体搬迁后的贮存库布置拟参照搬迁前的布置方案进行（具体见“3.3.2现有工程总平面布置”）</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lang w:val="en-US" w:eastAsia="zh-CN"/>
        </w:rPr>
        <w:t>预留二期车间</w:t>
      </w:r>
      <w:r>
        <w:rPr>
          <w:rFonts w:hint="default" w:ascii="Times New Roman" w:hAnsi="Times New Roman" w:eastAsia="宋体" w:cs="Times New Roman"/>
          <w:sz w:val="24"/>
          <w:szCs w:val="24"/>
        </w:rPr>
        <w:t>（B#栋）</w:t>
      </w:r>
      <w:r>
        <w:rPr>
          <w:rFonts w:hint="default" w:ascii="Times New Roman" w:hAnsi="Times New Roman" w:eastAsia="宋体" w:cs="Times New Roman"/>
          <w:sz w:val="24"/>
          <w:szCs w:val="24"/>
          <w:lang w:val="en-US" w:eastAsia="zh-CN"/>
        </w:rPr>
        <w:t>仅作为后续项目预留，不设置相关生产内容</w:t>
      </w:r>
      <w:r>
        <w:rPr>
          <w:rFonts w:hint="default" w:ascii="Times New Roman" w:hAnsi="Times New Roman" w:eastAsia="宋体" w:cs="Times New Roman"/>
          <w:color w:val="000000"/>
          <w:sz w:val="24"/>
          <w:szCs w:val="24"/>
        </w:rPr>
        <w:t>。</w:t>
      </w:r>
    </w:p>
    <w:p w14:paraId="3E22FBFA">
      <w:pPr>
        <w:tabs>
          <w:tab w:val="left" w:pos="1021"/>
        </w:tabs>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A栋中部由北往南依次设置废包装桶自动化包装容器循环再生生产线1条、废塑料包装物破碎清洗线1条、废金属包装容器破碎清洗生产线1条；西侧设置为危废原料的装卸、分拣、暂存区；东侧设置为产品存放区。</w:t>
      </w:r>
    </w:p>
    <w:p w14:paraId="40A91476">
      <w:pPr>
        <w:tabs>
          <w:tab w:val="left" w:pos="1021"/>
        </w:tabs>
        <w:spacing w:line="360" w:lineRule="auto"/>
        <w:ind w:firstLine="480" w:firstLineChars="200"/>
        <w:jc w:val="left"/>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项目污水处理站布置在厂区的东南角，项目东北角布置为办公区，厂区共设置有2个出入口，北侧为主出入口，东侧为次出入口。</w:t>
      </w:r>
      <w:r>
        <w:rPr>
          <w:rFonts w:hint="default" w:ascii="Times New Roman" w:hAnsi="Times New Roman" w:eastAsia="宋体" w:cs="Times New Roman"/>
          <w:sz w:val="24"/>
          <w:szCs w:val="21"/>
        </w:rPr>
        <w:t>项目总平面布局既考虑了生产工艺的连贯性，又满足环保、消防和安全的要求，并充分考虑了生产和运输需要。物流、人流、车流通畅，装置之间布局合理。项目总平面布置功能分区明确，流程通畅，管线短捷，管理方便。</w:t>
      </w:r>
    </w:p>
    <w:p w14:paraId="389047C9">
      <w:pPr>
        <w:pStyle w:val="3"/>
        <w:spacing w:before="0" w:after="0" w:line="360" w:lineRule="auto"/>
        <w:jc w:val="left"/>
        <w:rPr>
          <w:rFonts w:hint="default" w:ascii="Times New Roman" w:hAnsi="Times New Roman" w:eastAsia="宋体" w:cs="Times New Roman"/>
        </w:rPr>
      </w:pPr>
      <w:bookmarkStart w:id="273" w:name="_Toc123733093"/>
      <w:bookmarkStart w:id="274" w:name="_Toc22832"/>
      <w:r>
        <w:rPr>
          <w:rFonts w:hint="default" w:ascii="Times New Roman" w:hAnsi="Times New Roman" w:eastAsia="宋体" w:cs="Times New Roman"/>
          <w:kern w:val="0"/>
          <w:sz w:val="30"/>
          <w:szCs w:val="28"/>
        </w:rPr>
        <w:t>4.9</w:t>
      </w:r>
      <w:r>
        <w:rPr>
          <w:rFonts w:hint="default" w:ascii="Times New Roman" w:hAnsi="Times New Roman" w:eastAsia="宋体" w:cs="Times New Roman"/>
        </w:rPr>
        <w:t>劳动定员及生产制度</w:t>
      </w:r>
      <w:bookmarkEnd w:id="273"/>
      <w:bookmarkEnd w:id="274"/>
    </w:p>
    <w:p w14:paraId="05EB9158">
      <w:pPr>
        <w:tabs>
          <w:tab w:val="left" w:pos="1021"/>
        </w:tabs>
        <w:spacing w:line="440" w:lineRule="exact"/>
        <w:ind w:firstLine="480" w:firstLineChars="200"/>
        <w:jc w:val="left"/>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24"/>
          <w:szCs w:val="24"/>
        </w:rPr>
        <w:t>项目劳动定员50人，</w:t>
      </w:r>
      <w:bookmarkStart w:id="275" w:name="_Hlk129254772"/>
      <w:r>
        <w:rPr>
          <w:rFonts w:hint="default" w:ascii="Times New Roman" w:hAnsi="Times New Roman" w:eastAsia="宋体" w:cs="Times New Roman"/>
          <w:color w:val="000000"/>
          <w:sz w:val="24"/>
          <w:szCs w:val="24"/>
        </w:rPr>
        <w:t>年运行330天，</w:t>
      </w:r>
      <w:bookmarkEnd w:id="275"/>
      <w:r>
        <w:rPr>
          <w:rFonts w:hint="default" w:ascii="Times New Roman" w:hAnsi="Times New Roman" w:eastAsia="宋体" w:cs="Times New Roman"/>
          <w:sz w:val="24"/>
          <w:szCs w:val="21"/>
        </w:rPr>
        <w:t>2班制，每班8h，年运行5280h</w:t>
      </w:r>
      <w:r>
        <w:rPr>
          <w:rFonts w:hint="default" w:ascii="Times New Roman" w:hAnsi="Times New Roman" w:eastAsia="宋体" w:cs="Times New Roman"/>
          <w:color w:val="000000"/>
          <w:sz w:val="24"/>
          <w:szCs w:val="24"/>
        </w:rPr>
        <w:t>；</w:t>
      </w:r>
      <w:r>
        <w:rPr>
          <w:rFonts w:hint="default" w:ascii="Times New Roman" w:hAnsi="Times New Roman" w:eastAsia="宋体" w:cs="Times New Roman"/>
          <w:sz w:val="24"/>
          <w:szCs w:val="24"/>
        </w:rPr>
        <w:t>项目内设置员工食堂，不设置宿舍。</w:t>
      </w:r>
    </w:p>
    <w:p w14:paraId="1D6C222A">
      <w:pPr>
        <w:pStyle w:val="2"/>
        <w:spacing w:before="0" w:after="0" w:line="360" w:lineRule="auto"/>
        <w:rPr>
          <w:rFonts w:hint="default" w:ascii="Times New Roman" w:hAnsi="Times New Roman" w:eastAsia="宋体" w:cs="Times New Roman"/>
        </w:rPr>
      </w:pPr>
      <w:bookmarkStart w:id="276" w:name="_Toc123733094"/>
      <w:bookmarkStart w:id="277" w:name="_Toc29718"/>
      <w:bookmarkStart w:id="278" w:name="_Toc106961888"/>
      <w:r>
        <w:rPr>
          <w:rFonts w:hint="default" w:ascii="Times New Roman" w:hAnsi="Times New Roman" w:eastAsia="宋体" w:cs="Times New Roman"/>
        </w:rPr>
        <w:t>5工程分析</w:t>
      </w:r>
      <w:bookmarkEnd w:id="276"/>
      <w:bookmarkEnd w:id="277"/>
      <w:bookmarkEnd w:id="278"/>
    </w:p>
    <w:p w14:paraId="50977CF6">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本项目搬迁部分系将现有的“年收集贮存9800吨危险废物项目”整体搬迁至本次新建的危险废物暂存库内，危险废物的收集、贮存工艺流程、产排污环节均与搬迁前完全一致。本次搬迁后，项目收集、贮存的危险废物种类有所增加，</w:t>
      </w:r>
      <w:r>
        <w:rPr>
          <w:rFonts w:hint="default" w:ascii="Times New Roman" w:hAnsi="Times New Roman" w:eastAsia="宋体" w:cs="Times New Roman"/>
          <w:sz w:val="24"/>
          <w:szCs w:val="24"/>
        </w:rPr>
        <w:t>危险废物总的收集、贮存量由9800t/a提升至</w:t>
      </w:r>
      <w:r>
        <w:rPr>
          <w:rFonts w:hint="default" w:ascii="Times New Roman" w:hAnsi="Times New Roman" w:eastAsia="宋体" w:cs="Times New Roman"/>
          <w:sz w:val="24"/>
          <w:szCs w:val="24"/>
          <w:lang w:eastAsia="zh-CN"/>
        </w:rPr>
        <w:t>14400</w:t>
      </w:r>
      <w:r>
        <w:rPr>
          <w:rFonts w:hint="default" w:ascii="Times New Roman" w:hAnsi="Times New Roman" w:eastAsia="宋体" w:cs="Times New Roman"/>
          <w:sz w:val="24"/>
          <w:szCs w:val="24"/>
        </w:rPr>
        <w:t>t/a，危险废物在贮存库内的最大贮存量基本不变，由143t提升至158t；对照《</w:t>
      </w:r>
      <w:r>
        <w:rPr>
          <w:rFonts w:hint="default" w:ascii="Times New Roman" w:hAnsi="Times New Roman" w:eastAsia="宋体" w:cs="Times New Roman"/>
          <w:sz w:val="24"/>
          <w:szCs w:val="28"/>
        </w:rPr>
        <w:t>年收集贮存9800吨危险废物项目环境影响报告表</w:t>
      </w:r>
      <w:r>
        <w:rPr>
          <w:rFonts w:hint="default" w:ascii="Times New Roman" w:hAnsi="Times New Roman" w:eastAsia="宋体" w:cs="Times New Roman"/>
          <w:sz w:val="24"/>
          <w:szCs w:val="24"/>
        </w:rPr>
        <w:t>》，该项目搬迁后主要产排污环节一致，包括废矿物油储罐大小呼吸和其他危废的挥发（根据最大贮存量计算），由于危险废物在贮存库内的最大贮存量基本一致，因此搬迁后主要污染物的产生及排放情况与搬迁前一致</w:t>
      </w:r>
      <w:r>
        <w:rPr>
          <w:rFonts w:hint="default" w:ascii="Times New Roman" w:hAnsi="Times New Roman" w:eastAsia="宋体" w:cs="Times New Roman"/>
          <w:sz w:val="24"/>
          <w:szCs w:val="28"/>
        </w:rPr>
        <w:t>（详见章节3.3.5现有工程生产工艺、3.5现有工程污染物排放情况），此部分不进行重复叙述。</w:t>
      </w:r>
    </w:p>
    <w:p w14:paraId="5D037EFD">
      <w:pPr>
        <w:spacing w:line="360" w:lineRule="auto"/>
        <w:ind w:firstLine="482" w:firstLineChars="200"/>
        <w:rPr>
          <w:rFonts w:hint="default" w:ascii="Times New Roman" w:hAnsi="Times New Roman" w:eastAsia="宋体" w:cs="Times New Roman"/>
          <w:b/>
          <w:bCs/>
          <w:sz w:val="24"/>
          <w:szCs w:val="28"/>
        </w:rPr>
      </w:pPr>
      <w:r>
        <w:rPr>
          <w:rFonts w:hint="default" w:ascii="Times New Roman" w:hAnsi="Times New Roman" w:eastAsia="宋体" w:cs="Times New Roman"/>
          <w:b/>
          <w:bCs/>
          <w:sz w:val="24"/>
          <w:szCs w:val="28"/>
        </w:rPr>
        <w:t>本次工程分析将主要针对扩建部分的危险废物综合利用进行分析。</w:t>
      </w:r>
    </w:p>
    <w:p w14:paraId="24623113">
      <w:pPr>
        <w:pStyle w:val="3"/>
        <w:spacing w:before="0" w:after="0" w:line="360" w:lineRule="auto"/>
        <w:jc w:val="left"/>
        <w:rPr>
          <w:rFonts w:hint="default" w:ascii="Times New Roman" w:hAnsi="Times New Roman" w:eastAsia="宋体" w:cs="Times New Roman"/>
        </w:rPr>
      </w:pPr>
      <w:bookmarkStart w:id="279" w:name="_Toc123733095"/>
      <w:bookmarkStart w:id="280" w:name="_Toc106961889"/>
      <w:bookmarkStart w:id="281" w:name="_Toc20068"/>
      <w:r>
        <w:rPr>
          <w:rFonts w:hint="default" w:ascii="Times New Roman" w:hAnsi="Times New Roman" w:eastAsia="宋体" w:cs="Times New Roman"/>
          <w:kern w:val="0"/>
          <w:sz w:val="30"/>
          <w:szCs w:val="28"/>
        </w:rPr>
        <w:t>5.1生产</w:t>
      </w:r>
      <w:r>
        <w:rPr>
          <w:rFonts w:hint="default" w:ascii="Times New Roman" w:hAnsi="Times New Roman" w:eastAsia="宋体" w:cs="Times New Roman"/>
        </w:rPr>
        <w:t>工艺分析</w:t>
      </w:r>
      <w:bookmarkEnd w:id="279"/>
      <w:bookmarkEnd w:id="280"/>
      <w:bookmarkEnd w:id="281"/>
    </w:p>
    <w:p w14:paraId="5BD3EA66">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5.1.1危险废物进场分拣、预处理、暂存流程</w:t>
      </w:r>
    </w:p>
    <w:p w14:paraId="2941476F">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本项目扩建部分主要进行危险废物（废金属包装容器、废塑料包装容器及废金属机油滤芯）的收集综合利用。</w:t>
      </w:r>
    </w:p>
    <w:p w14:paraId="49223945">
      <w:pPr>
        <w:tabs>
          <w:tab w:val="left" w:pos="1021"/>
        </w:tabs>
        <w:spacing w:line="440" w:lineRule="exact"/>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（1）危险废物进场分拣、预处理、暂存流程</w:t>
      </w:r>
    </w:p>
    <w:p w14:paraId="243661C7">
      <w:pPr>
        <w:tabs>
          <w:tab w:val="left" w:pos="1021"/>
        </w:tabs>
        <w:spacing w:line="440" w:lineRule="exact"/>
        <w:ind w:firstLine="480" w:firstLineChars="200"/>
        <w:jc w:val="left"/>
        <w:rPr>
          <w:rFonts w:hint="default" w:ascii="Times New Roman" w:hAnsi="Times New Roman" w:eastAsia="宋体" w:cs="Times New Roman"/>
          <w:b/>
          <w:bCs/>
          <w:sz w:val="24"/>
          <w:szCs w:val="24"/>
          <w:u w:val="single"/>
          <w:lang w:val="en-US" w:eastAsia="zh-CN"/>
        </w:rPr>
      </w:pPr>
      <w:r>
        <w:rPr>
          <w:rFonts w:hint="default" w:ascii="Times New Roman" w:hAnsi="Times New Roman" w:eastAsia="宋体" w:cs="Times New Roman"/>
          <w:sz w:val="24"/>
          <w:szCs w:val="24"/>
          <w:u w:val="single"/>
          <w:lang w:val="en-US" w:eastAsia="zh-CN"/>
        </w:rPr>
        <w:t>本项目</w:t>
      </w:r>
      <w:r>
        <w:rPr>
          <w:rFonts w:hint="default" w:ascii="Times New Roman" w:hAnsi="Times New Roman" w:eastAsia="宋体" w:cs="Times New Roman"/>
          <w:sz w:val="24"/>
          <w:szCs w:val="24"/>
          <w:u w:val="single"/>
        </w:rPr>
        <w:t>扩建部分危险废物进场</w:t>
      </w:r>
      <w:r>
        <w:rPr>
          <w:rFonts w:hint="default" w:ascii="Times New Roman" w:hAnsi="Times New Roman" w:eastAsia="宋体" w:cs="Times New Roman"/>
          <w:sz w:val="24"/>
          <w:szCs w:val="24"/>
          <w:u w:val="single"/>
          <w:lang w:val="en-US" w:eastAsia="zh-CN"/>
        </w:rPr>
        <w:t>卸料、</w:t>
      </w:r>
      <w:r>
        <w:rPr>
          <w:rFonts w:hint="default" w:ascii="Times New Roman" w:hAnsi="Times New Roman" w:eastAsia="宋体" w:cs="Times New Roman"/>
          <w:sz w:val="24"/>
          <w:szCs w:val="24"/>
          <w:u w:val="single"/>
        </w:rPr>
        <w:t>分拣、预处理、暂存</w:t>
      </w:r>
      <w:r>
        <w:rPr>
          <w:rFonts w:hint="default" w:ascii="Times New Roman" w:hAnsi="Times New Roman" w:eastAsia="宋体" w:cs="Times New Roman"/>
          <w:sz w:val="24"/>
          <w:szCs w:val="24"/>
          <w:u w:val="single"/>
          <w:lang w:val="en-US" w:eastAsia="zh-CN"/>
        </w:rPr>
        <w:t>均在危险危废综合处置车间（A#栋）的危险废物再生利用区内进行。</w:t>
      </w:r>
    </w:p>
    <w:p w14:paraId="27EE2336">
      <w:pPr>
        <w:tabs>
          <w:tab w:val="left" w:pos="1021"/>
        </w:tabs>
        <w:spacing w:line="440" w:lineRule="exact"/>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①收集运输</w:t>
      </w:r>
    </w:p>
    <w:p w14:paraId="1B271FDE">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危险废物运输委托第三方公司运输，运输车辆需按照规定路线行驶，危险废物收运时，运输车辆避开人口密集区、饮用水源保护区，运输单位为运输过程中环保责任主体，确保运输过程满足相关环保要求，项目场地内不设车辆清洗装置，运输车辆清洗由运输单位自行解决。</w:t>
      </w:r>
    </w:p>
    <w:p w14:paraId="3C92716B">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拟建项目危险废物收集类型、理化性质及不同状态采用不用的容器装运。危险废物产生单位将危险废物存放于相应的容器内（贮存容器由危险废物产生单位自备或本项目提供）。危险废物移交过程依照《危险废物转移管理办法》（生态环境部、公安部、交通运输部令第23号）中的要求，严格执行危险废物转移联单管理制度。转运车每车每次运送的危险废物采用《危险废物运送登记卡》管理，一车一卡，由企业危险废物管理人员交接时填写并签字。</w:t>
      </w:r>
    </w:p>
    <w:p w14:paraId="06BD1256">
      <w:pPr>
        <w:tabs>
          <w:tab w:val="left" w:pos="1021"/>
        </w:tabs>
        <w:spacing w:line="440" w:lineRule="exact"/>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②进场检验</w:t>
      </w:r>
    </w:p>
    <w:p w14:paraId="1DCD923D">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输车行驶至公司地磅上，公司仓管员督促车载人员熄火、下车、离开地磅，公司仓管员先根据送货人随车记录的《危险废物收集登记表》，在《危险废物入库单》上记录各产生单位名称和收集重量，随后操作地磅对装有危险废物的运输车进行称重量，并在《危险废物入库单》上填写种类、车牌、人员、整车重量等信息，告知送货人员。</w:t>
      </w:r>
    </w:p>
    <w:p w14:paraId="0266A2C1">
      <w:pPr>
        <w:tabs>
          <w:tab w:val="left" w:pos="1021"/>
        </w:tabs>
        <w:spacing w:line="440" w:lineRule="exact"/>
        <w:ind w:firstLine="480"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sz w:val="24"/>
          <w:szCs w:val="24"/>
        </w:rPr>
        <w:t>废包装容器和废金属机油滤芯运输车辆进入厂房后，按《危险废物转移管理办法》（生态环境部、公安部、交通运输部令第23号，自2022年1月1日起施行）的规定，检验实际废物与废物标签和综合利用合同内具体废物是否一致，再判断废物是否能进入。</w:t>
      </w:r>
      <w:r>
        <w:rPr>
          <w:rFonts w:hint="default" w:ascii="Times New Roman" w:hAnsi="Times New Roman" w:eastAsia="宋体" w:cs="Times New Roman"/>
          <w:b/>
          <w:bCs/>
          <w:sz w:val="24"/>
          <w:szCs w:val="24"/>
        </w:rPr>
        <w:t>本项目收集的废包装容器要求为空桶，仅允许桶壁、桶底沾染部分挂壁残液。</w:t>
      </w:r>
    </w:p>
    <w:p w14:paraId="04422062">
      <w:pPr>
        <w:tabs>
          <w:tab w:val="left" w:pos="1021"/>
        </w:tabs>
        <w:spacing w:line="440" w:lineRule="exact"/>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③卸车入厂</w:t>
      </w:r>
    </w:p>
    <w:p w14:paraId="604E1C39">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经检验一致满足要求的废包装容器和废金属机油滤芯，使用叉车、行车进行卸货，并对转运单上的数据进行核对。卸车在厂房内进行。送货人员卸完危险废物后，驾车行驶至公司地磅上，公司仓管员督促车载人员熄火、下车、离开地磅，公司仓管员操作地磅对运输车进行称重量，确定危险废物重量后，仔细核对分项重量合计与总重量是否一致，如不一致，及时修正分项重量，并与送货人员在《危险废物入库单》上签字确认。</w:t>
      </w:r>
    </w:p>
    <w:p w14:paraId="432FE238">
      <w:pPr>
        <w:tabs>
          <w:tab w:val="left" w:pos="1021"/>
        </w:tabs>
        <w:spacing w:line="440" w:lineRule="exact"/>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④分拣</w:t>
      </w:r>
    </w:p>
    <w:p w14:paraId="3233086B">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包装容器（包括金属桶和塑料桶等）和废金属机油滤芯的进场分拣，按生产企业提供废物的安全资料信息（残留物的理化性质或MSDS信息），将桶内物料相似的废包装容器分类，废金属机油滤芯性质相似统一暂存。在废包装容器和废金属机油滤芯未到达公司前，业务人员必须将资料、安全信息传给操作人员和运输人员；废物进入公司后，现场交接时核对危险废物的数量、种类、标识等，并确认与危险废物转移联单是否相符，并对接收的废物及时登记，将进场废包装容器和废金属机油滤芯的数量、重量、种类等有关信息录入资料系统。</w:t>
      </w:r>
    </w:p>
    <w:p w14:paraId="1696C5F8">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项目废包装容器、废金属机油滤芯进场后，由专人负责，根据其标签，来源、原料成分、清洁程度以及废包装容器和废金属机油滤芯的完好程度进行人工分拣。</w:t>
      </w:r>
    </w:p>
    <w:p w14:paraId="29DCD083">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分拣挑选出外表干净、品相完好无破损的废金属包装容器，拟在完成去残液工序后进行翻新（具体翻新工艺流程附后）。</w:t>
      </w:r>
    </w:p>
    <w:p w14:paraId="433BAF5A">
      <w:pPr>
        <w:tabs>
          <w:tab w:val="left" w:pos="1021"/>
        </w:tabs>
        <w:spacing w:line="440" w:lineRule="exact"/>
        <w:ind w:firstLine="482" w:firstLineChars="200"/>
        <w:jc w:val="left"/>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⑤去残液</w:t>
      </w:r>
    </w:p>
    <w:p w14:paraId="3D27C33C">
      <w:pPr>
        <w:tabs>
          <w:tab w:val="left" w:pos="1021"/>
        </w:tabs>
        <w:spacing w:line="440" w:lineRule="exact"/>
        <w:ind w:firstLine="482"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废包装容器去残液：</w:t>
      </w:r>
      <w:r>
        <w:rPr>
          <w:rFonts w:hint="default" w:ascii="Times New Roman" w:hAnsi="Times New Roman" w:eastAsia="宋体" w:cs="Times New Roman"/>
          <w:sz w:val="24"/>
          <w:szCs w:val="24"/>
        </w:rPr>
        <w:t>将收集的废包装容器分拣后采用拆盖设备将包装桶顶盖或桶底拆除，以便清理桶内残留的物料，拆除的盖均将作为废包装容器一并处理破碎；人工将桶内残料倒出或抽吸清除，当桶内残留较为</w:t>
      </w:r>
      <w:r>
        <w:rPr>
          <w:rFonts w:hint="default" w:ascii="Times New Roman" w:hAnsi="Times New Roman" w:eastAsia="宋体" w:cs="Times New Roman"/>
          <w:sz w:val="24"/>
          <w:szCs w:val="24"/>
          <w:lang w:eastAsia="zh-CN"/>
        </w:rPr>
        <w:t>黏稠</w:t>
      </w:r>
      <w:r>
        <w:rPr>
          <w:rFonts w:hint="default" w:ascii="Times New Roman" w:hAnsi="Times New Roman" w:eastAsia="宋体" w:cs="Times New Roman"/>
          <w:sz w:val="24"/>
          <w:szCs w:val="24"/>
        </w:rPr>
        <w:t>时，采用卧式或立式清料设备，通过清料设备的刮刀与桶内壁接触，将桶壁上的残留物刮下至收集桶。去残工段收集的残留废料（属危险废物）根据其性质不同，采用专用收集桶分别收集后进入厂区残液暂存区进行暂存后在转移至</w:t>
      </w:r>
      <w:r>
        <w:rPr>
          <w:rFonts w:hint="default" w:ascii="Times New Roman" w:hAnsi="Times New Roman" w:eastAsia="宋体" w:cs="Times New Roman"/>
          <w:sz w:val="24"/>
          <w:szCs w:val="24"/>
          <w:lang w:val="en-US" w:eastAsia="zh-CN"/>
        </w:rPr>
        <w:t>A</w:t>
      </w:r>
      <w:r>
        <w:rPr>
          <w:rFonts w:hint="default" w:ascii="Times New Roman" w:hAnsi="Times New Roman" w:eastAsia="宋体" w:cs="Times New Roman"/>
          <w:sz w:val="24"/>
          <w:szCs w:val="24"/>
        </w:rPr>
        <w:t>栋</w:t>
      </w:r>
      <w:r>
        <w:rPr>
          <w:rFonts w:hint="default" w:ascii="Times New Roman" w:hAnsi="Times New Roman" w:eastAsia="宋体" w:cs="Times New Roman"/>
          <w:sz w:val="24"/>
          <w:szCs w:val="24"/>
          <w:lang w:val="en-US" w:eastAsia="zh-CN"/>
        </w:rPr>
        <w:t>南侧的</w:t>
      </w:r>
      <w:r>
        <w:rPr>
          <w:rFonts w:hint="default" w:ascii="Times New Roman" w:hAnsi="Times New Roman" w:eastAsia="宋体" w:cs="Times New Roman"/>
          <w:sz w:val="24"/>
          <w:szCs w:val="24"/>
        </w:rPr>
        <w:t>危废贮存库进行分类贮存，委托有相关资质单位进行处理。</w:t>
      </w:r>
    </w:p>
    <w:p w14:paraId="2AF18968">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针对外表干净、品相完好无破损的废金属桶在完成去残液后，将翻新后再利用，主要有整形、清洗、检漏工序（具体翻新工艺流程附后），其他不可翻新的废油桶继续进入后续的破碎清洗生产线。</w:t>
      </w:r>
    </w:p>
    <w:p w14:paraId="5AC9CA3D">
      <w:pPr>
        <w:tabs>
          <w:tab w:val="left" w:pos="1021"/>
        </w:tabs>
        <w:spacing w:line="440" w:lineRule="exact"/>
        <w:ind w:firstLine="482"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rPr>
        <w:t>废金属机油滤芯去残液：</w:t>
      </w:r>
      <w:r>
        <w:rPr>
          <w:rFonts w:hint="default" w:ascii="Times New Roman" w:hAnsi="Times New Roman" w:eastAsia="宋体" w:cs="Times New Roman"/>
          <w:sz w:val="24"/>
          <w:szCs w:val="24"/>
        </w:rPr>
        <w:t>收集的废金属机油滤芯中含有废机油和废滤纸，首先将回收的废滤芯用全自动拆解机进行拆解，分离产生的含油废滤纸送压滤装置进行压滤，压滤出的废油和废滤纸（均属危险废物）分开收集，废油交由有资质单位进行综合利用，废滤纸交由有相关资质单位进行处置。</w:t>
      </w:r>
    </w:p>
    <w:p w14:paraId="497B8BEF">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该工序产生的污染物主要为包装容器中挥发性残留物料挥发产生的有机废气、收集的废残液、废滤纸，以及拆解时产生的噪声。</w:t>
      </w:r>
    </w:p>
    <w:p w14:paraId="2CEE6041">
      <w:pPr>
        <w:tabs>
          <w:tab w:val="left" w:pos="1021"/>
        </w:tabs>
        <w:spacing w:line="440" w:lineRule="exact"/>
        <w:ind w:firstLine="482" w:firstLineChars="200"/>
        <w:jc w:val="left"/>
        <w:rPr>
          <w:rFonts w:hint="default" w:ascii="Times New Roman" w:hAnsi="Times New Roman" w:eastAsia="宋体" w:cs="Times New Roman"/>
          <w:b/>
          <w:bCs/>
          <w:sz w:val="24"/>
          <w:szCs w:val="24"/>
          <w:u w:val="single"/>
        </w:rPr>
      </w:pPr>
      <w:r>
        <w:rPr>
          <w:rFonts w:hint="default" w:ascii="Times New Roman" w:hAnsi="Times New Roman" w:eastAsia="宋体" w:cs="Times New Roman"/>
          <w:b/>
          <w:bCs/>
          <w:sz w:val="24"/>
          <w:szCs w:val="24"/>
          <w:u w:val="single"/>
        </w:rPr>
        <w:t>⑥压扁分类暂存</w:t>
      </w:r>
    </w:p>
    <w:p w14:paraId="7E646699">
      <w:pPr>
        <w:tabs>
          <w:tab w:val="left" w:pos="1021"/>
        </w:tabs>
        <w:spacing w:line="440" w:lineRule="exact"/>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经去残后的废包装容器采用压扁机进行压扁，将废包装容器和废金属机油滤芯分类送到</w:t>
      </w:r>
      <w:r>
        <w:rPr>
          <w:rFonts w:hint="default" w:ascii="Times New Roman" w:hAnsi="Times New Roman" w:eastAsia="宋体" w:cs="Times New Roman"/>
          <w:sz w:val="24"/>
          <w:szCs w:val="24"/>
          <w:u w:val="single"/>
          <w:lang w:val="en-US" w:eastAsia="zh-CN"/>
        </w:rPr>
        <w:t>再生利用车间内</w:t>
      </w:r>
      <w:r>
        <w:rPr>
          <w:rFonts w:hint="default" w:ascii="Times New Roman" w:hAnsi="Times New Roman" w:eastAsia="宋体" w:cs="Times New Roman"/>
          <w:sz w:val="24"/>
          <w:szCs w:val="24"/>
          <w:u w:val="single"/>
        </w:rPr>
        <w:t>对应原料暂存区进行暂存</w:t>
      </w:r>
      <w:r>
        <w:rPr>
          <w:rFonts w:hint="default" w:ascii="Times New Roman" w:hAnsi="Times New Roman" w:eastAsia="宋体" w:cs="Times New Roman"/>
          <w:sz w:val="24"/>
          <w:szCs w:val="24"/>
          <w:u w:val="single"/>
          <w:lang w:eastAsia="zh-CN"/>
        </w:rPr>
        <w:t>，进入</w:t>
      </w:r>
      <w:r>
        <w:rPr>
          <w:rFonts w:hint="default" w:ascii="Times New Roman" w:hAnsi="Times New Roman" w:eastAsia="宋体" w:cs="Times New Roman"/>
          <w:sz w:val="24"/>
          <w:szCs w:val="24"/>
          <w:u w:val="single"/>
          <w:lang w:val="en-US" w:eastAsia="zh-CN"/>
        </w:rPr>
        <w:t>车间暂存的</w:t>
      </w:r>
      <w:r>
        <w:rPr>
          <w:rFonts w:hint="default" w:ascii="Times New Roman" w:hAnsi="Times New Roman" w:eastAsia="宋体" w:cs="Times New Roman"/>
          <w:sz w:val="24"/>
          <w:szCs w:val="24"/>
          <w:u w:val="single"/>
          <w:lang w:eastAsia="zh-CN"/>
        </w:rPr>
        <w:t xml:space="preserve">物料将在 </w:t>
      </w:r>
      <w:r>
        <w:rPr>
          <w:rFonts w:hint="default" w:ascii="Times New Roman" w:hAnsi="Times New Roman" w:eastAsia="宋体" w:cs="Times New Roman"/>
          <w:sz w:val="24"/>
          <w:szCs w:val="24"/>
          <w:u w:val="single"/>
          <w:lang w:val="en-US" w:eastAsia="zh-CN"/>
        </w:rPr>
        <w:t>1~3</w:t>
      </w:r>
      <w:r>
        <w:rPr>
          <w:rFonts w:hint="default" w:ascii="Times New Roman" w:hAnsi="Times New Roman" w:eastAsia="宋体" w:cs="Times New Roman"/>
          <w:sz w:val="24"/>
          <w:szCs w:val="24"/>
          <w:u w:val="single"/>
          <w:lang w:eastAsia="zh-CN"/>
        </w:rPr>
        <w:t>天内完成</w:t>
      </w:r>
      <w:r>
        <w:rPr>
          <w:rFonts w:hint="default" w:ascii="Times New Roman" w:hAnsi="Times New Roman" w:eastAsia="宋体" w:cs="Times New Roman"/>
          <w:sz w:val="24"/>
          <w:szCs w:val="24"/>
          <w:u w:val="single"/>
          <w:lang w:val="en-US" w:eastAsia="zh-CN"/>
        </w:rPr>
        <w:t>再生利用</w:t>
      </w:r>
      <w:r>
        <w:rPr>
          <w:rFonts w:hint="default" w:ascii="Times New Roman" w:hAnsi="Times New Roman" w:eastAsia="宋体" w:cs="Times New Roman"/>
          <w:sz w:val="24"/>
          <w:szCs w:val="24"/>
          <w:u w:val="single"/>
          <w:lang w:eastAsia="zh-CN"/>
        </w:rPr>
        <w:t>并出库</w:t>
      </w:r>
      <w:r>
        <w:rPr>
          <w:rFonts w:hint="default" w:ascii="Times New Roman" w:hAnsi="Times New Roman" w:eastAsia="宋体" w:cs="Times New Roman"/>
          <w:sz w:val="24"/>
          <w:szCs w:val="24"/>
          <w:u w:val="single"/>
        </w:rPr>
        <w:t>。暂存必须及时按照要求进行登记注册，按照其来源、类别、数量、特性、入场时间等信息进行详细记录，同时在入库暂存位置放置信息明确的记录牌或记录表。</w:t>
      </w:r>
    </w:p>
    <w:p w14:paraId="6F604C8E">
      <w:pPr>
        <w:tabs>
          <w:tab w:val="left" w:pos="1021"/>
        </w:tabs>
        <w:spacing w:line="440" w:lineRule="exact"/>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（1）危废应分区分类贮存</w:t>
      </w:r>
    </w:p>
    <w:p w14:paraId="284022AB">
      <w:pPr>
        <w:tabs>
          <w:tab w:val="left" w:pos="1021"/>
        </w:tabs>
        <w:spacing w:line="440" w:lineRule="exact"/>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进厂的危废通过地磅称重，分类计量并对转运单上的数据进 行核对， 核对无误后，送到固定的原料暂存区进行接收、贮存。危废应按照不同的化学特性， 根据互相间的相容性分区分类贮存。</w:t>
      </w:r>
    </w:p>
    <w:p w14:paraId="47F73F31">
      <w:pPr>
        <w:tabs>
          <w:tab w:val="left" w:pos="1021"/>
        </w:tabs>
        <w:spacing w:line="440" w:lineRule="exact"/>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（2）危废的码放</w:t>
      </w:r>
    </w:p>
    <w:p w14:paraId="0543A693">
      <w:pPr>
        <w:tabs>
          <w:tab w:val="left" w:pos="1021"/>
        </w:tabs>
        <w:spacing w:line="440" w:lineRule="exact"/>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①盛装危废的容器、箱、桶其标志一律朝外。堆迭高度视容器的强度而定。</w:t>
      </w:r>
    </w:p>
    <w:p w14:paraId="6B237FAA">
      <w:pPr>
        <w:tabs>
          <w:tab w:val="left" w:pos="1021"/>
        </w:tabs>
        <w:spacing w:line="440" w:lineRule="exact"/>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②标志、标牌应并排粘贴，并位于其容器、箱、桶的竖向的中部的明显位置。</w:t>
      </w:r>
    </w:p>
    <w:p w14:paraId="4F05842E">
      <w:pPr>
        <w:tabs>
          <w:tab w:val="left" w:pos="1021"/>
        </w:tabs>
        <w:spacing w:line="440" w:lineRule="exact"/>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该工序主要有原料暂存区</w:t>
      </w:r>
      <w:r>
        <w:rPr>
          <w:rFonts w:hint="default" w:ascii="Times New Roman" w:hAnsi="Times New Roman" w:eastAsia="宋体" w:cs="Times New Roman"/>
          <w:sz w:val="24"/>
          <w:szCs w:val="24"/>
          <w:u w:val="single"/>
          <w:lang w:val="en-US" w:eastAsia="zh-CN"/>
        </w:rPr>
        <w:t>产生</w:t>
      </w:r>
      <w:r>
        <w:rPr>
          <w:rFonts w:hint="default" w:ascii="Times New Roman" w:hAnsi="Times New Roman" w:eastAsia="宋体" w:cs="Times New Roman"/>
          <w:sz w:val="24"/>
          <w:szCs w:val="24"/>
          <w:u w:val="single"/>
        </w:rPr>
        <w:t>有机废气、设备噪声产生。</w:t>
      </w:r>
    </w:p>
    <w:p w14:paraId="720334CD">
      <w:pPr>
        <w:tabs>
          <w:tab w:val="left" w:pos="1021"/>
        </w:tabs>
        <w:jc w:val="center"/>
        <w:rPr>
          <w:rFonts w:hint="default" w:ascii="Times New Roman" w:hAnsi="Times New Roman" w:eastAsia="宋体" w:cs="Times New Roman"/>
          <w:sz w:val="24"/>
          <w:szCs w:val="24"/>
        </w:rPr>
      </w:pPr>
      <w:r>
        <w:rPr>
          <w:rFonts w:hint="default" w:ascii="Times New Roman" w:hAnsi="Times New Roman" w:eastAsia="宋体" w:cs="Times New Roman"/>
        </w:rPr>
        <w:object>
          <v:shape id="_x0000_i1025" o:spt="75" type="#_x0000_t75" style="height:216.05pt;width:423.15pt;" o:ole="t" filled="f" o:preferrelative="t" stroked="f" coordsize="21600,21600">
            <v:path/>
            <v:fill on="f" focussize="0,0"/>
            <v:stroke on="f" joinstyle="miter"/>
            <v:imagedata r:id="rId27" o:title=""/>
            <o:lock v:ext="edit" aspectratio="t"/>
            <w10:wrap type="none"/>
            <w10:anchorlock/>
          </v:shape>
          <o:OLEObject Type="Embed" ProgID="Visio.Drawing.15" ShapeID="_x0000_i1025" DrawAspect="Content" ObjectID="_1468075725" r:id="rId26">
            <o:LockedField>false</o:LockedField>
          </o:OLEObject>
        </w:object>
      </w:r>
    </w:p>
    <w:p w14:paraId="0F4EA708">
      <w:pPr>
        <w:tabs>
          <w:tab w:val="left" w:pos="1021"/>
        </w:tabs>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图5.1-1  危险废物进场分拣、预处理、暂存流程及产污节点图</w:t>
      </w:r>
    </w:p>
    <w:p w14:paraId="3AE7BE19">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5.1.2废包装桶整形清洗翻新生产线工艺流程</w:t>
      </w:r>
    </w:p>
    <w:p w14:paraId="2F8137DA">
      <w:pPr>
        <w:tabs>
          <w:tab w:val="left" w:pos="1021"/>
        </w:tabs>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项目设置1条废包装桶整形清洗翻新生产线，主要是用于将从危险废除中分拣出品相较好的金属包装桶（以废矿物油桶为主）以及IBC吨桶进行翻新</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翻新的包装容器无需进行喷漆或刷漆处理</w:t>
      </w:r>
      <w:r>
        <w:rPr>
          <w:rFonts w:hint="default" w:ascii="Times New Roman" w:hAnsi="Times New Roman" w:eastAsia="宋体" w:cs="Times New Roman"/>
          <w:sz w:val="24"/>
          <w:szCs w:val="24"/>
          <w:u w:val="single"/>
        </w:rPr>
        <w:t>。</w:t>
      </w:r>
    </w:p>
    <w:p w14:paraId="16E49F03">
      <w:pPr>
        <w:tabs>
          <w:tab w:val="left" w:pos="1021"/>
        </w:tabs>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项目分拣挑选出外表干净、品相</w:t>
      </w:r>
      <w:r>
        <w:rPr>
          <w:rFonts w:hint="default" w:ascii="Times New Roman" w:hAnsi="Times New Roman" w:eastAsia="宋体" w:cs="Times New Roman"/>
          <w:sz w:val="24"/>
          <w:szCs w:val="24"/>
          <w:u w:val="single"/>
          <w:lang w:val="en-US" w:eastAsia="zh-CN"/>
        </w:rPr>
        <w:t>将对较好</w:t>
      </w:r>
      <w:r>
        <w:rPr>
          <w:rFonts w:hint="default" w:ascii="Times New Roman" w:hAnsi="Times New Roman" w:eastAsia="宋体" w:cs="Times New Roman"/>
          <w:sz w:val="24"/>
          <w:szCs w:val="24"/>
          <w:u w:val="single"/>
        </w:rPr>
        <w:t>的废金属包装桶和IBC吨桶，在完成去残液工序后进行翻新再利用</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其中品相完好且无破损的</w:t>
      </w:r>
      <w:r>
        <w:rPr>
          <w:rFonts w:hint="default" w:ascii="Times New Roman" w:hAnsi="Times New Roman" w:eastAsia="宋体" w:cs="Times New Roman"/>
          <w:sz w:val="24"/>
          <w:szCs w:val="24"/>
          <w:u w:val="single"/>
        </w:rPr>
        <w:t>废金属包装桶翻新主要有整形、清洗、检漏工序；IBC吨桶翻新工序仅为清洗和检漏</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品相相对较好但</w:t>
      </w:r>
      <w:r>
        <w:rPr>
          <w:rFonts w:hint="eastAsia" w:ascii="Times New Roman" w:hAnsi="Times New Roman" w:cs="Times New Roman"/>
          <w:sz w:val="24"/>
          <w:szCs w:val="24"/>
          <w:u w:val="single"/>
          <w:lang w:val="en-US" w:eastAsia="zh-CN"/>
        </w:rPr>
        <w:t>有较多</w:t>
      </w:r>
      <w:r>
        <w:rPr>
          <w:rFonts w:hint="default" w:ascii="Times New Roman" w:hAnsi="Times New Roman" w:eastAsia="宋体" w:cs="Times New Roman"/>
          <w:sz w:val="24"/>
          <w:szCs w:val="24"/>
          <w:u w:val="single"/>
          <w:lang w:val="en-US" w:eastAsia="zh-CN"/>
        </w:rPr>
        <w:t>破损</w:t>
      </w:r>
      <w:r>
        <w:rPr>
          <w:rFonts w:hint="eastAsia" w:ascii="Times New Roman" w:hAnsi="Times New Roman" w:cs="Times New Roman"/>
          <w:sz w:val="24"/>
          <w:szCs w:val="24"/>
          <w:u w:val="single"/>
          <w:lang w:val="en-US" w:eastAsia="zh-CN"/>
        </w:rPr>
        <w:t>、锈蚀和划痕</w:t>
      </w:r>
      <w:r>
        <w:rPr>
          <w:rFonts w:hint="default" w:ascii="Times New Roman" w:hAnsi="Times New Roman" w:eastAsia="宋体" w:cs="Times New Roman"/>
          <w:sz w:val="24"/>
          <w:szCs w:val="24"/>
          <w:u w:val="single"/>
          <w:lang w:val="en-US" w:eastAsia="zh-CN"/>
        </w:rPr>
        <w:t>的废金属包装桶直接清洗</w:t>
      </w:r>
      <w:r>
        <w:rPr>
          <w:rFonts w:hint="eastAsia" w:ascii="Times New Roman" w:hAnsi="Times New Roman" w:cs="Times New Roman"/>
          <w:sz w:val="24"/>
          <w:szCs w:val="24"/>
          <w:u w:val="single"/>
          <w:lang w:val="en-US" w:eastAsia="zh-CN"/>
        </w:rPr>
        <w:t>裁边</w:t>
      </w:r>
      <w:r>
        <w:rPr>
          <w:rFonts w:hint="default" w:ascii="Times New Roman" w:hAnsi="Times New Roman" w:eastAsia="宋体" w:cs="Times New Roman"/>
          <w:sz w:val="24"/>
          <w:szCs w:val="24"/>
          <w:u w:val="single"/>
          <w:lang w:val="en-US" w:eastAsia="zh-CN"/>
        </w:rPr>
        <w:t>之后压扁成为铁皮</w:t>
      </w:r>
      <w:r>
        <w:rPr>
          <w:rFonts w:hint="eastAsia" w:ascii="Times New Roman" w:hAnsi="Times New Roman" w:cs="Times New Roman"/>
          <w:sz w:val="24"/>
          <w:szCs w:val="24"/>
          <w:u w:val="single"/>
          <w:lang w:val="en-US" w:eastAsia="zh-CN"/>
        </w:rPr>
        <w:t>，裁边的铁皮无需贮存可直接进入废金属包装容器破碎清洗生产线，不识别为固体废物</w:t>
      </w:r>
      <w:r>
        <w:rPr>
          <w:rFonts w:hint="default" w:ascii="Times New Roman" w:hAnsi="Times New Roman" w:eastAsia="宋体" w:cs="Times New Roman"/>
          <w:sz w:val="24"/>
          <w:szCs w:val="24"/>
          <w:u w:val="single"/>
        </w:rPr>
        <w:t>。</w:t>
      </w:r>
    </w:p>
    <w:p w14:paraId="499D27DC">
      <w:pPr>
        <w:pStyle w:val="12"/>
        <w:spacing w:line="360" w:lineRule="auto"/>
        <w:ind w:right="116" w:firstLine="480"/>
        <w:rPr>
          <w:rFonts w:hint="default" w:ascii="Times New Roman" w:hAnsi="Times New Roman" w:eastAsia="宋体" w:cs="Times New Roman"/>
        </w:rPr>
      </w:pPr>
      <w:r>
        <w:rPr>
          <w:rFonts w:hint="default" w:ascii="Times New Roman" w:hAnsi="Times New Roman" w:eastAsia="宋体" w:cs="Times New Roman"/>
        </w:rPr>
        <w:t>A.整形：首先利用整形机对空桶进行整边、整形处理。通过机构上圆弧排列的数个压辊对铁桶桶口施以足够的压力，使旋转的铁桶桶口被整圆，达到桶口整形目的。该机具有全自动进出铁桶输送装置，自动将铁桶送入固定回转托盘上和送出，固定回转托盘使夹持并充气后的铁桶旋转起来，活动回转压盘自动将铁桶夹持，使铁桶在固定回转托盘和活动回转压盘中被紧紧锁牢，全自动充气机构自动向铁桶内充气增压（气压2-3kg左右），当铁桶内压力与外整形压力抗衡时，整形压辊机构的两组气动压辊机构对充气增压活动铁桶桶身进行压平整形，达到桶身整形目的。</w:t>
      </w:r>
    </w:p>
    <w:p w14:paraId="3E2A630F">
      <w:pPr>
        <w:pStyle w:val="12"/>
        <w:spacing w:line="360" w:lineRule="auto"/>
        <w:ind w:right="116" w:firstLine="480"/>
        <w:rPr>
          <w:rFonts w:hint="default" w:ascii="Times New Roman" w:hAnsi="Times New Roman" w:eastAsia="宋体" w:cs="Times New Roman"/>
        </w:rPr>
      </w:pPr>
      <w:r>
        <w:rPr>
          <w:rFonts w:hint="default" w:ascii="Times New Roman" w:hAnsi="Times New Roman" w:eastAsia="宋体" w:cs="Times New Roman"/>
        </w:rPr>
        <w:t>该工序主要有噪声产生。</w:t>
      </w:r>
    </w:p>
    <w:p w14:paraId="079BD9F7">
      <w:pPr>
        <w:pStyle w:val="12"/>
        <w:spacing w:line="360" w:lineRule="auto"/>
        <w:ind w:right="116" w:firstLine="480"/>
        <w:rPr>
          <w:rFonts w:hint="default" w:ascii="Times New Roman" w:hAnsi="Times New Roman" w:eastAsia="宋体" w:cs="Times New Roman"/>
        </w:rPr>
      </w:pPr>
      <w:r>
        <w:rPr>
          <w:rFonts w:hint="default" w:ascii="Times New Roman" w:hAnsi="Times New Roman" w:eastAsia="宋体" w:cs="Times New Roman"/>
        </w:rPr>
        <w:t>B.清洗：IBC吨桶和整形后的废铁桶，将清洗剂通过定量加液机放入桶内，盖紧桶盖，工段采用半自动内壁清洗机，保证废桶密闭性，包装桶在清洗机上通过翻转使清洗液与内壁的废液充分接触以溶解内壁附着物，旋转及翻转清洗5min。项目废铁油桶经预处理后残液含量较小，只需清洗1遍。清洗后的清洗剂通过真空抽液机吸入专用清洗剂容器盛装，重复使用，清洗剂连续循环15次后基本达到溶解饱和度，即进行更换。对于桶外壁，采用半自动外刷机进行自动清洗。</w:t>
      </w:r>
    </w:p>
    <w:p w14:paraId="741499BE">
      <w:pPr>
        <w:pStyle w:val="12"/>
        <w:spacing w:line="360" w:lineRule="auto"/>
        <w:ind w:right="116" w:firstLine="480"/>
        <w:rPr>
          <w:rFonts w:hint="default" w:ascii="Times New Roman" w:hAnsi="Times New Roman" w:eastAsia="宋体" w:cs="Times New Roman"/>
        </w:rPr>
      </w:pPr>
      <w:r>
        <w:rPr>
          <w:rFonts w:hint="default" w:ascii="Times New Roman" w:hAnsi="Times New Roman" w:eastAsia="宋体" w:cs="Times New Roman"/>
        </w:rPr>
        <w:t>该工序主要有清洗废水产生。</w:t>
      </w:r>
    </w:p>
    <w:p w14:paraId="02C35D85">
      <w:pPr>
        <w:pStyle w:val="12"/>
        <w:spacing w:line="360" w:lineRule="auto"/>
        <w:ind w:right="116" w:firstLine="480"/>
        <w:rPr>
          <w:rFonts w:hint="default" w:ascii="Times New Roman" w:hAnsi="Times New Roman" w:eastAsia="宋体" w:cs="Times New Roman"/>
        </w:rPr>
      </w:pPr>
      <w:r>
        <w:rPr>
          <w:rFonts w:hint="default" w:ascii="Times New Roman" w:hAnsi="Times New Roman" w:eastAsia="宋体" w:cs="Times New Roman"/>
        </w:rPr>
        <w:t>C.检漏：IBC吨桶和铁桶出内、外清洗处理机后进入检漏系统进行有无漏桶检查处理。检漏原理为，桶内正压、桶入水池旋转、人工观察、冒气泡即漏桶。</w:t>
      </w:r>
    </w:p>
    <w:p w14:paraId="24F21F58">
      <w:pPr>
        <w:pStyle w:val="12"/>
        <w:spacing w:line="360" w:lineRule="auto"/>
        <w:ind w:right="116" w:firstLine="480"/>
        <w:rPr>
          <w:rFonts w:hint="default" w:ascii="Times New Roman" w:hAnsi="Times New Roman" w:eastAsia="宋体" w:cs="Times New Roman"/>
        </w:rPr>
      </w:pPr>
      <w:r>
        <w:rPr>
          <w:rFonts w:hint="default" w:ascii="Times New Roman" w:hAnsi="Times New Roman" w:eastAsia="宋体" w:cs="Times New Roman"/>
        </w:rPr>
        <w:t>D.冲洗：清洗、检漏完成后，通过人工开盖方式开桶盖，用水进行冲洗，冲洗水循环使用，定期外排。</w:t>
      </w:r>
    </w:p>
    <w:p w14:paraId="20B54048">
      <w:pPr>
        <w:pStyle w:val="12"/>
        <w:spacing w:line="360" w:lineRule="auto"/>
        <w:ind w:right="116" w:firstLine="480" w:firstLineChars="200"/>
        <w:rPr>
          <w:rFonts w:hint="default" w:ascii="Times New Roman" w:hAnsi="Times New Roman" w:eastAsia="宋体" w:cs="Times New Roman"/>
        </w:rPr>
      </w:pPr>
      <w:r>
        <w:rPr>
          <w:rFonts w:hint="default" w:ascii="Times New Roman" w:hAnsi="Times New Roman" w:eastAsia="宋体" w:cs="Times New Roman"/>
        </w:rPr>
        <w:t>该工序主要有清洗废水产生。</w:t>
      </w:r>
    </w:p>
    <w:p w14:paraId="1D123A7D">
      <w:pPr>
        <w:pStyle w:val="12"/>
        <w:spacing w:line="360" w:lineRule="auto"/>
        <w:ind w:right="116"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金属桶以及IBC吨桶在完成检漏和冲洗后即完成翻新，暂存至成品仓库待售</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完成清洗和压扁后的铁皮暂存至成品仓库待售</w:t>
      </w:r>
      <w:r>
        <w:rPr>
          <w:rFonts w:hint="default" w:ascii="Times New Roman" w:hAnsi="Times New Roman" w:eastAsia="宋体" w:cs="Times New Roman"/>
          <w:sz w:val="24"/>
          <w:szCs w:val="24"/>
          <w:u w:val="single"/>
        </w:rPr>
        <w:t>。</w:t>
      </w:r>
    </w:p>
    <w:p w14:paraId="03C6E708">
      <w:pPr>
        <w:tabs>
          <w:tab w:val="left" w:pos="1021"/>
        </w:tabs>
        <w:spacing w:line="440" w:lineRule="exact"/>
        <w:ind w:firstLine="482" w:firstLineChars="200"/>
        <w:jc w:val="left"/>
        <w:rPr>
          <w:rFonts w:hint="default" w:ascii="Times New Roman" w:hAnsi="Times New Roman" w:eastAsia="宋体" w:cs="Times New Roman"/>
          <w:b/>
          <w:bCs/>
          <w:sz w:val="24"/>
          <w:szCs w:val="24"/>
          <w:u w:val="single"/>
        </w:rPr>
      </w:pPr>
      <w:r>
        <w:rPr>
          <w:rFonts w:hint="default" w:ascii="Times New Roman" w:hAnsi="Times New Roman" w:eastAsia="宋体" w:cs="Times New Roman"/>
          <w:b/>
          <w:bCs/>
          <w:sz w:val="24"/>
          <w:szCs w:val="24"/>
          <w:u w:val="single"/>
        </w:rPr>
        <w:t>废金属桶及塑料桶循环再生生产线工艺流程及产污节点图如下：</w:t>
      </w:r>
    </w:p>
    <w:p w14:paraId="7B9670CC">
      <w:pPr>
        <w:tabs>
          <w:tab w:val="left" w:pos="1021"/>
        </w:tabs>
        <w:jc w:val="center"/>
        <w:rPr>
          <w:rFonts w:hint="default" w:ascii="Times New Roman" w:hAnsi="Times New Roman" w:eastAsia="宋体" w:cs="Times New Roman"/>
          <w:u w:val="single"/>
        </w:rPr>
      </w:pPr>
      <w:r>
        <w:rPr>
          <w:rFonts w:hint="default" w:ascii="Times New Roman" w:hAnsi="Times New Roman" w:eastAsia="宋体" w:cs="Times New Roman"/>
          <w:u w:val="single"/>
        </w:rPr>
        <w:object>
          <v:shape id="_x0000_i1026" o:spt="75" type="#_x0000_t75" style="height:288.7pt;width:392.2pt;" o:ole="t" filled="f" o:preferrelative="t" stroked="f" coordsize="21600,21600">
            <v:path/>
            <v:fill on="f" focussize="0,0"/>
            <v:stroke on="f"/>
            <v:imagedata r:id="rId29" o:title=""/>
            <o:lock v:ext="edit" aspectratio="f"/>
            <w10:wrap type="none"/>
            <w10:anchorlock/>
          </v:shape>
          <o:OLEObject Type="Embed" ProgID="Visio.Drawing.15" ShapeID="_x0000_i1026" DrawAspect="Content" ObjectID="_1468075726" r:id="rId28">
            <o:LockedField>false</o:LockedField>
          </o:OLEObject>
        </w:object>
      </w:r>
    </w:p>
    <w:p w14:paraId="6CE84B09">
      <w:pPr>
        <w:tabs>
          <w:tab w:val="left" w:pos="1021"/>
        </w:tabs>
        <w:jc w:val="center"/>
        <w:rPr>
          <w:rFonts w:hint="default" w:ascii="Times New Roman" w:hAnsi="Times New Roman" w:eastAsia="宋体" w:cs="Times New Roman"/>
          <w:szCs w:val="21"/>
          <w:u w:val="single"/>
        </w:rPr>
      </w:pPr>
      <w:r>
        <w:rPr>
          <w:rFonts w:hint="default" w:ascii="Times New Roman" w:hAnsi="Times New Roman" w:eastAsia="宋体" w:cs="Times New Roman"/>
          <w:b/>
          <w:bCs/>
          <w:szCs w:val="21"/>
          <w:u w:val="single"/>
        </w:rPr>
        <w:t>图5.1-2  废金属桶及塑料桶循环再生生产线工艺流程及产污节点图</w:t>
      </w:r>
    </w:p>
    <w:p w14:paraId="5595C21E">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5.1.3废金属包装容器破碎清洗生产线工艺流程</w:t>
      </w:r>
    </w:p>
    <w:p w14:paraId="053C5624">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本项目设置1条废金属包装容器破碎清洗生产线，用于处理项目收集的危险废物中完成分拣预处理后的废金属包装容器及废金属机油滤芯。</w:t>
      </w:r>
    </w:p>
    <w:p w14:paraId="205CECBD">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具体工艺流程如下：</w:t>
      </w:r>
    </w:p>
    <w:p w14:paraId="3036669C">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撕碎：本项目主要采用磁选工艺分类废铁片及杂质。由运输机械（如行车、落地吊等）将物料运送到上料输送机上，将物料提升进入进料斗，顺利进入金属撕碎机中进行撕碎，撕碎机内设有喷水口、喷出的水（注入碱液）可冷却锤头且可避免粉尘产生，撕碎过程可将粘在桶壁上的漆渣、标签纸等杂质脱落。撕碎后的铁片尺寸约为5cm×5cm。</w:t>
      </w:r>
    </w:p>
    <w:p w14:paraId="60ED1C5B">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该工序主要有少量有机废气。</w:t>
      </w:r>
    </w:p>
    <w:p w14:paraId="55FFA4D3">
      <w:pPr>
        <w:tabs>
          <w:tab w:val="left" w:pos="780"/>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磁选：经撕碎的物料从输送机上被均匀输送过来，物料对着磁力滚筒，非磁性物料直接从落料斗落下进入非磁性物质输送机；金属在磁力的作用下被吸附在滚筒上，随滚筒一起旋转。由于磁力滚筒设计上的独特性，在滚筒的另一侧没有磁性，旋转过来后金属被释放落入出料槽，再输送至团粒机。</w:t>
      </w:r>
    </w:p>
    <w:p w14:paraId="39CA8E61">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该工序主要有少量有机废气、非金属杂质产生。</w:t>
      </w:r>
    </w:p>
    <w:p w14:paraId="560BA319">
      <w:pPr>
        <w:tabs>
          <w:tab w:val="left" w:pos="780"/>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团粒：经过磁选的铁片进入团粒机，进一步团粒后得到铁块。</w:t>
      </w:r>
    </w:p>
    <w:p w14:paraId="257860C8">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该工序主要有少量有机废气、废水、杂质产生。</w:t>
      </w:r>
    </w:p>
    <w:p w14:paraId="375BE294">
      <w:pPr>
        <w:tabs>
          <w:tab w:val="left" w:pos="780"/>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磁选：经过团粒的铁块再次进入磁选机进行二次磁选，二次磁选自然晾干后得到干净铁块，经检验合格后暂存外售。</w:t>
      </w:r>
    </w:p>
    <w:p w14:paraId="5E7EC6D8">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该工序主要有少量非金属杂质产生。</w:t>
      </w:r>
    </w:p>
    <w:p w14:paraId="29CF6D28">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本项目由危废原料生产的铁块需根据《危险废物鉴别标准 通则》（GB 5085.7- 2007）及《危险废物鉴别技术规范》（HJ/T298-2019），经检验合格确认不属于危险废物方可外售，均不沾有危险废物等有害物质，且废铁符合《废钢铁》（GB/T 4223-2017）标准要求。</w:t>
      </w:r>
    </w:p>
    <w:p w14:paraId="321DE0D4">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项目废金属包装容器破碎清洗生产线工艺流程及产污节点见下图：</w:t>
      </w:r>
    </w:p>
    <w:p w14:paraId="24E34355">
      <w:pPr>
        <w:tabs>
          <w:tab w:val="left" w:pos="1021"/>
        </w:tabs>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rPr>
        <w:object>
          <v:shape id="_x0000_i1027" o:spt="75" type="#_x0000_t75" style="height:377pt;width:366.5pt;" o:ole="t" filled="f" o:preferrelative="t" stroked="f" coordsize="21600,21600">
            <v:path/>
            <v:fill on="f" focussize="0,0"/>
            <v:stroke on="f"/>
            <v:imagedata r:id="rId31" o:title=""/>
            <o:lock v:ext="edit" aspectratio="t"/>
            <w10:wrap type="none"/>
            <w10:anchorlock/>
          </v:shape>
          <o:OLEObject Type="Embed" ProgID="Visio.Drawing.15" ShapeID="_x0000_i1027" DrawAspect="Content" ObjectID="_1468075727" r:id="rId30">
            <o:LockedField>false</o:LockedField>
          </o:OLEObject>
        </w:object>
      </w:r>
    </w:p>
    <w:p w14:paraId="0C6793F7">
      <w:pPr>
        <w:tabs>
          <w:tab w:val="left" w:pos="1021"/>
        </w:tabs>
        <w:spacing w:line="360" w:lineRule="auto"/>
        <w:jc w:val="center"/>
        <w:rPr>
          <w:rFonts w:hint="default" w:ascii="Times New Roman" w:hAnsi="Times New Roman" w:eastAsia="宋体" w:cs="Times New Roman"/>
          <w:b/>
          <w:bCs/>
          <w:sz w:val="24"/>
          <w:szCs w:val="24"/>
        </w:rPr>
      </w:pPr>
      <w:r>
        <w:rPr>
          <w:rFonts w:hint="default" w:ascii="Times New Roman" w:hAnsi="Times New Roman" w:eastAsia="宋体" w:cs="Times New Roman"/>
          <w:b/>
          <w:bCs/>
          <w:szCs w:val="21"/>
        </w:rPr>
        <w:t>图5.1-3  废金属包装容器破碎清洗生产线工艺流程及产污节点图</w:t>
      </w:r>
    </w:p>
    <w:p w14:paraId="1D6A6E2E">
      <w:pPr>
        <w:pStyle w:val="4"/>
        <w:spacing w:before="0" w:after="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5.1.4废塑料包装物破碎清洗生产线工艺流程</w:t>
      </w:r>
    </w:p>
    <w:p w14:paraId="15A76FDC">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本项目设置1条废塑料破碎清洗生产线，用于处理项目收集的危险废物中完成分拣预处理的废塑料包装容器。</w:t>
      </w:r>
    </w:p>
    <w:p w14:paraId="1BDC88BF">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具体工艺流程如下：</w:t>
      </w:r>
    </w:p>
    <w:p w14:paraId="5602C501">
      <w:pPr>
        <w:tabs>
          <w:tab w:val="left" w:pos="780"/>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破碎：将经人工初步挑选后的废塑料直接投入破碎机进行破碎，破碎时加入少量水，可避免破碎粉尘产生，同时可达到初步清洗作用。</w:t>
      </w:r>
    </w:p>
    <w:p w14:paraId="7310D0E3">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该工序主要有少量有机废气及废水产生。</w:t>
      </w:r>
    </w:p>
    <w:p w14:paraId="55CDC7D7">
      <w:pPr>
        <w:tabs>
          <w:tab w:val="left" w:pos="780"/>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B.</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一次摩擦清洗：破碎后的物料由螺旋上料机送至强力摩擦机中，物料进入强力摩擦进行清洗（注入碱液），主要清洗表面不干胶、泥沙及含油等杂质。</w:t>
      </w:r>
    </w:p>
    <w:p w14:paraId="10FCDEC0">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该工序主要有少量有机废气、废水、杂质产生。</w:t>
      </w:r>
    </w:p>
    <w:p w14:paraId="0809363E">
      <w:pPr>
        <w:tabs>
          <w:tab w:val="left" w:pos="780"/>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w:t>
      </w:r>
      <w:r>
        <w:rPr>
          <w:rFonts w:hint="default" w:ascii="Times New Roman" w:hAnsi="Times New Roman" w:eastAsia="宋体" w:cs="Times New Roman"/>
          <w:sz w:val="24"/>
          <w:szCs w:val="24"/>
        </w:rPr>
        <w:tab/>
      </w:r>
      <w:r>
        <w:rPr>
          <w:rFonts w:hint="default" w:ascii="Times New Roman" w:hAnsi="Times New Roman" w:eastAsia="宋体" w:cs="Times New Roman"/>
          <w:sz w:val="24"/>
          <w:szCs w:val="24"/>
        </w:rPr>
        <w:t>沉浮分离水槽：经过强力摩擦后的物料调入沉浮分离水槽中，为使物料清洗更为洁净，利用水的浮选法将比重较大的杂质、废渣进行分离。</w:t>
      </w:r>
    </w:p>
    <w:p w14:paraId="75378AB3">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该工序主要有少量有机废气、废水、杂质产生</w:t>
      </w:r>
    </w:p>
    <w:p w14:paraId="141F7588">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D.二次摩擦清洗：沉浮分离后的物料输送至摩擦清洗机进行二次摩擦清洗。该工序主要有少量有机废气、废水、杂质产生。</w:t>
      </w:r>
    </w:p>
    <w:p w14:paraId="71ADF9B0">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E.沉浮漂洗：经二次摩擦清洗后的物料进入沉浮漂洗槽中进行漂洗，再次去除其中少量的杂质等。</w:t>
      </w:r>
    </w:p>
    <w:p w14:paraId="64FB8A34">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该工序主要有少量有机废气、废水、杂质产生。</w:t>
      </w:r>
    </w:p>
    <w:p w14:paraId="7EFFA3B5">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F.高速脱水：清洗后的物料进入脱水机中进行高速脱水，脱水后自然晾干得到纯净的塑料碎片，经检验合格后暂存外售。</w:t>
      </w:r>
    </w:p>
    <w:p w14:paraId="22CCEC20">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该工序主要有少量废水产生。</w:t>
      </w:r>
    </w:p>
    <w:p w14:paraId="01F8BB55">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本项目利用危废原料生产的塑料片需根据《危险废物鉴别标准 通则》（GB 5085.7-2007）及《危险废物鉴别技术规范》（HJ/T298-2019），经检验合格确认不属于危险废物方可外售，均不沾有危险废物等有害物质，且塑料片符合塑料行业加工标准要求。</w:t>
      </w:r>
    </w:p>
    <w:p w14:paraId="5C88FCE8">
      <w:pPr>
        <w:tabs>
          <w:tab w:val="left" w:pos="1021"/>
        </w:tabs>
        <w:spacing w:line="44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废塑料包装物破碎清洗生产线工艺流程及产污节点见下图：</w:t>
      </w:r>
    </w:p>
    <w:p w14:paraId="578AEE9B">
      <w:pPr>
        <w:tabs>
          <w:tab w:val="left" w:pos="1021"/>
        </w:tabs>
        <w:jc w:val="center"/>
        <w:rPr>
          <w:rFonts w:hint="default" w:ascii="Times New Roman" w:hAnsi="Times New Roman" w:eastAsia="宋体" w:cs="Times New Roman"/>
        </w:rPr>
      </w:pPr>
      <w:r>
        <w:rPr>
          <w:rFonts w:hint="default" w:ascii="Times New Roman" w:hAnsi="Times New Roman" w:eastAsia="宋体" w:cs="Times New Roman"/>
        </w:rPr>
        <w:object>
          <v:shape id="_x0000_i1028" o:spt="75" type="#_x0000_t75" style="height:479.15pt;width:367.2pt;" o:ole="t" filled="f" o:preferrelative="t" stroked="f" coordsize="21600,21600">
            <v:path/>
            <v:fill on="f" focussize="0,0"/>
            <v:stroke on="f"/>
            <v:imagedata r:id="rId33" o:title=""/>
            <o:lock v:ext="edit" aspectratio="t"/>
            <w10:wrap type="none"/>
            <w10:anchorlock/>
          </v:shape>
          <o:OLEObject Type="Embed" ProgID="Visio.Drawing.15" ShapeID="_x0000_i1028" DrawAspect="Content" ObjectID="_1468075728" r:id="rId32">
            <o:LockedField>false</o:LockedField>
          </o:OLEObject>
        </w:object>
      </w:r>
    </w:p>
    <w:p w14:paraId="570DF862">
      <w:pPr>
        <w:tabs>
          <w:tab w:val="left" w:pos="1021"/>
        </w:tabs>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图5.1-4  废塑料包装物破碎清洗生产线工艺流程及产污节点图</w:t>
      </w:r>
    </w:p>
    <w:p w14:paraId="1CDAA3D4">
      <w:pPr>
        <w:pStyle w:val="3"/>
        <w:spacing w:before="0" w:after="0" w:line="360" w:lineRule="auto"/>
        <w:jc w:val="left"/>
        <w:rPr>
          <w:rFonts w:hint="default" w:ascii="Times New Roman" w:hAnsi="Times New Roman" w:eastAsia="宋体" w:cs="Times New Roman"/>
        </w:rPr>
      </w:pPr>
      <w:bookmarkStart w:id="282" w:name="_Toc15981"/>
      <w:bookmarkStart w:id="283" w:name="_Toc123733096"/>
      <w:r>
        <w:rPr>
          <w:rFonts w:hint="default" w:ascii="Times New Roman" w:hAnsi="Times New Roman" w:eastAsia="宋体" w:cs="Times New Roman"/>
          <w:kern w:val="0"/>
          <w:sz w:val="30"/>
          <w:szCs w:val="28"/>
        </w:rPr>
        <w:t>5.2产排污环节</w:t>
      </w:r>
      <w:bookmarkEnd w:id="282"/>
      <w:bookmarkEnd w:id="283"/>
    </w:p>
    <w:p w14:paraId="0464A462">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扩建项目共设置废包装桶整形清洗翻新生产线1条、废金属包装容器破碎清洗生产线1条、废塑料包装物破碎清洗生产线1条，项目产排污环节及主要污染物见下表：</w:t>
      </w:r>
    </w:p>
    <w:p w14:paraId="1428B3AC">
      <w:pPr>
        <w:pStyle w:val="48"/>
        <w:spacing w:before="0" w:line="360" w:lineRule="auto"/>
        <w:rPr>
          <w:rFonts w:hint="default" w:ascii="Times New Roman" w:hAnsi="Times New Roman" w:eastAsia="宋体" w:cs="Times New Roman"/>
          <w:sz w:val="24"/>
          <w:szCs w:val="21"/>
        </w:rPr>
      </w:pPr>
    </w:p>
    <w:p w14:paraId="324E255C">
      <w:pPr>
        <w:pStyle w:val="48"/>
        <w:spacing w:before="0" w:line="360" w:lineRule="auto"/>
        <w:rPr>
          <w:rFonts w:hint="default" w:ascii="Times New Roman" w:hAnsi="Times New Roman" w:eastAsia="宋体" w:cs="Times New Roman"/>
          <w:sz w:val="24"/>
          <w:szCs w:val="21"/>
        </w:rPr>
      </w:pPr>
    </w:p>
    <w:p w14:paraId="78A090B3">
      <w:pPr>
        <w:pStyle w:val="48"/>
        <w:spacing w:before="0" w:line="360" w:lineRule="auto"/>
        <w:rPr>
          <w:rFonts w:hint="default" w:ascii="Times New Roman" w:hAnsi="Times New Roman" w:eastAsia="宋体" w:cs="Times New Roman"/>
          <w:sz w:val="24"/>
          <w:szCs w:val="21"/>
        </w:rPr>
      </w:pPr>
    </w:p>
    <w:p w14:paraId="475EB002">
      <w:pPr>
        <w:pStyle w:val="48"/>
        <w:spacing w:before="0" w:line="360" w:lineRule="auto"/>
        <w:rPr>
          <w:rFonts w:hint="default" w:ascii="Times New Roman" w:hAnsi="Times New Roman" w:eastAsia="宋体" w:cs="Times New Roman"/>
          <w:sz w:val="24"/>
          <w:szCs w:val="21"/>
        </w:rPr>
      </w:pPr>
    </w:p>
    <w:p w14:paraId="4876BDD8">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表5.2-1  项目产排污环节及主要污染物汇总</w:t>
      </w:r>
    </w:p>
    <w:tbl>
      <w:tblPr>
        <w:tblStyle w:val="33"/>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
        <w:gridCol w:w="2228"/>
        <w:gridCol w:w="3040"/>
        <w:gridCol w:w="2825"/>
      </w:tblGrid>
      <w:tr w14:paraId="56F356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Align w:val="center"/>
          </w:tcPr>
          <w:p w14:paraId="156218D3">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类别</w:t>
            </w:r>
          </w:p>
        </w:tc>
        <w:tc>
          <w:tcPr>
            <w:tcW w:w="1307" w:type="pct"/>
            <w:vAlign w:val="center"/>
          </w:tcPr>
          <w:p w14:paraId="43862DE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生产线</w:t>
            </w:r>
          </w:p>
        </w:tc>
        <w:tc>
          <w:tcPr>
            <w:tcW w:w="1784" w:type="pct"/>
            <w:vAlign w:val="center"/>
          </w:tcPr>
          <w:p w14:paraId="3FFE33AD">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产污工序</w:t>
            </w:r>
          </w:p>
        </w:tc>
        <w:tc>
          <w:tcPr>
            <w:tcW w:w="1658" w:type="pct"/>
            <w:vAlign w:val="center"/>
          </w:tcPr>
          <w:p w14:paraId="1840F755">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主要污染物</w:t>
            </w:r>
          </w:p>
        </w:tc>
      </w:tr>
      <w:tr w14:paraId="53E510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restart"/>
            <w:vAlign w:val="center"/>
          </w:tcPr>
          <w:p w14:paraId="5BE4C603">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废气</w:t>
            </w:r>
          </w:p>
        </w:tc>
        <w:tc>
          <w:tcPr>
            <w:tcW w:w="1307" w:type="pct"/>
            <w:vAlign w:val="center"/>
          </w:tcPr>
          <w:p w14:paraId="12FA4BB3">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kern w:val="0"/>
                <w:sz w:val="21"/>
                <w:szCs w:val="21"/>
                <w:lang w:eastAsia="zh-CN"/>
              </w:rPr>
            </w:pPr>
            <w:r>
              <w:rPr>
                <w:rFonts w:hint="default" w:ascii="Times New Roman" w:hAnsi="Times New Roman" w:eastAsia="宋体" w:cs="Times New Roman"/>
                <w:b w:val="0"/>
                <w:bCs w:val="0"/>
                <w:kern w:val="0"/>
                <w:sz w:val="21"/>
                <w:szCs w:val="21"/>
              </w:rPr>
              <w:t>危险废物暂存仓库</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搬迁部分</w:t>
            </w:r>
            <w:r>
              <w:rPr>
                <w:rFonts w:hint="default" w:ascii="Times New Roman" w:hAnsi="Times New Roman" w:eastAsia="宋体" w:cs="Times New Roman"/>
                <w:b w:val="0"/>
                <w:bCs w:val="0"/>
                <w:kern w:val="0"/>
                <w:sz w:val="21"/>
                <w:szCs w:val="21"/>
                <w:lang w:eastAsia="zh-CN"/>
              </w:rPr>
              <w:t>）</w:t>
            </w:r>
          </w:p>
        </w:tc>
        <w:tc>
          <w:tcPr>
            <w:tcW w:w="1784" w:type="pct"/>
            <w:vAlign w:val="center"/>
          </w:tcPr>
          <w:p w14:paraId="38284BEE">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贮存隔间</w:t>
            </w:r>
          </w:p>
          <w:p w14:paraId="67A77860">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（HW06/HW12/HW13/HW31/HW34/HW35/HW49）</w:t>
            </w:r>
          </w:p>
        </w:tc>
        <w:tc>
          <w:tcPr>
            <w:tcW w:w="1658" w:type="pct"/>
            <w:vAlign w:val="center"/>
          </w:tcPr>
          <w:p w14:paraId="5A5CCBB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val="0"/>
                <w:bCs w:val="0"/>
                <w:kern w:val="0"/>
                <w:sz w:val="21"/>
                <w:szCs w:val="21"/>
                <w:lang w:val="en-US" w:eastAsia="zh-CN"/>
              </w:rPr>
            </w:pPr>
            <w:r>
              <w:rPr>
                <w:rFonts w:hint="default" w:ascii="Times New Roman" w:hAnsi="Times New Roman" w:eastAsia="宋体" w:cs="Times New Roman"/>
                <w:b w:val="0"/>
                <w:bCs w:val="0"/>
                <w:kern w:val="0"/>
                <w:sz w:val="21"/>
                <w:szCs w:val="21"/>
                <w:lang w:val="en-US" w:eastAsia="zh-CN"/>
              </w:rPr>
              <w:t>VOCs、硫酸雾、恶臭</w:t>
            </w:r>
          </w:p>
        </w:tc>
      </w:tr>
      <w:tr w14:paraId="5B9DAB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42E2099A">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restart"/>
            <w:vAlign w:val="center"/>
          </w:tcPr>
          <w:p w14:paraId="06BF000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危废分拣预处理</w:t>
            </w:r>
          </w:p>
        </w:tc>
        <w:tc>
          <w:tcPr>
            <w:tcW w:w="1784" w:type="pct"/>
            <w:vAlign w:val="center"/>
          </w:tcPr>
          <w:p w14:paraId="072C7E8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去残液</w:t>
            </w:r>
          </w:p>
        </w:tc>
        <w:tc>
          <w:tcPr>
            <w:tcW w:w="1658" w:type="pct"/>
            <w:vAlign w:val="center"/>
          </w:tcPr>
          <w:p w14:paraId="71C22F59">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VOCs</w:t>
            </w:r>
          </w:p>
        </w:tc>
      </w:tr>
      <w:tr w14:paraId="461F31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4EAB48CD">
            <w:pPr>
              <w:pStyle w:val="48"/>
              <w:keepNext w:val="0"/>
              <w:keepLines w:val="0"/>
              <w:suppressLineNumbers w:val="0"/>
              <w:spacing w:before="0" w:beforeAutospacing="0" w:after="0" w:afterAutospacing="0" w:line="240" w:lineRule="auto"/>
              <w:ind w:left="0" w:right="0" w:firstLine="422"/>
              <w:jc w:val="center"/>
              <w:rPr>
                <w:rFonts w:hint="default" w:ascii="Times New Roman" w:hAnsi="Times New Roman" w:eastAsia="宋体" w:cs="Times New Roman"/>
                <w:b/>
                <w:bCs/>
                <w:kern w:val="0"/>
                <w:sz w:val="21"/>
                <w:szCs w:val="21"/>
              </w:rPr>
            </w:pPr>
          </w:p>
        </w:tc>
        <w:tc>
          <w:tcPr>
            <w:tcW w:w="1307" w:type="pct"/>
            <w:vMerge w:val="continue"/>
            <w:vAlign w:val="center"/>
          </w:tcPr>
          <w:p w14:paraId="4C221069">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784" w:type="pct"/>
            <w:vAlign w:val="center"/>
          </w:tcPr>
          <w:p w14:paraId="7E7397A3">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暂存</w:t>
            </w:r>
          </w:p>
        </w:tc>
        <w:tc>
          <w:tcPr>
            <w:tcW w:w="1658" w:type="pct"/>
            <w:vAlign w:val="center"/>
          </w:tcPr>
          <w:p w14:paraId="18EE8CF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VOCs</w:t>
            </w:r>
          </w:p>
        </w:tc>
      </w:tr>
      <w:tr w14:paraId="2D29FC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156B82E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Align w:val="center"/>
          </w:tcPr>
          <w:p w14:paraId="497769DA">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废金属包装容器破碎清洗生产线</w:t>
            </w:r>
          </w:p>
        </w:tc>
        <w:tc>
          <w:tcPr>
            <w:tcW w:w="1784" w:type="pct"/>
            <w:vAlign w:val="center"/>
          </w:tcPr>
          <w:p w14:paraId="5F62852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撕碎</w:t>
            </w:r>
          </w:p>
        </w:tc>
        <w:tc>
          <w:tcPr>
            <w:tcW w:w="1658" w:type="pct"/>
            <w:vAlign w:val="center"/>
          </w:tcPr>
          <w:p w14:paraId="66BE0CE1">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VOCs</w:t>
            </w:r>
          </w:p>
        </w:tc>
      </w:tr>
      <w:tr w14:paraId="590D11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6" w:hRule="atLeast"/>
        </w:trPr>
        <w:tc>
          <w:tcPr>
            <w:tcW w:w="250" w:type="pct"/>
            <w:vMerge w:val="continue"/>
            <w:vAlign w:val="center"/>
          </w:tcPr>
          <w:p w14:paraId="4893464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Align w:val="center"/>
          </w:tcPr>
          <w:p w14:paraId="1FD68C54">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废塑料包装物破碎清洗生产线</w:t>
            </w:r>
          </w:p>
        </w:tc>
        <w:tc>
          <w:tcPr>
            <w:tcW w:w="1784" w:type="pct"/>
            <w:vAlign w:val="center"/>
          </w:tcPr>
          <w:p w14:paraId="582703E4">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撕碎</w:t>
            </w:r>
          </w:p>
        </w:tc>
        <w:tc>
          <w:tcPr>
            <w:tcW w:w="1658" w:type="pct"/>
            <w:vAlign w:val="center"/>
          </w:tcPr>
          <w:p w14:paraId="17CD85D9">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VOCs</w:t>
            </w:r>
          </w:p>
        </w:tc>
      </w:tr>
      <w:tr w14:paraId="5A5ACD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50" w:type="pct"/>
            <w:vMerge w:val="continue"/>
            <w:vAlign w:val="center"/>
          </w:tcPr>
          <w:p w14:paraId="19833AF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Align w:val="center"/>
          </w:tcPr>
          <w:p w14:paraId="19E69F5F">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废包装桶整形清洗翻新生产线</w:t>
            </w:r>
          </w:p>
        </w:tc>
        <w:tc>
          <w:tcPr>
            <w:tcW w:w="1784" w:type="pct"/>
            <w:vAlign w:val="center"/>
          </w:tcPr>
          <w:p w14:paraId="36DBCFE0">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整形</w:t>
            </w:r>
          </w:p>
        </w:tc>
        <w:tc>
          <w:tcPr>
            <w:tcW w:w="1658" w:type="pct"/>
            <w:vAlign w:val="center"/>
          </w:tcPr>
          <w:p w14:paraId="377E8C0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VOCs</w:t>
            </w:r>
          </w:p>
        </w:tc>
      </w:tr>
      <w:tr w14:paraId="5860BC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07" w:hRule="atLeast"/>
        </w:trPr>
        <w:tc>
          <w:tcPr>
            <w:tcW w:w="250" w:type="pct"/>
            <w:vMerge w:val="continue"/>
            <w:vAlign w:val="center"/>
          </w:tcPr>
          <w:p w14:paraId="71769EA5">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Align w:val="center"/>
          </w:tcPr>
          <w:p w14:paraId="152C4B4D">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污水处理站</w:t>
            </w:r>
          </w:p>
        </w:tc>
        <w:tc>
          <w:tcPr>
            <w:tcW w:w="1784" w:type="pct"/>
            <w:vAlign w:val="center"/>
          </w:tcPr>
          <w:p w14:paraId="20D44B96">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厌氧缺氧单元</w:t>
            </w:r>
          </w:p>
        </w:tc>
        <w:tc>
          <w:tcPr>
            <w:tcW w:w="1658" w:type="pct"/>
            <w:vAlign w:val="center"/>
          </w:tcPr>
          <w:p w14:paraId="1D786A0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臭气浓度</w:t>
            </w:r>
          </w:p>
        </w:tc>
      </w:tr>
      <w:tr w14:paraId="505088C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6" w:hRule="atLeast"/>
        </w:trPr>
        <w:tc>
          <w:tcPr>
            <w:tcW w:w="250" w:type="pct"/>
            <w:vMerge w:val="restart"/>
            <w:vAlign w:val="center"/>
          </w:tcPr>
          <w:p w14:paraId="541C451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废水</w:t>
            </w:r>
          </w:p>
        </w:tc>
        <w:tc>
          <w:tcPr>
            <w:tcW w:w="1307" w:type="pct"/>
            <w:vMerge w:val="restart"/>
            <w:vAlign w:val="center"/>
          </w:tcPr>
          <w:p w14:paraId="3958FB90">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废金属包装容器破碎清洗生产线</w:t>
            </w:r>
          </w:p>
        </w:tc>
        <w:tc>
          <w:tcPr>
            <w:tcW w:w="1784" w:type="pct"/>
            <w:vAlign w:val="center"/>
          </w:tcPr>
          <w:p w14:paraId="3CA2C9BF">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撕碎</w:t>
            </w:r>
          </w:p>
        </w:tc>
        <w:tc>
          <w:tcPr>
            <w:tcW w:w="1658" w:type="pct"/>
            <w:vMerge w:val="restart"/>
            <w:vAlign w:val="center"/>
          </w:tcPr>
          <w:p w14:paraId="55F8E51F">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pH、色度、COD、BOD、石油类、SS、甲苯、LAS</w:t>
            </w:r>
          </w:p>
        </w:tc>
      </w:tr>
      <w:tr w14:paraId="76EC24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7" w:hRule="atLeast"/>
        </w:trPr>
        <w:tc>
          <w:tcPr>
            <w:tcW w:w="250" w:type="pct"/>
            <w:vMerge w:val="continue"/>
            <w:vAlign w:val="center"/>
          </w:tcPr>
          <w:p w14:paraId="4C292BA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continue"/>
            <w:vAlign w:val="center"/>
          </w:tcPr>
          <w:p w14:paraId="55B2263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3570A06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团粒</w:t>
            </w:r>
          </w:p>
        </w:tc>
        <w:tc>
          <w:tcPr>
            <w:tcW w:w="1658" w:type="pct"/>
            <w:vMerge w:val="continue"/>
            <w:vAlign w:val="center"/>
          </w:tcPr>
          <w:p w14:paraId="657C6F16">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42895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3" w:hRule="atLeast"/>
        </w:trPr>
        <w:tc>
          <w:tcPr>
            <w:tcW w:w="250" w:type="pct"/>
            <w:vMerge w:val="continue"/>
            <w:vAlign w:val="center"/>
          </w:tcPr>
          <w:p w14:paraId="06B90A7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restart"/>
            <w:vAlign w:val="center"/>
          </w:tcPr>
          <w:p w14:paraId="6873D4F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废塑料包装物破碎清洗生产线</w:t>
            </w:r>
          </w:p>
        </w:tc>
        <w:tc>
          <w:tcPr>
            <w:tcW w:w="1784" w:type="pct"/>
            <w:vAlign w:val="center"/>
          </w:tcPr>
          <w:p w14:paraId="27E283FE">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撕碎</w:t>
            </w:r>
          </w:p>
        </w:tc>
        <w:tc>
          <w:tcPr>
            <w:tcW w:w="1658" w:type="pct"/>
            <w:vMerge w:val="restart"/>
            <w:vAlign w:val="center"/>
          </w:tcPr>
          <w:p w14:paraId="695DC03B">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pH、色度、COD、BOD、石油类、SS、甲苯、LAS</w:t>
            </w:r>
          </w:p>
        </w:tc>
      </w:tr>
      <w:tr w14:paraId="7A80E8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50" w:type="pct"/>
            <w:vMerge w:val="continue"/>
            <w:vAlign w:val="center"/>
          </w:tcPr>
          <w:p w14:paraId="6700B7DF">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continue"/>
            <w:vAlign w:val="center"/>
          </w:tcPr>
          <w:p w14:paraId="21BE1705">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26ED199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摩擦清洗</w:t>
            </w:r>
          </w:p>
        </w:tc>
        <w:tc>
          <w:tcPr>
            <w:tcW w:w="1658" w:type="pct"/>
            <w:vMerge w:val="continue"/>
            <w:vAlign w:val="center"/>
          </w:tcPr>
          <w:p w14:paraId="1B18F44A">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76088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50" w:type="pct"/>
            <w:vMerge w:val="continue"/>
            <w:vAlign w:val="center"/>
          </w:tcPr>
          <w:p w14:paraId="3C898EDF">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continue"/>
            <w:vAlign w:val="center"/>
          </w:tcPr>
          <w:p w14:paraId="6D6C5E6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7091E020">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浮沉分离</w:t>
            </w:r>
          </w:p>
        </w:tc>
        <w:tc>
          <w:tcPr>
            <w:tcW w:w="1658" w:type="pct"/>
            <w:vMerge w:val="continue"/>
            <w:vAlign w:val="center"/>
          </w:tcPr>
          <w:p w14:paraId="6F5794FF">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56C33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50" w:type="pct"/>
            <w:vMerge w:val="continue"/>
            <w:vAlign w:val="center"/>
          </w:tcPr>
          <w:p w14:paraId="01008BB9">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continue"/>
            <w:vAlign w:val="center"/>
          </w:tcPr>
          <w:p w14:paraId="256402A1">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09BCA72A">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破碎</w:t>
            </w:r>
          </w:p>
        </w:tc>
        <w:tc>
          <w:tcPr>
            <w:tcW w:w="1658" w:type="pct"/>
            <w:vMerge w:val="continue"/>
            <w:vAlign w:val="center"/>
          </w:tcPr>
          <w:p w14:paraId="5255D1B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1D29AB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50" w:type="pct"/>
            <w:vMerge w:val="continue"/>
            <w:vAlign w:val="center"/>
          </w:tcPr>
          <w:p w14:paraId="5C7FC22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continue"/>
            <w:vAlign w:val="center"/>
          </w:tcPr>
          <w:p w14:paraId="1DD4874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006497F9">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浮沉漂洗</w:t>
            </w:r>
          </w:p>
        </w:tc>
        <w:tc>
          <w:tcPr>
            <w:tcW w:w="1658" w:type="pct"/>
            <w:vMerge w:val="continue"/>
            <w:vAlign w:val="center"/>
          </w:tcPr>
          <w:p w14:paraId="43CF60F1">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68AAD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0" w:hRule="atLeast"/>
        </w:trPr>
        <w:tc>
          <w:tcPr>
            <w:tcW w:w="250" w:type="pct"/>
            <w:vMerge w:val="continue"/>
            <w:vAlign w:val="center"/>
          </w:tcPr>
          <w:p w14:paraId="458EFF4B">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continue"/>
            <w:vAlign w:val="center"/>
          </w:tcPr>
          <w:p w14:paraId="1FF1963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38B63971">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高速脱水</w:t>
            </w:r>
          </w:p>
        </w:tc>
        <w:tc>
          <w:tcPr>
            <w:tcW w:w="1658" w:type="pct"/>
            <w:vMerge w:val="continue"/>
            <w:vAlign w:val="center"/>
          </w:tcPr>
          <w:p w14:paraId="163557F6">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3CA8B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6" w:hRule="atLeast"/>
        </w:trPr>
        <w:tc>
          <w:tcPr>
            <w:tcW w:w="250" w:type="pct"/>
            <w:vMerge w:val="continue"/>
            <w:vAlign w:val="center"/>
          </w:tcPr>
          <w:p w14:paraId="3E036BA3">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restart"/>
            <w:vAlign w:val="center"/>
          </w:tcPr>
          <w:p w14:paraId="4753F09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废包装桶整形清洗翻新生产线</w:t>
            </w:r>
          </w:p>
        </w:tc>
        <w:tc>
          <w:tcPr>
            <w:tcW w:w="1784" w:type="pct"/>
            <w:vAlign w:val="center"/>
          </w:tcPr>
          <w:p w14:paraId="3526741D">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清洗</w:t>
            </w:r>
          </w:p>
        </w:tc>
        <w:tc>
          <w:tcPr>
            <w:tcW w:w="1658" w:type="pct"/>
            <w:vMerge w:val="restart"/>
            <w:vAlign w:val="center"/>
          </w:tcPr>
          <w:p w14:paraId="15AE09A5">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pH、色度、COD、BOD、石油类、SS、甲苯、LAS</w:t>
            </w:r>
          </w:p>
        </w:tc>
      </w:tr>
      <w:tr w14:paraId="6F6E51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250" w:type="pct"/>
            <w:vMerge w:val="continue"/>
            <w:vAlign w:val="center"/>
          </w:tcPr>
          <w:p w14:paraId="1C074D2B">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continue"/>
            <w:vAlign w:val="center"/>
          </w:tcPr>
          <w:p w14:paraId="0E7798E1">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0E590E36">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冲洗</w:t>
            </w:r>
          </w:p>
        </w:tc>
        <w:tc>
          <w:tcPr>
            <w:tcW w:w="1658" w:type="pct"/>
            <w:vMerge w:val="continue"/>
            <w:vAlign w:val="center"/>
          </w:tcPr>
          <w:p w14:paraId="5D966519">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1D10DE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0" w:hRule="atLeast"/>
        </w:trPr>
        <w:tc>
          <w:tcPr>
            <w:tcW w:w="250" w:type="pct"/>
            <w:vMerge w:val="restart"/>
            <w:vAlign w:val="center"/>
          </w:tcPr>
          <w:p w14:paraId="3D9D3880">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噪声</w:t>
            </w:r>
          </w:p>
        </w:tc>
        <w:tc>
          <w:tcPr>
            <w:tcW w:w="1307" w:type="pct"/>
            <w:vMerge w:val="restart"/>
            <w:vAlign w:val="center"/>
          </w:tcPr>
          <w:p w14:paraId="59FBFEF6">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废金属包装容器破碎清洗生产线</w:t>
            </w:r>
          </w:p>
        </w:tc>
        <w:tc>
          <w:tcPr>
            <w:tcW w:w="1784" w:type="pct"/>
            <w:vAlign w:val="center"/>
          </w:tcPr>
          <w:p w14:paraId="1E4D4B7E">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撕碎</w:t>
            </w:r>
          </w:p>
        </w:tc>
        <w:tc>
          <w:tcPr>
            <w:tcW w:w="1658" w:type="pct"/>
            <w:vMerge w:val="restart"/>
            <w:vAlign w:val="center"/>
          </w:tcPr>
          <w:p w14:paraId="16F0D96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Leq（A）</w:t>
            </w:r>
          </w:p>
        </w:tc>
      </w:tr>
      <w:tr w14:paraId="03067F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250" w:type="pct"/>
            <w:vMerge w:val="continue"/>
            <w:vAlign w:val="center"/>
          </w:tcPr>
          <w:p w14:paraId="5FB30CAB">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continue"/>
            <w:vAlign w:val="center"/>
          </w:tcPr>
          <w:p w14:paraId="46F2713B">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4A5F482F">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磁选</w:t>
            </w:r>
          </w:p>
        </w:tc>
        <w:tc>
          <w:tcPr>
            <w:tcW w:w="1658" w:type="pct"/>
            <w:vMerge w:val="continue"/>
            <w:vAlign w:val="center"/>
          </w:tcPr>
          <w:p w14:paraId="2F72FB76">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22FF57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7" w:hRule="atLeast"/>
        </w:trPr>
        <w:tc>
          <w:tcPr>
            <w:tcW w:w="250" w:type="pct"/>
            <w:vMerge w:val="continue"/>
            <w:vAlign w:val="center"/>
          </w:tcPr>
          <w:p w14:paraId="46ED4D44">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Merge w:val="continue"/>
            <w:vAlign w:val="center"/>
          </w:tcPr>
          <w:p w14:paraId="68DE34DE">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45209C99">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团粒</w:t>
            </w:r>
          </w:p>
        </w:tc>
        <w:tc>
          <w:tcPr>
            <w:tcW w:w="1658" w:type="pct"/>
            <w:vMerge w:val="continue"/>
            <w:vAlign w:val="center"/>
          </w:tcPr>
          <w:p w14:paraId="59AA1FC5">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07E66D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250" w:type="pct"/>
            <w:vMerge w:val="continue"/>
            <w:vAlign w:val="center"/>
          </w:tcPr>
          <w:p w14:paraId="761469E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307" w:type="pct"/>
            <w:vMerge w:val="restart"/>
            <w:vAlign w:val="center"/>
          </w:tcPr>
          <w:p w14:paraId="3671512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废塑料包装物破碎清洗生产线</w:t>
            </w:r>
          </w:p>
        </w:tc>
        <w:tc>
          <w:tcPr>
            <w:tcW w:w="1784" w:type="pct"/>
            <w:vAlign w:val="center"/>
          </w:tcPr>
          <w:p w14:paraId="10E0E251">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撕碎</w:t>
            </w:r>
          </w:p>
        </w:tc>
        <w:tc>
          <w:tcPr>
            <w:tcW w:w="1658" w:type="pct"/>
            <w:vMerge w:val="restart"/>
            <w:vAlign w:val="center"/>
          </w:tcPr>
          <w:p w14:paraId="20C0E194">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Leq（A）</w:t>
            </w:r>
          </w:p>
        </w:tc>
      </w:tr>
      <w:tr w14:paraId="29C60C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3" w:hRule="atLeast"/>
        </w:trPr>
        <w:tc>
          <w:tcPr>
            <w:tcW w:w="250" w:type="pct"/>
            <w:vMerge w:val="continue"/>
            <w:vAlign w:val="center"/>
          </w:tcPr>
          <w:p w14:paraId="61B70C4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307" w:type="pct"/>
            <w:vMerge w:val="continue"/>
            <w:vAlign w:val="center"/>
          </w:tcPr>
          <w:p w14:paraId="4159FFC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784" w:type="pct"/>
            <w:vAlign w:val="center"/>
          </w:tcPr>
          <w:p w14:paraId="3B660C7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破碎</w:t>
            </w:r>
          </w:p>
        </w:tc>
        <w:tc>
          <w:tcPr>
            <w:tcW w:w="1658" w:type="pct"/>
            <w:vMerge w:val="continue"/>
            <w:vAlign w:val="center"/>
          </w:tcPr>
          <w:p w14:paraId="1E5718B4">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r>
      <w:tr w14:paraId="4D9932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7" w:hRule="atLeast"/>
        </w:trPr>
        <w:tc>
          <w:tcPr>
            <w:tcW w:w="250" w:type="pct"/>
            <w:vMerge w:val="continue"/>
            <w:vAlign w:val="center"/>
          </w:tcPr>
          <w:p w14:paraId="567A54C0">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307" w:type="pct"/>
            <w:vAlign w:val="center"/>
          </w:tcPr>
          <w:p w14:paraId="57ACF3E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废包装桶整形清洗翻新生产线</w:t>
            </w:r>
          </w:p>
        </w:tc>
        <w:tc>
          <w:tcPr>
            <w:tcW w:w="1784" w:type="pct"/>
            <w:vAlign w:val="center"/>
          </w:tcPr>
          <w:p w14:paraId="2ABB83D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整形</w:t>
            </w:r>
          </w:p>
        </w:tc>
        <w:tc>
          <w:tcPr>
            <w:tcW w:w="1658" w:type="pct"/>
            <w:vAlign w:val="center"/>
          </w:tcPr>
          <w:p w14:paraId="6910DF64">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Leq（A）</w:t>
            </w:r>
          </w:p>
        </w:tc>
      </w:tr>
      <w:tr w14:paraId="748C48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restart"/>
            <w:vAlign w:val="center"/>
          </w:tcPr>
          <w:p w14:paraId="3D0743BF">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固废</w:t>
            </w:r>
          </w:p>
        </w:tc>
        <w:tc>
          <w:tcPr>
            <w:tcW w:w="1307" w:type="pct"/>
            <w:vAlign w:val="center"/>
          </w:tcPr>
          <w:p w14:paraId="0130DDCB">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共用部分（预处理）</w:t>
            </w:r>
          </w:p>
        </w:tc>
        <w:tc>
          <w:tcPr>
            <w:tcW w:w="1784" w:type="pct"/>
            <w:vAlign w:val="center"/>
          </w:tcPr>
          <w:p w14:paraId="4AE4573A">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去残液</w:t>
            </w:r>
          </w:p>
        </w:tc>
        <w:tc>
          <w:tcPr>
            <w:tcW w:w="1658" w:type="pct"/>
            <w:vAlign w:val="center"/>
          </w:tcPr>
          <w:p w14:paraId="032F8F74">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废渣、废</w:t>
            </w:r>
            <w:r>
              <w:rPr>
                <w:rFonts w:hint="default" w:ascii="Times New Roman" w:hAnsi="Times New Roman" w:eastAsia="宋体" w:cs="Times New Roman"/>
                <w:kern w:val="0"/>
                <w:sz w:val="21"/>
                <w:szCs w:val="21"/>
              </w:rPr>
              <w:t>残液</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lang w:val="en-US" w:eastAsia="zh-CN"/>
              </w:rPr>
              <w:t>废滤纸</w:t>
            </w:r>
          </w:p>
        </w:tc>
      </w:tr>
      <w:tr w14:paraId="3CB569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226378B5">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bCs/>
                <w:kern w:val="0"/>
                <w:sz w:val="21"/>
                <w:szCs w:val="21"/>
              </w:rPr>
            </w:pPr>
          </w:p>
        </w:tc>
        <w:tc>
          <w:tcPr>
            <w:tcW w:w="1307" w:type="pct"/>
            <w:vAlign w:val="center"/>
          </w:tcPr>
          <w:p w14:paraId="0354467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b w:val="0"/>
                <w:bCs w:val="0"/>
                <w:kern w:val="0"/>
                <w:sz w:val="21"/>
                <w:szCs w:val="21"/>
              </w:rPr>
              <w:t>危险废物暂存仓库</w:t>
            </w:r>
            <w:r>
              <w:rPr>
                <w:rFonts w:hint="default" w:ascii="Times New Roman" w:hAnsi="Times New Roman" w:eastAsia="宋体" w:cs="Times New Roman"/>
                <w:b w:val="0"/>
                <w:bCs w:val="0"/>
                <w:kern w:val="0"/>
                <w:sz w:val="21"/>
                <w:szCs w:val="21"/>
                <w:lang w:eastAsia="zh-CN"/>
              </w:rPr>
              <w:t>（</w:t>
            </w:r>
            <w:r>
              <w:rPr>
                <w:rFonts w:hint="default" w:ascii="Times New Roman" w:hAnsi="Times New Roman" w:eastAsia="宋体" w:cs="Times New Roman"/>
                <w:b w:val="0"/>
                <w:bCs w:val="0"/>
                <w:kern w:val="0"/>
                <w:sz w:val="21"/>
                <w:szCs w:val="21"/>
                <w:lang w:val="en-US" w:eastAsia="zh-CN"/>
              </w:rPr>
              <w:t>搬迁部分</w:t>
            </w:r>
            <w:r>
              <w:rPr>
                <w:rFonts w:hint="default" w:ascii="Times New Roman" w:hAnsi="Times New Roman" w:eastAsia="宋体" w:cs="Times New Roman"/>
                <w:b w:val="0"/>
                <w:bCs w:val="0"/>
                <w:kern w:val="0"/>
                <w:sz w:val="21"/>
                <w:szCs w:val="21"/>
                <w:lang w:eastAsia="zh-CN"/>
              </w:rPr>
              <w:t>）</w:t>
            </w:r>
          </w:p>
        </w:tc>
        <w:tc>
          <w:tcPr>
            <w:tcW w:w="1784" w:type="pct"/>
            <w:vAlign w:val="center"/>
          </w:tcPr>
          <w:p w14:paraId="53BE7EE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铅蓄电池贮存</w:t>
            </w:r>
          </w:p>
        </w:tc>
        <w:tc>
          <w:tcPr>
            <w:tcW w:w="1658" w:type="pct"/>
            <w:vAlign w:val="center"/>
          </w:tcPr>
          <w:p w14:paraId="2160921D">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lang w:val="en-US" w:eastAsia="zh-CN"/>
              </w:rPr>
              <w:t>铅蓄电池电解液</w:t>
            </w:r>
          </w:p>
        </w:tc>
      </w:tr>
      <w:tr w14:paraId="244195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052D007E">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307" w:type="pct"/>
            <w:vAlign w:val="center"/>
          </w:tcPr>
          <w:p w14:paraId="4E8A924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废金属包装容器破碎清洗生产线</w:t>
            </w:r>
          </w:p>
        </w:tc>
        <w:tc>
          <w:tcPr>
            <w:tcW w:w="1784" w:type="pct"/>
            <w:vAlign w:val="center"/>
          </w:tcPr>
          <w:p w14:paraId="6B136EA0">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磁选分离</w:t>
            </w:r>
          </w:p>
        </w:tc>
        <w:tc>
          <w:tcPr>
            <w:tcW w:w="1658" w:type="pct"/>
            <w:vAlign w:val="center"/>
          </w:tcPr>
          <w:p w14:paraId="1D89BB4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非金属杂质</w:t>
            </w:r>
          </w:p>
        </w:tc>
      </w:tr>
      <w:tr w14:paraId="4DBDF5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471AB735">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307" w:type="pct"/>
            <w:vAlign w:val="center"/>
          </w:tcPr>
          <w:p w14:paraId="57AB11F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废塑料包装容器破碎清洗生产线</w:t>
            </w:r>
          </w:p>
        </w:tc>
        <w:tc>
          <w:tcPr>
            <w:tcW w:w="1784" w:type="pct"/>
            <w:vAlign w:val="center"/>
          </w:tcPr>
          <w:p w14:paraId="6E3D4287">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浮沉分离</w:t>
            </w:r>
          </w:p>
        </w:tc>
        <w:tc>
          <w:tcPr>
            <w:tcW w:w="1658" w:type="pct"/>
            <w:vAlign w:val="center"/>
          </w:tcPr>
          <w:p w14:paraId="4D76868B">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非金属杂质</w:t>
            </w:r>
          </w:p>
        </w:tc>
      </w:tr>
      <w:tr w14:paraId="4D3A83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7995CBF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bookmarkStart w:id="284" w:name="_Toc123733097"/>
            <w:bookmarkStart w:id="285" w:name="_Toc106961890"/>
          </w:p>
        </w:tc>
        <w:tc>
          <w:tcPr>
            <w:tcW w:w="1307" w:type="pct"/>
            <w:vAlign w:val="center"/>
          </w:tcPr>
          <w:p w14:paraId="496F06CE">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废气治理</w:t>
            </w:r>
          </w:p>
        </w:tc>
        <w:tc>
          <w:tcPr>
            <w:tcW w:w="1784" w:type="pct"/>
            <w:vAlign w:val="center"/>
          </w:tcPr>
          <w:p w14:paraId="723A8156">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活性炭吸附</w:t>
            </w:r>
          </w:p>
        </w:tc>
        <w:tc>
          <w:tcPr>
            <w:tcW w:w="1658" w:type="pct"/>
            <w:vAlign w:val="center"/>
          </w:tcPr>
          <w:p w14:paraId="4EF539F5">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废活性炭</w:t>
            </w:r>
          </w:p>
        </w:tc>
      </w:tr>
      <w:tr w14:paraId="443BB7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72AB40C6">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307" w:type="pct"/>
            <w:vMerge w:val="restart"/>
            <w:vAlign w:val="center"/>
          </w:tcPr>
          <w:p w14:paraId="71E1DF5E">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机械设备维修保养</w:t>
            </w:r>
          </w:p>
        </w:tc>
        <w:tc>
          <w:tcPr>
            <w:tcW w:w="1784" w:type="pct"/>
            <w:vMerge w:val="restart"/>
            <w:vAlign w:val="center"/>
          </w:tcPr>
          <w:p w14:paraId="738B9BD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机械设备维修保养</w:t>
            </w:r>
          </w:p>
        </w:tc>
        <w:tc>
          <w:tcPr>
            <w:tcW w:w="1658" w:type="pct"/>
            <w:vAlign w:val="center"/>
          </w:tcPr>
          <w:p w14:paraId="2106C12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rPr>
              <w:t>废含油抹布和劳保用品</w:t>
            </w:r>
          </w:p>
        </w:tc>
      </w:tr>
      <w:tr w14:paraId="0F15E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2E41A1A9">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307" w:type="pct"/>
            <w:vMerge w:val="continue"/>
            <w:vAlign w:val="center"/>
          </w:tcPr>
          <w:p w14:paraId="2DEFC4FB">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p>
        </w:tc>
        <w:tc>
          <w:tcPr>
            <w:tcW w:w="1784" w:type="pct"/>
            <w:vMerge w:val="continue"/>
            <w:vAlign w:val="center"/>
          </w:tcPr>
          <w:p w14:paraId="47542B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rPr>
            </w:pPr>
          </w:p>
        </w:tc>
        <w:tc>
          <w:tcPr>
            <w:tcW w:w="1658" w:type="pct"/>
            <w:vAlign w:val="center"/>
          </w:tcPr>
          <w:p w14:paraId="67D0D23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lang w:val="en-US" w:eastAsia="zh-CN"/>
              </w:rPr>
              <w:t>废机油、</w:t>
            </w:r>
            <w:r>
              <w:rPr>
                <w:rFonts w:hint="default" w:ascii="Times New Roman" w:hAnsi="Times New Roman" w:eastAsia="宋体" w:cs="Times New Roman"/>
              </w:rPr>
              <w:t>废油桶</w:t>
            </w:r>
          </w:p>
        </w:tc>
      </w:tr>
      <w:tr w14:paraId="41DC98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7C9DDE21">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307" w:type="pct"/>
            <w:vAlign w:val="center"/>
          </w:tcPr>
          <w:p w14:paraId="0D92958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rPr>
              <w:t>污水处理站</w:t>
            </w:r>
          </w:p>
        </w:tc>
        <w:tc>
          <w:tcPr>
            <w:tcW w:w="1784" w:type="pct"/>
            <w:vAlign w:val="center"/>
          </w:tcPr>
          <w:p w14:paraId="40C9504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kern w:val="0"/>
                <w:sz w:val="21"/>
                <w:szCs w:val="21"/>
                <w:lang w:val="en-US" w:eastAsia="zh-CN"/>
              </w:rPr>
              <w:t>污水处理</w:t>
            </w:r>
          </w:p>
        </w:tc>
        <w:tc>
          <w:tcPr>
            <w:tcW w:w="1658" w:type="pct"/>
            <w:vAlign w:val="center"/>
          </w:tcPr>
          <w:p w14:paraId="6E3E62B8">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污泥</w:t>
            </w:r>
          </w:p>
        </w:tc>
      </w:tr>
      <w:tr w14:paraId="44725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50" w:type="pct"/>
            <w:vMerge w:val="continue"/>
            <w:vAlign w:val="center"/>
          </w:tcPr>
          <w:p w14:paraId="7B3F5FAC">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rPr>
            </w:pPr>
          </w:p>
        </w:tc>
        <w:tc>
          <w:tcPr>
            <w:tcW w:w="1307" w:type="pct"/>
            <w:vAlign w:val="center"/>
          </w:tcPr>
          <w:p w14:paraId="7D8A89C2">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员工办公</w:t>
            </w:r>
          </w:p>
        </w:tc>
        <w:tc>
          <w:tcPr>
            <w:tcW w:w="1784" w:type="pct"/>
            <w:vAlign w:val="center"/>
          </w:tcPr>
          <w:p w14:paraId="73FECFEB">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kern w:val="0"/>
                <w:sz w:val="21"/>
                <w:szCs w:val="21"/>
                <w:lang w:val="en-US" w:eastAsia="zh-CN"/>
              </w:rPr>
              <w:t>员工办公</w:t>
            </w:r>
          </w:p>
        </w:tc>
        <w:tc>
          <w:tcPr>
            <w:tcW w:w="1658" w:type="pct"/>
            <w:vAlign w:val="center"/>
          </w:tcPr>
          <w:p w14:paraId="6D6F6950">
            <w:pPr>
              <w:pStyle w:val="48"/>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生活垃圾</w:t>
            </w:r>
          </w:p>
        </w:tc>
      </w:tr>
    </w:tbl>
    <w:p w14:paraId="77DA0714">
      <w:pPr>
        <w:pStyle w:val="3"/>
        <w:spacing w:before="0" w:after="0" w:line="360" w:lineRule="auto"/>
        <w:jc w:val="left"/>
        <w:rPr>
          <w:rFonts w:hint="default" w:ascii="Times New Roman" w:hAnsi="Times New Roman" w:eastAsia="宋体" w:cs="Times New Roman"/>
          <w:kern w:val="0"/>
          <w:sz w:val="30"/>
          <w:szCs w:val="28"/>
        </w:rPr>
      </w:pPr>
      <w:bookmarkStart w:id="286" w:name="_Toc12714"/>
      <w:r>
        <w:rPr>
          <w:rFonts w:hint="default" w:ascii="Times New Roman" w:hAnsi="Times New Roman" w:eastAsia="宋体" w:cs="Times New Roman"/>
          <w:kern w:val="0"/>
          <w:sz w:val="30"/>
          <w:szCs w:val="28"/>
        </w:rPr>
        <w:t>5.3物料平衡</w:t>
      </w:r>
      <w:bookmarkEnd w:id="284"/>
      <w:bookmarkEnd w:id="285"/>
      <w:bookmarkEnd w:id="286"/>
    </w:p>
    <w:p w14:paraId="5C4D2524">
      <w:pPr>
        <w:spacing w:line="360" w:lineRule="auto"/>
        <w:ind w:firstLine="480" w:firstLineChars="20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项目仅针对危废再生利用部分进行物料平衡计算，危险废物的收集、贮存不计入平衡。项目物料平衡系根据物料设计投入量、生产参数以及污染物排放源强进行核算，物料平衡如下表所示：</w:t>
      </w:r>
    </w:p>
    <w:p w14:paraId="619ECB3E">
      <w:pPr>
        <w:pStyle w:val="67"/>
        <w:adjustRightInd/>
        <w:spacing w:line="360" w:lineRule="auto"/>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表</w:t>
      </w:r>
      <w:r>
        <w:rPr>
          <w:rFonts w:hint="default" w:ascii="Times New Roman" w:hAnsi="Times New Roman" w:eastAsia="宋体" w:cs="Times New Roman"/>
          <w:sz w:val="21"/>
          <w:u w:val="single"/>
          <w:lang w:val="en-US" w:eastAsia="zh-CN"/>
        </w:rPr>
        <w:t>5.3</w:t>
      </w:r>
      <w:r>
        <w:rPr>
          <w:rFonts w:hint="default" w:ascii="Times New Roman" w:hAnsi="Times New Roman" w:eastAsia="宋体" w:cs="Times New Roman"/>
          <w:sz w:val="21"/>
          <w:u w:val="single"/>
        </w:rPr>
        <w:noBreakHyphen/>
      </w:r>
      <w:r>
        <w:rPr>
          <w:rFonts w:hint="default" w:ascii="Times New Roman" w:hAnsi="Times New Roman" w:eastAsia="宋体" w:cs="Times New Roman"/>
          <w:sz w:val="21"/>
          <w:u w:val="single"/>
        </w:rPr>
        <w:t xml:space="preserve">1 </w:t>
      </w:r>
      <w:r>
        <w:rPr>
          <w:rFonts w:hint="default" w:ascii="Times New Roman" w:hAnsi="Times New Roman" w:eastAsia="宋体" w:cs="Times New Roman"/>
          <w:sz w:val="21"/>
          <w:u w:val="single"/>
          <w:lang w:eastAsia="zh-CN"/>
        </w:rPr>
        <w:t>危废再生利用</w:t>
      </w:r>
      <w:r>
        <w:rPr>
          <w:rFonts w:hint="default" w:ascii="Times New Roman" w:hAnsi="Times New Roman" w:eastAsia="宋体" w:cs="Times New Roman"/>
          <w:sz w:val="21"/>
          <w:u w:val="single"/>
        </w:rPr>
        <w:t>物料平衡表  单位：</w:t>
      </w:r>
      <w:r>
        <w:rPr>
          <w:rFonts w:hint="default" w:ascii="Times New Roman" w:hAnsi="Times New Roman" w:eastAsia="宋体" w:cs="Times New Roman"/>
          <w:sz w:val="21"/>
          <w:u w:val="single"/>
          <w:lang w:eastAsia="zh-CN"/>
        </w:rPr>
        <w:t>t</w:t>
      </w:r>
      <w:r>
        <w:rPr>
          <w:rFonts w:hint="default" w:ascii="Times New Roman" w:hAnsi="Times New Roman" w:eastAsia="宋体" w:cs="Times New Roman"/>
          <w:sz w:val="21"/>
          <w:u w:val="single"/>
        </w:rPr>
        <w:t>/a</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95"/>
        <w:gridCol w:w="1539"/>
        <w:gridCol w:w="2935"/>
        <w:gridCol w:w="1853"/>
      </w:tblGrid>
      <w:tr w14:paraId="70F0E7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pct"/>
            <w:vAlign w:val="center"/>
          </w:tcPr>
          <w:p w14:paraId="448226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物料</w:t>
            </w:r>
          </w:p>
        </w:tc>
        <w:tc>
          <w:tcPr>
            <w:tcW w:w="903" w:type="pct"/>
            <w:vAlign w:val="center"/>
          </w:tcPr>
          <w:p w14:paraId="376E279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投入量</w:t>
            </w:r>
          </w:p>
        </w:tc>
        <w:tc>
          <w:tcPr>
            <w:tcW w:w="1722" w:type="pct"/>
            <w:vAlign w:val="center"/>
          </w:tcPr>
          <w:p w14:paraId="3E45AD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物料</w:t>
            </w:r>
          </w:p>
        </w:tc>
        <w:tc>
          <w:tcPr>
            <w:tcW w:w="1087" w:type="pct"/>
            <w:vAlign w:val="center"/>
          </w:tcPr>
          <w:p w14:paraId="051D12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产出量</w:t>
            </w:r>
          </w:p>
        </w:tc>
      </w:tr>
      <w:tr w14:paraId="45132B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pct"/>
            <w:vAlign w:val="center"/>
          </w:tcPr>
          <w:p w14:paraId="77245D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废金属包装容器</w:t>
            </w:r>
          </w:p>
        </w:tc>
        <w:tc>
          <w:tcPr>
            <w:tcW w:w="903" w:type="pct"/>
            <w:vAlign w:val="center"/>
          </w:tcPr>
          <w:p w14:paraId="24D681F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10000</w:t>
            </w:r>
          </w:p>
        </w:tc>
        <w:tc>
          <w:tcPr>
            <w:tcW w:w="1722" w:type="pct"/>
            <w:vAlign w:val="center"/>
          </w:tcPr>
          <w:p w14:paraId="580B10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翻新金属桶</w:t>
            </w:r>
          </w:p>
        </w:tc>
        <w:tc>
          <w:tcPr>
            <w:tcW w:w="1087" w:type="pct"/>
            <w:vAlign w:val="center"/>
          </w:tcPr>
          <w:p w14:paraId="56918AE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lang w:val="en-US" w:eastAsia="zh-CN"/>
              </w:rPr>
              <w:t>15</w:t>
            </w:r>
            <w:r>
              <w:rPr>
                <w:rFonts w:hint="default" w:ascii="Times New Roman" w:hAnsi="Times New Roman" w:eastAsia="宋体" w:cs="Times New Roman"/>
                <w:color w:val="000000"/>
                <w:szCs w:val="21"/>
                <w:u w:val="single"/>
              </w:rPr>
              <w:t>00</w:t>
            </w:r>
          </w:p>
        </w:tc>
      </w:tr>
      <w:tr w14:paraId="7FE5B1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pct"/>
            <w:vAlign w:val="center"/>
          </w:tcPr>
          <w:p w14:paraId="369F20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废塑料包装容器</w:t>
            </w:r>
          </w:p>
        </w:tc>
        <w:tc>
          <w:tcPr>
            <w:tcW w:w="903" w:type="pct"/>
            <w:vAlign w:val="center"/>
          </w:tcPr>
          <w:p w14:paraId="3F568F7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5000</w:t>
            </w:r>
          </w:p>
        </w:tc>
        <w:tc>
          <w:tcPr>
            <w:tcW w:w="1722" w:type="pct"/>
            <w:vAlign w:val="center"/>
          </w:tcPr>
          <w:p w14:paraId="3A4831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翻新塑料桶</w:t>
            </w:r>
          </w:p>
        </w:tc>
        <w:tc>
          <w:tcPr>
            <w:tcW w:w="1087" w:type="pct"/>
            <w:vAlign w:val="center"/>
          </w:tcPr>
          <w:p w14:paraId="4239D7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500</w:t>
            </w:r>
          </w:p>
        </w:tc>
      </w:tr>
      <w:tr w14:paraId="33F08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195" w:type="dxa"/>
            <w:vAlign w:val="center"/>
          </w:tcPr>
          <w:p w14:paraId="166C54B9">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废金属机油滤芯</w:t>
            </w:r>
          </w:p>
        </w:tc>
        <w:tc>
          <w:tcPr>
            <w:tcW w:w="1539" w:type="dxa"/>
            <w:vAlign w:val="center"/>
          </w:tcPr>
          <w:p w14:paraId="553AA72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5000</w:t>
            </w:r>
          </w:p>
        </w:tc>
        <w:tc>
          <w:tcPr>
            <w:tcW w:w="1722" w:type="pct"/>
            <w:vAlign w:val="center"/>
          </w:tcPr>
          <w:p w14:paraId="7A16C7D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铁皮</w:t>
            </w:r>
          </w:p>
        </w:tc>
        <w:tc>
          <w:tcPr>
            <w:tcW w:w="1087" w:type="pct"/>
            <w:vAlign w:val="center"/>
          </w:tcPr>
          <w:p w14:paraId="0CDCBCE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lang w:val="en-US" w:eastAsia="zh-CN"/>
              </w:rPr>
            </w:pPr>
            <w:r>
              <w:rPr>
                <w:rFonts w:hint="default" w:ascii="Times New Roman" w:hAnsi="Times New Roman" w:eastAsia="宋体" w:cs="Times New Roman"/>
                <w:color w:val="000000"/>
                <w:szCs w:val="21"/>
                <w:u w:val="single"/>
                <w:lang w:val="en-US" w:eastAsia="zh-CN"/>
              </w:rPr>
              <w:t>500</w:t>
            </w:r>
          </w:p>
        </w:tc>
      </w:tr>
      <w:tr w14:paraId="72991F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pct"/>
            <w:vAlign w:val="center"/>
          </w:tcPr>
          <w:p w14:paraId="66CDA60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p>
        </w:tc>
        <w:tc>
          <w:tcPr>
            <w:tcW w:w="903" w:type="pct"/>
            <w:vAlign w:val="center"/>
          </w:tcPr>
          <w:p w14:paraId="6544D08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p>
        </w:tc>
        <w:tc>
          <w:tcPr>
            <w:tcW w:w="1722" w:type="pct"/>
            <w:vAlign w:val="center"/>
          </w:tcPr>
          <w:p w14:paraId="01CA14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金属颗粒</w:t>
            </w:r>
          </w:p>
        </w:tc>
        <w:tc>
          <w:tcPr>
            <w:tcW w:w="1087" w:type="pct"/>
            <w:vAlign w:val="center"/>
          </w:tcPr>
          <w:p w14:paraId="66FBFCF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11875</w:t>
            </w:r>
          </w:p>
        </w:tc>
      </w:tr>
      <w:tr w14:paraId="2CB04B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pct"/>
            <w:vAlign w:val="center"/>
          </w:tcPr>
          <w:p w14:paraId="62A502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p>
        </w:tc>
        <w:tc>
          <w:tcPr>
            <w:tcW w:w="903" w:type="pct"/>
            <w:vAlign w:val="center"/>
          </w:tcPr>
          <w:p w14:paraId="3ED5A04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p>
        </w:tc>
        <w:tc>
          <w:tcPr>
            <w:tcW w:w="1722" w:type="pct"/>
            <w:vAlign w:val="center"/>
          </w:tcPr>
          <w:p w14:paraId="5275319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塑料碎片</w:t>
            </w:r>
          </w:p>
        </w:tc>
        <w:tc>
          <w:tcPr>
            <w:tcW w:w="1087" w:type="pct"/>
            <w:vAlign w:val="center"/>
          </w:tcPr>
          <w:p w14:paraId="27E9C71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4725</w:t>
            </w:r>
          </w:p>
        </w:tc>
      </w:tr>
      <w:tr w14:paraId="52B942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pct"/>
            <w:vAlign w:val="center"/>
          </w:tcPr>
          <w:p w14:paraId="3F21985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p>
        </w:tc>
        <w:tc>
          <w:tcPr>
            <w:tcW w:w="903" w:type="pct"/>
            <w:vAlign w:val="center"/>
          </w:tcPr>
          <w:p w14:paraId="507A464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p>
        </w:tc>
        <w:tc>
          <w:tcPr>
            <w:tcW w:w="1722" w:type="pct"/>
            <w:vAlign w:val="center"/>
          </w:tcPr>
          <w:p w14:paraId="0B175A1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残液</w:t>
            </w:r>
          </w:p>
        </w:tc>
        <w:tc>
          <w:tcPr>
            <w:tcW w:w="1087" w:type="pct"/>
            <w:vAlign w:val="center"/>
          </w:tcPr>
          <w:p w14:paraId="4633742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367.2</w:t>
            </w:r>
          </w:p>
        </w:tc>
      </w:tr>
      <w:tr w14:paraId="4CDE2C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pct"/>
            <w:vAlign w:val="center"/>
          </w:tcPr>
          <w:p w14:paraId="092E7B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p>
        </w:tc>
        <w:tc>
          <w:tcPr>
            <w:tcW w:w="903" w:type="pct"/>
            <w:vAlign w:val="center"/>
          </w:tcPr>
          <w:p w14:paraId="2217A9F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p>
        </w:tc>
        <w:tc>
          <w:tcPr>
            <w:tcW w:w="1722" w:type="pct"/>
            <w:vAlign w:val="center"/>
          </w:tcPr>
          <w:p w14:paraId="3B47E8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挥发性有机物VOCs</w:t>
            </w:r>
          </w:p>
        </w:tc>
        <w:tc>
          <w:tcPr>
            <w:tcW w:w="1087" w:type="pct"/>
            <w:vAlign w:val="center"/>
          </w:tcPr>
          <w:p w14:paraId="559B0DF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32.8</w:t>
            </w:r>
          </w:p>
        </w:tc>
      </w:tr>
      <w:tr w14:paraId="77775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pct"/>
            <w:vAlign w:val="center"/>
          </w:tcPr>
          <w:p w14:paraId="1B50E12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p>
        </w:tc>
        <w:tc>
          <w:tcPr>
            <w:tcW w:w="903" w:type="pct"/>
            <w:vAlign w:val="center"/>
          </w:tcPr>
          <w:p w14:paraId="75EBAE2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p>
        </w:tc>
        <w:tc>
          <w:tcPr>
            <w:tcW w:w="1722" w:type="pct"/>
            <w:vAlign w:val="center"/>
          </w:tcPr>
          <w:p w14:paraId="750CEA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滤纸</w:t>
            </w:r>
          </w:p>
        </w:tc>
        <w:tc>
          <w:tcPr>
            <w:tcW w:w="1087" w:type="pct"/>
            <w:vAlign w:val="center"/>
          </w:tcPr>
          <w:p w14:paraId="651A76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500</w:t>
            </w:r>
          </w:p>
        </w:tc>
      </w:tr>
      <w:tr w14:paraId="545A22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288" w:type="pct"/>
            <w:vAlign w:val="center"/>
          </w:tcPr>
          <w:p w14:paraId="35416DB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000000"/>
                <w:kern w:val="0"/>
                <w:szCs w:val="21"/>
                <w:u w:val="single"/>
              </w:rPr>
            </w:pPr>
            <w:r>
              <w:rPr>
                <w:rFonts w:hint="default" w:ascii="Times New Roman" w:hAnsi="Times New Roman" w:eastAsia="宋体" w:cs="Times New Roman"/>
                <w:b/>
                <w:color w:val="000000"/>
                <w:kern w:val="0"/>
                <w:szCs w:val="21"/>
                <w:u w:val="single"/>
              </w:rPr>
              <w:t>合计</w:t>
            </w:r>
          </w:p>
        </w:tc>
        <w:tc>
          <w:tcPr>
            <w:tcW w:w="903" w:type="pct"/>
            <w:vAlign w:val="center"/>
          </w:tcPr>
          <w:p w14:paraId="04DDBE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000000"/>
                <w:kern w:val="0"/>
                <w:szCs w:val="21"/>
                <w:u w:val="single"/>
              </w:rPr>
            </w:pPr>
            <w:r>
              <w:rPr>
                <w:rFonts w:hint="default" w:ascii="Times New Roman" w:hAnsi="Times New Roman" w:eastAsia="宋体" w:cs="Times New Roman"/>
                <w:b/>
                <w:color w:val="000000"/>
                <w:kern w:val="0"/>
                <w:szCs w:val="21"/>
                <w:u w:val="single"/>
              </w:rPr>
              <w:t>20000</w:t>
            </w:r>
          </w:p>
        </w:tc>
        <w:tc>
          <w:tcPr>
            <w:tcW w:w="1722" w:type="pct"/>
            <w:vAlign w:val="center"/>
          </w:tcPr>
          <w:p w14:paraId="4C73CA4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000000"/>
                <w:kern w:val="0"/>
                <w:szCs w:val="21"/>
                <w:u w:val="single"/>
              </w:rPr>
            </w:pPr>
          </w:p>
        </w:tc>
        <w:tc>
          <w:tcPr>
            <w:tcW w:w="1087" w:type="pct"/>
            <w:vAlign w:val="center"/>
          </w:tcPr>
          <w:p w14:paraId="12D25D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color w:val="000000"/>
                <w:kern w:val="0"/>
                <w:szCs w:val="21"/>
                <w:u w:val="single"/>
              </w:rPr>
            </w:pPr>
            <w:r>
              <w:rPr>
                <w:rFonts w:hint="default" w:ascii="Times New Roman" w:hAnsi="Times New Roman" w:eastAsia="宋体" w:cs="Times New Roman"/>
                <w:b/>
                <w:color w:val="000000"/>
                <w:kern w:val="0"/>
                <w:szCs w:val="21"/>
                <w:u w:val="single"/>
              </w:rPr>
              <w:t>20000</w:t>
            </w:r>
          </w:p>
        </w:tc>
      </w:tr>
    </w:tbl>
    <w:p w14:paraId="3B343F75">
      <w:pPr>
        <w:pStyle w:val="3"/>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eastAsia="宋体" w:cs="Times New Roman"/>
          <w:highlight w:val="none"/>
          <w:u w:val="single"/>
        </w:rPr>
      </w:pPr>
      <w:bookmarkStart w:id="287" w:name="_Toc3416"/>
      <w:r>
        <w:rPr>
          <w:rFonts w:hint="default" w:ascii="Times New Roman" w:hAnsi="Times New Roman" w:eastAsia="宋体" w:cs="Times New Roman"/>
          <w:kern w:val="0"/>
          <w:sz w:val="30"/>
          <w:szCs w:val="28"/>
          <w:highlight w:val="none"/>
          <w:u w:val="single"/>
        </w:rPr>
        <w:t>5.4水平衡</w:t>
      </w:r>
      <w:bookmarkEnd w:id="287"/>
    </w:p>
    <w:p w14:paraId="40621D13">
      <w:pPr>
        <w:pStyle w:val="48"/>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1"/>
          <w:u w:val="single"/>
          <w:lang w:val="en-US" w:eastAsia="zh-CN"/>
        </w:rPr>
      </w:pPr>
      <w:r>
        <w:rPr>
          <w:rFonts w:hint="default" w:ascii="Times New Roman" w:hAnsi="Times New Roman" w:eastAsia="宋体" w:cs="Times New Roman"/>
          <w:b/>
          <w:bCs/>
          <w:sz w:val="24"/>
          <w:szCs w:val="21"/>
          <w:u w:val="single"/>
          <w:lang w:eastAsia="zh-CN"/>
        </w:rPr>
        <w:t>（</w:t>
      </w:r>
      <w:r>
        <w:rPr>
          <w:rFonts w:hint="default" w:ascii="Times New Roman" w:hAnsi="Times New Roman" w:eastAsia="宋体" w:cs="Times New Roman"/>
          <w:b/>
          <w:bCs/>
          <w:sz w:val="24"/>
          <w:szCs w:val="21"/>
          <w:u w:val="single"/>
          <w:lang w:val="en-US" w:eastAsia="zh-CN"/>
        </w:rPr>
        <w:t>1</w:t>
      </w:r>
      <w:r>
        <w:rPr>
          <w:rFonts w:hint="default" w:ascii="Times New Roman" w:hAnsi="Times New Roman" w:eastAsia="宋体" w:cs="Times New Roman"/>
          <w:b/>
          <w:bCs/>
          <w:sz w:val="24"/>
          <w:szCs w:val="21"/>
          <w:u w:val="single"/>
          <w:lang w:eastAsia="zh-CN"/>
        </w:rPr>
        <w:t>）</w:t>
      </w:r>
      <w:r>
        <w:rPr>
          <w:rFonts w:hint="default" w:ascii="Times New Roman" w:hAnsi="Times New Roman" w:eastAsia="宋体" w:cs="Times New Roman"/>
          <w:b/>
          <w:bCs/>
          <w:sz w:val="24"/>
          <w:szCs w:val="21"/>
          <w:u w:val="single"/>
          <w:lang w:val="en-US" w:eastAsia="zh-CN"/>
        </w:rPr>
        <w:t>水平衡</w:t>
      </w:r>
    </w:p>
    <w:p w14:paraId="4CD0CD62">
      <w:pPr>
        <w:pStyle w:val="48"/>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项目水平衡见下图：</w:t>
      </w:r>
    </w:p>
    <w:p w14:paraId="258CFE5B">
      <w:pPr>
        <w:pStyle w:val="48"/>
        <w:spacing w:before="0" w:line="240" w:lineRule="auto"/>
        <w:ind w:firstLine="0" w:firstLineChars="0"/>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object>
          <v:shape id="_x0000_i1029" o:spt="75" type="#_x0000_t75" style="height:132.5pt;width:415.15pt;" o:ole="t" filled="f" o:preferrelative="t" stroked="f" coordsize="21600,21600">
            <v:path/>
            <v:fill on="f" focussize="0,0"/>
            <v:stroke on="f"/>
            <v:imagedata r:id="rId35" o:title=""/>
            <o:lock v:ext="edit" aspectratio="f"/>
            <w10:wrap type="none"/>
            <w10:anchorlock/>
          </v:shape>
          <o:OLEObject Type="Embed" ProgID="Visio.Drawing.15" ShapeID="_x0000_i1029" DrawAspect="Content" ObjectID="_1468075729" r:id="rId34">
            <o:LockedField>false</o:LockedField>
          </o:OLEObject>
        </w:object>
      </w:r>
    </w:p>
    <w:p w14:paraId="4516CAF9">
      <w:pPr>
        <w:pStyle w:val="48"/>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default" w:ascii="Times New Roman" w:hAnsi="Times New Roman" w:eastAsia="宋体" w:cs="Times New Roman"/>
          <w:b/>
          <w:bCs/>
          <w:sz w:val="21"/>
          <w:szCs w:val="18"/>
          <w:highlight w:val="none"/>
          <w:u w:val="single"/>
        </w:rPr>
      </w:pPr>
      <w:r>
        <w:rPr>
          <w:rFonts w:hint="default" w:ascii="Times New Roman" w:hAnsi="Times New Roman" w:eastAsia="宋体" w:cs="Times New Roman"/>
          <w:b/>
          <w:bCs/>
          <w:sz w:val="21"/>
          <w:szCs w:val="18"/>
          <w:highlight w:val="none"/>
          <w:u w:val="single"/>
        </w:rPr>
        <w:t>图5.4-1  项目水平衡图</w:t>
      </w:r>
    </w:p>
    <w:p w14:paraId="45E328CE">
      <w:pPr>
        <w:pStyle w:val="48"/>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b/>
          <w:bCs/>
          <w:sz w:val="24"/>
          <w:szCs w:val="21"/>
          <w:u w:val="single"/>
          <w:lang w:val="en-US" w:eastAsia="zh-CN"/>
        </w:rPr>
      </w:pPr>
      <w:r>
        <w:rPr>
          <w:rFonts w:hint="default" w:ascii="Times New Roman" w:hAnsi="Times New Roman" w:eastAsia="宋体" w:cs="Times New Roman"/>
          <w:b/>
          <w:bCs/>
          <w:sz w:val="24"/>
          <w:szCs w:val="21"/>
          <w:u w:val="single"/>
          <w:lang w:eastAsia="zh-CN"/>
        </w:rPr>
        <w:t>（</w:t>
      </w:r>
      <w:r>
        <w:rPr>
          <w:rFonts w:hint="default" w:ascii="Times New Roman" w:hAnsi="Times New Roman" w:eastAsia="宋体" w:cs="Times New Roman"/>
          <w:b/>
          <w:bCs/>
          <w:sz w:val="24"/>
          <w:szCs w:val="21"/>
          <w:u w:val="single"/>
          <w:lang w:val="en-US" w:eastAsia="zh-CN"/>
        </w:rPr>
        <w:t>2</w:t>
      </w:r>
      <w:r>
        <w:rPr>
          <w:rFonts w:hint="default" w:ascii="Times New Roman" w:hAnsi="Times New Roman" w:eastAsia="宋体" w:cs="Times New Roman"/>
          <w:b/>
          <w:bCs/>
          <w:sz w:val="24"/>
          <w:szCs w:val="21"/>
          <w:u w:val="single"/>
          <w:lang w:eastAsia="zh-CN"/>
        </w:rPr>
        <w:t>）</w:t>
      </w:r>
      <w:r>
        <w:rPr>
          <w:rFonts w:hint="default" w:ascii="Times New Roman" w:hAnsi="Times New Roman" w:eastAsia="宋体" w:cs="Times New Roman"/>
          <w:b/>
          <w:bCs/>
          <w:sz w:val="24"/>
          <w:szCs w:val="21"/>
          <w:u w:val="single"/>
          <w:lang w:val="en-US" w:eastAsia="zh-CN"/>
        </w:rPr>
        <w:t>水重复利用率</w:t>
      </w:r>
    </w:p>
    <w:p w14:paraId="1E73DE0C">
      <w:pPr>
        <w:pStyle w:val="48"/>
        <w:keepNext w:val="0"/>
        <w:keepLines w:val="0"/>
        <w:pageBreakBefore w:val="0"/>
        <w:widowControl w:val="0"/>
        <w:kinsoku/>
        <w:wordWrap/>
        <w:overflowPunct/>
        <w:topLinePunct w:val="0"/>
        <w:autoSpaceDE/>
        <w:autoSpaceDN/>
        <w:bidi w:val="0"/>
        <w:adjustRightInd/>
        <w:snapToGrid/>
        <w:spacing w:before="0" w:line="360" w:lineRule="auto"/>
        <w:ind w:firstLine="480" w:firstLineChars="200"/>
        <w:jc w:val="left"/>
        <w:textAlignment w:val="auto"/>
        <w:rPr>
          <w:rFonts w:hint="default" w:ascii="Times New Roman" w:hAnsi="Times New Roman" w:eastAsia="宋体" w:cs="Times New Roman"/>
          <w:b w:val="0"/>
          <w:bCs w:val="0"/>
          <w:sz w:val="24"/>
          <w:szCs w:val="21"/>
          <w:u w:val="single"/>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b w:val="0"/>
          <w:bCs w:val="0"/>
          <w:sz w:val="24"/>
          <w:szCs w:val="21"/>
          <w:u w:val="single"/>
          <w:lang w:val="en-US" w:eastAsia="zh-CN"/>
        </w:rPr>
        <w:t>由项目水平衡图可知，项目新水使用量为30t/a，水重复利用率为25.2/（25.2+30）=46.2%</w:t>
      </w:r>
    </w:p>
    <w:p w14:paraId="63DE443F">
      <w:pPr>
        <w:pStyle w:val="3"/>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eastAsia="宋体" w:cs="Times New Roman"/>
        </w:rPr>
      </w:pPr>
      <w:bookmarkStart w:id="288" w:name="_Toc106961893"/>
      <w:bookmarkStart w:id="289" w:name="_Toc7120"/>
      <w:bookmarkStart w:id="290" w:name="_Toc123733099"/>
      <w:r>
        <w:rPr>
          <w:rFonts w:hint="default" w:ascii="Times New Roman" w:hAnsi="Times New Roman" w:eastAsia="宋体" w:cs="Times New Roman"/>
          <w:kern w:val="0"/>
          <w:sz w:val="30"/>
          <w:szCs w:val="28"/>
        </w:rPr>
        <w:t>5.5污染源源强核算</w:t>
      </w:r>
      <w:bookmarkEnd w:id="288"/>
      <w:bookmarkEnd w:id="289"/>
      <w:bookmarkEnd w:id="290"/>
    </w:p>
    <w:p w14:paraId="1B734648">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lang w:val="en-US" w:eastAsia="zh-CN"/>
        </w:rPr>
      </w:pPr>
      <w:r>
        <w:rPr>
          <w:rFonts w:hint="default" w:ascii="Times New Roman" w:hAnsi="Times New Roman" w:eastAsia="宋体" w:cs="Times New Roman"/>
          <w:sz w:val="24"/>
          <w:szCs w:val="28"/>
          <w:lang w:val="en-US" w:eastAsia="zh-CN"/>
        </w:rPr>
        <w:t>由于</w:t>
      </w:r>
      <w:r>
        <w:rPr>
          <w:rFonts w:hint="default" w:ascii="Times New Roman" w:hAnsi="Times New Roman" w:eastAsia="宋体" w:cs="Times New Roman"/>
          <w:sz w:val="24"/>
          <w:szCs w:val="28"/>
        </w:rPr>
        <w:t>本项目搬迁部分系将现有的“年收集贮存9800吨危险废物项目”整体搬迁至本次新建的危险废物暂存库内，并将收集贮存能力提升至</w:t>
      </w:r>
      <w:r>
        <w:rPr>
          <w:rFonts w:hint="default" w:ascii="Times New Roman" w:hAnsi="Times New Roman" w:eastAsia="宋体" w:cs="Times New Roman"/>
          <w:sz w:val="24"/>
          <w:szCs w:val="28"/>
          <w:lang w:eastAsia="zh-CN"/>
        </w:rPr>
        <w:t>14400</w:t>
      </w:r>
      <w:r>
        <w:rPr>
          <w:rFonts w:hint="default" w:ascii="Times New Roman" w:hAnsi="Times New Roman" w:eastAsia="宋体" w:cs="Times New Roman"/>
          <w:sz w:val="24"/>
          <w:szCs w:val="28"/>
        </w:rPr>
        <w:t>t/a，危险废物的收集、贮存工艺流程、产排污环节均与搬迁前一致</w:t>
      </w:r>
      <w:r>
        <w:rPr>
          <w:rFonts w:hint="default" w:ascii="Times New Roman" w:hAnsi="Times New Roman" w:eastAsia="宋体" w:cs="Times New Roman"/>
          <w:sz w:val="24"/>
          <w:szCs w:val="28"/>
          <w:lang w:eastAsia="zh-CN"/>
        </w:rPr>
        <w:t>，</w:t>
      </w:r>
      <w:r>
        <w:rPr>
          <w:rFonts w:hint="default" w:ascii="Times New Roman" w:hAnsi="Times New Roman" w:eastAsia="宋体" w:cs="Times New Roman"/>
          <w:sz w:val="24"/>
          <w:szCs w:val="28"/>
        </w:rPr>
        <w:t>此部分的源强</w:t>
      </w:r>
      <w:r>
        <w:rPr>
          <w:rFonts w:hint="default" w:ascii="Times New Roman" w:hAnsi="Times New Roman" w:eastAsia="宋体" w:cs="Times New Roman"/>
          <w:sz w:val="24"/>
          <w:szCs w:val="28"/>
          <w:lang w:val="en-US" w:eastAsia="zh-CN"/>
        </w:rPr>
        <w:t>拟</w:t>
      </w:r>
      <w:r>
        <w:rPr>
          <w:rFonts w:hint="default" w:ascii="Times New Roman" w:hAnsi="Times New Roman" w:eastAsia="宋体" w:cs="Times New Roman"/>
          <w:sz w:val="24"/>
          <w:szCs w:val="28"/>
        </w:rPr>
        <w:t>沿用现有项目的环评报告的核算结果</w:t>
      </w:r>
      <w:r>
        <w:rPr>
          <w:rFonts w:hint="default" w:ascii="Times New Roman" w:hAnsi="Times New Roman" w:eastAsia="宋体" w:cs="Times New Roman"/>
          <w:sz w:val="24"/>
          <w:szCs w:val="28"/>
          <w:lang w:val="en-US" w:eastAsia="zh-CN"/>
        </w:rPr>
        <w:t>进行类比计算。</w:t>
      </w:r>
    </w:p>
    <w:p w14:paraId="60C0639E">
      <w:pPr>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sz w:val="24"/>
          <w:szCs w:val="28"/>
        </w:rPr>
      </w:pPr>
      <w:r>
        <w:rPr>
          <w:rFonts w:hint="default" w:ascii="Times New Roman" w:hAnsi="Times New Roman" w:eastAsia="宋体" w:cs="Times New Roman"/>
          <w:b/>
          <w:bCs/>
          <w:sz w:val="24"/>
          <w:szCs w:val="28"/>
          <w:lang w:val="en-US" w:eastAsia="zh-CN"/>
        </w:rPr>
        <w:t>扩建部分为本次项目的新增内容，</w:t>
      </w:r>
      <w:r>
        <w:rPr>
          <w:rFonts w:hint="default" w:ascii="Times New Roman" w:hAnsi="Times New Roman" w:eastAsia="宋体" w:cs="Times New Roman"/>
          <w:b/>
          <w:bCs/>
          <w:sz w:val="24"/>
          <w:szCs w:val="28"/>
        </w:rPr>
        <w:t>本次工程分析将主要针对扩建部分的危险废物综合利用部分的污染物源强进行核算。</w:t>
      </w:r>
    </w:p>
    <w:p w14:paraId="2A3C7755">
      <w:pPr>
        <w:pStyle w:val="4"/>
        <w:keepNext/>
        <w:keepLines/>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5.5.1</w:t>
      </w:r>
      <w:r>
        <w:rPr>
          <w:rFonts w:hint="default" w:ascii="Times New Roman" w:hAnsi="Times New Roman" w:eastAsia="宋体" w:cs="Times New Roman"/>
          <w:sz w:val="24"/>
          <w:szCs w:val="24"/>
        </w:rPr>
        <w:t>搬迁部分</w:t>
      </w:r>
      <w:r>
        <w:rPr>
          <w:rFonts w:hint="default" w:ascii="Times New Roman" w:hAnsi="Times New Roman" w:eastAsia="宋体" w:cs="Times New Roman"/>
          <w:sz w:val="24"/>
          <w:szCs w:val="24"/>
          <w:lang w:val="en-US" w:eastAsia="zh-CN"/>
        </w:rPr>
        <w:t>源强核算</w:t>
      </w:r>
    </w:p>
    <w:p w14:paraId="0A47AC8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本项目搬迁部分系将现有的“年收集贮存9800吨危险废物项目”整体搬迁至本次新建的危险废物暂存库内，</w:t>
      </w:r>
      <w:bookmarkStart w:id="291" w:name="_Hlk141912937"/>
      <w:r>
        <w:rPr>
          <w:rFonts w:hint="default" w:ascii="Times New Roman" w:hAnsi="Times New Roman" w:eastAsia="宋体" w:cs="Times New Roman"/>
          <w:sz w:val="24"/>
          <w:szCs w:val="28"/>
        </w:rPr>
        <w:t>并将收集贮存能力提升至</w:t>
      </w:r>
      <w:r>
        <w:rPr>
          <w:rFonts w:hint="default" w:ascii="Times New Roman" w:hAnsi="Times New Roman" w:eastAsia="宋体" w:cs="Times New Roman"/>
          <w:sz w:val="24"/>
          <w:szCs w:val="28"/>
          <w:lang w:eastAsia="zh-CN"/>
        </w:rPr>
        <w:t>14400</w:t>
      </w:r>
      <w:r>
        <w:rPr>
          <w:rFonts w:hint="default" w:ascii="Times New Roman" w:hAnsi="Times New Roman" w:eastAsia="宋体" w:cs="Times New Roman"/>
          <w:sz w:val="24"/>
          <w:szCs w:val="28"/>
        </w:rPr>
        <w:t>t/a，</w:t>
      </w:r>
      <w:bookmarkEnd w:id="291"/>
      <w:r>
        <w:rPr>
          <w:rFonts w:hint="default" w:ascii="Times New Roman" w:hAnsi="Times New Roman" w:eastAsia="宋体" w:cs="Times New Roman"/>
          <w:sz w:val="24"/>
          <w:szCs w:val="28"/>
        </w:rPr>
        <w:t>危险废物的收集、贮存工艺流程、产排污环节均与搬迁前一致</w:t>
      </w:r>
      <w:r>
        <w:rPr>
          <w:rFonts w:hint="default" w:ascii="Times New Roman" w:hAnsi="Times New Roman" w:eastAsia="宋体" w:cs="Times New Roman"/>
          <w:sz w:val="24"/>
          <w:szCs w:val="28"/>
          <w:lang w:eastAsia="zh-CN"/>
        </w:rPr>
        <w:t>，</w:t>
      </w:r>
      <w:r>
        <w:rPr>
          <w:rFonts w:hint="default" w:ascii="Times New Roman" w:hAnsi="Times New Roman" w:eastAsia="宋体" w:cs="Times New Roman"/>
          <w:sz w:val="24"/>
          <w:szCs w:val="28"/>
        </w:rPr>
        <w:t>此部分的源强</w:t>
      </w:r>
      <w:r>
        <w:rPr>
          <w:rFonts w:hint="default" w:ascii="Times New Roman" w:hAnsi="Times New Roman" w:eastAsia="宋体" w:cs="Times New Roman"/>
          <w:sz w:val="24"/>
          <w:szCs w:val="28"/>
          <w:lang w:val="en-US" w:eastAsia="zh-CN"/>
        </w:rPr>
        <w:t>拟</w:t>
      </w:r>
      <w:r>
        <w:rPr>
          <w:rFonts w:hint="default" w:ascii="Times New Roman" w:hAnsi="Times New Roman" w:eastAsia="宋体" w:cs="Times New Roman"/>
          <w:sz w:val="24"/>
          <w:szCs w:val="28"/>
        </w:rPr>
        <w:t>沿用现有项目的环评报告的核算结果</w:t>
      </w:r>
      <w:r>
        <w:rPr>
          <w:rFonts w:hint="default" w:ascii="Times New Roman" w:hAnsi="Times New Roman" w:eastAsia="宋体" w:cs="Times New Roman"/>
          <w:sz w:val="24"/>
          <w:szCs w:val="28"/>
          <w:lang w:val="en-US" w:eastAsia="zh-CN"/>
        </w:rPr>
        <w:t>进行类比计算</w:t>
      </w:r>
      <w:r>
        <w:rPr>
          <w:rFonts w:hint="default" w:ascii="Times New Roman" w:hAnsi="Times New Roman" w:eastAsia="宋体" w:cs="Times New Roman"/>
          <w:sz w:val="24"/>
          <w:szCs w:val="28"/>
          <w:lang w:eastAsia="zh-CN"/>
        </w:rPr>
        <w:t>；</w:t>
      </w:r>
      <w:r>
        <w:rPr>
          <w:rFonts w:hint="default" w:ascii="Times New Roman" w:hAnsi="Times New Roman" w:eastAsia="宋体" w:cs="Times New Roman"/>
          <w:sz w:val="24"/>
          <w:szCs w:val="28"/>
        </w:rPr>
        <w:t>具体</w:t>
      </w:r>
      <w:r>
        <w:rPr>
          <w:rFonts w:hint="default" w:ascii="Times New Roman" w:hAnsi="Times New Roman" w:eastAsia="宋体" w:cs="Times New Roman"/>
          <w:sz w:val="24"/>
          <w:szCs w:val="28"/>
          <w:lang w:val="en-US" w:eastAsia="zh-CN"/>
        </w:rPr>
        <w:t>类比计算如下</w:t>
      </w:r>
      <w:r>
        <w:rPr>
          <w:rFonts w:hint="default" w:ascii="Times New Roman" w:hAnsi="Times New Roman" w:eastAsia="宋体" w:cs="Times New Roman"/>
          <w:sz w:val="24"/>
          <w:szCs w:val="28"/>
        </w:rPr>
        <w:t>。</w:t>
      </w:r>
    </w:p>
    <w:p w14:paraId="4B9501E8">
      <w:pPr>
        <w:pStyle w:val="5"/>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b/>
          <w:bCs/>
          <w:sz w:val="24"/>
          <w:szCs w:val="28"/>
          <w:lang w:val="en-US" w:eastAsia="zh-CN"/>
        </w:rPr>
      </w:pPr>
      <w:r>
        <w:rPr>
          <w:rFonts w:hint="default" w:ascii="Times New Roman" w:hAnsi="Times New Roman" w:eastAsia="宋体" w:cs="Times New Roman"/>
          <w:b/>
          <w:bCs/>
          <w:sz w:val="24"/>
          <w:szCs w:val="28"/>
          <w:lang w:val="en-US" w:eastAsia="zh-CN"/>
        </w:rPr>
        <w:t>5.5.1.1 VOCs、NH</w:t>
      </w:r>
      <w:r>
        <w:rPr>
          <w:rFonts w:hint="default" w:ascii="Times New Roman" w:hAnsi="Times New Roman" w:eastAsia="宋体" w:cs="Times New Roman"/>
          <w:b/>
          <w:bCs/>
          <w:sz w:val="24"/>
          <w:szCs w:val="28"/>
          <w:vertAlign w:val="subscript"/>
          <w:lang w:val="en-US" w:eastAsia="zh-CN"/>
        </w:rPr>
        <w:t>3</w:t>
      </w:r>
      <w:r>
        <w:rPr>
          <w:rFonts w:hint="default" w:ascii="Times New Roman" w:hAnsi="Times New Roman" w:eastAsia="宋体" w:cs="Times New Roman"/>
          <w:b/>
          <w:bCs/>
          <w:sz w:val="24"/>
          <w:szCs w:val="28"/>
          <w:lang w:val="en-US" w:eastAsia="zh-CN"/>
        </w:rPr>
        <w:t>、H</w:t>
      </w:r>
      <w:r>
        <w:rPr>
          <w:rFonts w:hint="default" w:ascii="Times New Roman" w:hAnsi="Times New Roman" w:eastAsia="宋体" w:cs="Times New Roman"/>
          <w:b/>
          <w:bCs/>
          <w:sz w:val="24"/>
          <w:szCs w:val="28"/>
          <w:vertAlign w:val="subscript"/>
          <w:lang w:val="en-US" w:eastAsia="zh-CN"/>
        </w:rPr>
        <w:t>2</w:t>
      </w:r>
      <w:r>
        <w:rPr>
          <w:rFonts w:hint="default" w:ascii="Times New Roman" w:hAnsi="Times New Roman" w:eastAsia="宋体" w:cs="Times New Roman"/>
          <w:b/>
          <w:bCs/>
          <w:sz w:val="24"/>
          <w:szCs w:val="28"/>
          <w:lang w:val="en-US" w:eastAsia="zh-CN"/>
        </w:rPr>
        <w:t>S</w:t>
      </w:r>
    </w:p>
    <w:p w14:paraId="03B63885">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本次搬迁后，项目收集、贮存的危险废物种类有所增加，</w:t>
      </w:r>
      <w:r>
        <w:rPr>
          <w:rFonts w:hint="default" w:ascii="Times New Roman" w:hAnsi="Times New Roman" w:eastAsia="宋体" w:cs="Times New Roman"/>
          <w:sz w:val="24"/>
          <w:szCs w:val="24"/>
        </w:rPr>
        <w:t>危险废物总的收集、贮存量由9800t/a提升至</w:t>
      </w:r>
      <w:r>
        <w:rPr>
          <w:rFonts w:hint="default" w:ascii="Times New Roman" w:hAnsi="Times New Roman" w:eastAsia="宋体" w:cs="Times New Roman"/>
          <w:sz w:val="24"/>
          <w:szCs w:val="24"/>
          <w:lang w:eastAsia="zh-CN"/>
        </w:rPr>
        <w:t>14400</w:t>
      </w:r>
      <w:r>
        <w:rPr>
          <w:rFonts w:hint="default" w:ascii="Times New Roman" w:hAnsi="Times New Roman" w:eastAsia="宋体" w:cs="Times New Roman"/>
          <w:sz w:val="24"/>
          <w:szCs w:val="24"/>
        </w:rPr>
        <w:t>t/a，危险废物在贮存库内的最大贮存量基本不变，由143t提升至158t；对照《</w:t>
      </w:r>
      <w:r>
        <w:rPr>
          <w:rFonts w:hint="default" w:ascii="Times New Roman" w:hAnsi="Times New Roman" w:eastAsia="宋体" w:cs="Times New Roman"/>
          <w:sz w:val="24"/>
          <w:szCs w:val="28"/>
        </w:rPr>
        <w:t>年收集贮存9800吨危险废物项目环境影响报告表</w:t>
      </w:r>
      <w:r>
        <w:rPr>
          <w:rFonts w:hint="default" w:ascii="Times New Roman" w:hAnsi="Times New Roman" w:eastAsia="宋体" w:cs="Times New Roman"/>
          <w:sz w:val="24"/>
          <w:szCs w:val="24"/>
        </w:rPr>
        <w:t>》，该项目搬迁后主要产排污环节一致，包括废矿物油储罐大小呼吸和其他危废的挥发（根据最大贮存量计算），</w:t>
      </w:r>
      <w:r>
        <w:rPr>
          <w:rFonts w:hint="default" w:ascii="Times New Roman" w:hAnsi="Times New Roman" w:eastAsia="宋体" w:cs="Times New Roman"/>
          <w:sz w:val="24"/>
          <w:szCs w:val="24"/>
          <w:lang w:val="en-US" w:eastAsia="zh-CN"/>
        </w:rPr>
        <w:t>此外，搬迁后危废贮存库的废气收集与处理方式均沿用现有项目</w:t>
      </w:r>
      <w:r>
        <w:rPr>
          <w:rFonts w:hint="default" w:ascii="Times New Roman" w:hAnsi="Times New Roman" w:eastAsia="宋体" w:cs="Times New Roman"/>
          <w:sz w:val="24"/>
          <w:szCs w:val="24"/>
        </w:rPr>
        <w:t>，因此搬迁后主要</w:t>
      </w:r>
      <w:r>
        <w:rPr>
          <w:rFonts w:hint="default" w:ascii="Times New Roman" w:hAnsi="Times New Roman" w:eastAsia="宋体" w:cs="Times New Roman"/>
          <w:sz w:val="24"/>
          <w:szCs w:val="24"/>
          <w:lang w:val="en-US" w:eastAsia="zh-CN"/>
        </w:rPr>
        <w:t>废气</w:t>
      </w:r>
      <w:r>
        <w:rPr>
          <w:rFonts w:hint="default" w:ascii="Times New Roman" w:hAnsi="Times New Roman" w:eastAsia="宋体" w:cs="Times New Roman"/>
          <w:sz w:val="24"/>
          <w:szCs w:val="24"/>
        </w:rPr>
        <w:t>的产生及排放情况与搬迁前基本一致</w:t>
      </w:r>
      <w:r>
        <w:rPr>
          <w:rFonts w:hint="default" w:ascii="Times New Roman" w:hAnsi="Times New Roman" w:eastAsia="宋体" w:cs="Times New Roman"/>
          <w:sz w:val="24"/>
          <w:szCs w:val="28"/>
        </w:rPr>
        <w:t>，此部分的源强</w:t>
      </w:r>
      <w:r>
        <w:rPr>
          <w:rFonts w:hint="default" w:ascii="Times New Roman" w:hAnsi="Times New Roman" w:eastAsia="宋体" w:cs="Times New Roman"/>
          <w:sz w:val="24"/>
          <w:szCs w:val="28"/>
          <w:lang w:val="en-US" w:eastAsia="zh-CN"/>
        </w:rPr>
        <w:t>拟</w:t>
      </w:r>
      <w:r>
        <w:rPr>
          <w:rFonts w:hint="default" w:ascii="Times New Roman" w:hAnsi="Times New Roman" w:eastAsia="宋体" w:cs="Times New Roman"/>
          <w:sz w:val="24"/>
          <w:szCs w:val="28"/>
        </w:rPr>
        <w:t>沿用现有项目的环评报告的核算结果</w:t>
      </w:r>
      <w:r>
        <w:rPr>
          <w:rFonts w:hint="default" w:ascii="Times New Roman" w:hAnsi="Times New Roman" w:eastAsia="宋体" w:cs="Times New Roman"/>
          <w:sz w:val="24"/>
          <w:szCs w:val="28"/>
          <w:lang w:val="en-US" w:eastAsia="zh-CN"/>
        </w:rPr>
        <w:t>进行类比计算</w:t>
      </w:r>
      <w:r>
        <w:rPr>
          <w:rFonts w:hint="default" w:ascii="Times New Roman" w:hAnsi="Times New Roman" w:eastAsia="宋体" w:cs="Times New Roman"/>
          <w:sz w:val="24"/>
          <w:szCs w:val="28"/>
          <w:lang w:eastAsia="zh-CN"/>
        </w:rPr>
        <w:t>；</w:t>
      </w:r>
      <w:r>
        <w:rPr>
          <w:rFonts w:hint="default" w:ascii="Times New Roman" w:hAnsi="Times New Roman" w:eastAsia="宋体" w:cs="Times New Roman"/>
          <w:sz w:val="24"/>
          <w:szCs w:val="28"/>
        </w:rPr>
        <w:t>具体</w:t>
      </w:r>
      <w:r>
        <w:rPr>
          <w:rFonts w:hint="default" w:ascii="Times New Roman" w:hAnsi="Times New Roman" w:eastAsia="宋体" w:cs="Times New Roman"/>
          <w:sz w:val="24"/>
          <w:szCs w:val="28"/>
          <w:lang w:val="en-US" w:eastAsia="zh-CN"/>
        </w:rPr>
        <w:t>类比计算如下</w:t>
      </w:r>
      <w:r>
        <w:rPr>
          <w:rFonts w:hint="default" w:ascii="Times New Roman" w:hAnsi="Times New Roman" w:eastAsia="宋体" w:cs="Times New Roman"/>
          <w:sz w:val="24"/>
          <w:szCs w:val="28"/>
        </w:rPr>
        <w:t>。</w:t>
      </w:r>
    </w:p>
    <w:p w14:paraId="61967E2F">
      <w:pPr>
        <w:spacing w:line="36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 xml:space="preserve">表5.5-1  </w:t>
      </w:r>
      <w:r>
        <w:rPr>
          <w:rFonts w:hint="default" w:ascii="Times New Roman" w:hAnsi="Times New Roman" w:eastAsia="宋体" w:cs="Times New Roman"/>
          <w:b/>
          <w:bCs/>
          <w:szCs w:val="21"/>
          <w:lang w:eastAsia="zh-CN"/>
        </w:rPr>
        <w:t>项目</w:t>
      </w:r>
      <w:r>
        <w:rPr>
          <w:rFonts w:hint="default" w:ascii="Times New Roman" w:hAnsi="Times New Roman" w:eastAsia="宋体" w:cs="Times New Roman"/>
          <w:b/>
          <w:bCs/>
          <w:szCs w:val="21"/>
          <w:lang w:val="en-US" w:eastAsia="zh-CN"/>
        </w:rPr>
        <w:t>（</w:t>
      </w:r>
      <w:r>
        <w:rPr>
          <w:rFonts w:hint="default" w:ascii="Times New Roman" w:hAnsi="Times New Roman" w:eastAsia="宋体" w:cs="Times New Roman"/>
          <w:b/>
          <w:bCs/>
          <w:szCs w:val="21"/>
        </w:rPr>
        <w:t>危废收集贮存）</w:t>
      </w:r>
      <w:r>
        <w:rPr>
          <w:rFonts w:hint="default" w:ascii="Times New Roman" w:hAnsi="Times New Roman" w:eastAsia="宋体" w:cs="Times New Roman"/>
          <w:b/>
          <w:bCs/>
          <w:szCs w:val="21"/>
          <w:lang w:val="en-US" w:eastAsia="zh-CN"/>
        </w:rPr>
        <w:t>产生废气贮存单元转运量</w:t>
      </w:r>
    </w:p>
    <w:tbl>
      <w:tblPr>
        <w:tblStyle w:val="33"/>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88"/>
        <w:gridCol w:w="2032"/>
      </w:tblGrid>
      <w:tr w14:paraId="162387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7" w:type="pct"/>
            <w:tcBorders>
              <w:tl2br w:val="nil"/>
              <w:tr2bl w:val="nil"/>
            </w:tcBorders>
            <w:vAlign w:val="center"/>
          </w:tcPr>
          <w:p w14:paraId="4D335D4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现有项目</w:t>
            </w:r>
          </w:p>
        </w:tc>
        <w:tc>
          <w:tcPr>
            <w:tcW w:w="1192" w:type="pct"/>
            <w:tcBorders>
              <w:tl2br w:val="nil"/>
              <w:tr2bl w:val="nil"/>
            </w:tcBorders>
            <w:vAlign w:val="center"/>
          </w:tcPr>
          <w:p w14:paraId="713A5FB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收集转运量</w:t>
            </w:r>
          </w:p>
        </w:tc>
      </w:tr>
      <w:tr w14:paraId="7D67B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7" w:type="pct"/>
            <w:tcBorders>
              <w:tl2br w:val="nil"/>
              <w:tr2bl w:val="nil"/>
            </w:tcBorders>
            <w:vAlign w:val="center"/>
          </w:tcPr>
          <w:p w14:paraId="39BDB57D">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lang w:val="en-US" w:eastAsia="zh-CN"/>
              </w:rPr>
              <w:t>废矿物油（HW08）</w:t>
            </w:r>
          </w:p>
        </w:tc>
        <w:tc>
          <w:tcPr>
            <w:tcW w:w="1192" w:type="pct"/>
            <w:tcBorders>
              <w:tl2br w:val="nil"/>
              <w:tr2bl w:val="nil"/>
            </w:tcBorders>
            <w:vAlign w:val="center"/>
          </w:tcPr>
          <w:p w14:paraId="0361FD7A">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4000</w:t>
            </w:r>
          </w:p>
        </w:tc>
      </w:tr>
      <w:tr w14:paraId="14DD4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7" w:type="pct"/>
            <w:tcBorders>
              <w:tl2br w:val="nil"/>
              <w:tr2bl w:val="nil"/>
            </w:tcBorders>
            <w:vAlign w:val="center"/>
          </w:tcPr>
          <w:p w14:paraId="0B75EB69">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其他危险废物（考虑液态以及液态/固态废物）</w:t>
            </w:r>
          </w:p>
          <w:p w14:paraId="19153D51">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lang w:val="en-US" w:eastAsia="zh-CN"/>
              </w:rPr>
              <w:t>（HW06/HW12/HW13//HW49）</w:t>
            </w:r>
          </w:p>
        </w:tc>
        <w:tc>
          <w:tcPr>
            <w:tcW w:w="1192" w:type="pct"/>
            <w:tcBorders>
              <w:tl2br w:val="nil"/>
              <w:tr2bl w:val="nil"/>
            </w:tcBorders>
            <w:vAlign w:val="center"/>
          </w:tcPr>
          <w:p w14:paraId="4D21AAF6">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3910</w:t>
            </w:r>
          </w:p>
        </w:tc>
      </w:tr>
    </w:tbl>
    <w:p w14:paraId="2067B2AA">
      <w:pPr>
        <w:spacing w:line="360" w:lineRule="auto"/>
        <w:jc w:val="center"/>
        <w:rPr>
          <w:rFonts w:hint="default" w:ascii="Times New Roman" w:hAnsi="Times New Roman" w:eastAsia="宋体" w:cs="Times New Roman"/>
          <w:b/>
          <w:bCs/>
          <w:szCs w:val="21"/>
          <w:lang w:val="en-US" w:eastAsia="zh-CN"/>
        </w:rPr>
      </w:pPr>
      <w:r>
        <w:rPr>
          <w:rFonts w:hint="default" w:ascii="Times New Roman" w:hAnsi="Times New Roman" w:eastAsia="宋体" w:cs="Times New Roman"/>
          <w:b/>
          <w:bCs/>
          <w:szCs w:val="21"/>
        </w:rPr>
        <w:t>表5.5-</w:t>
      </w:r>
      <w:r>
        <w:rPr>
          <w:rFonts w:hint="default" w:ascii="Times New Roman" w:hAnsi="Times New Roman" w:eastAsia="宋体" w:cs="Times New Roman"/>
          <w:b/>
          <w:bCs/>
          <w:szCs w:val="21"/>
          <w:lang w:val="en-US" w:eastAsia="zh-CN"/>
        </w:rPr>
        <w:t>2</w:t>
      </w:r>
      <w:r>
        <w:rPr>
          <w:rFonts w:hint="default" w:ascii="Times New Roman" w:hAnsi="Times New Roman" w:eastAsia="宋体" w:cs="Times New Roman"/>
          <w:b/>
          <w:bCs/>
          <w:szCs w:val="21"/>
        </w:rPr>
        <w:t xml:space="preserve">  </w:t>
      </w:r>
      <w:r>
        <w:rPr>
          <w:rFonts w:hint="default" w:ascii="Times New Roman" w:hAnsi="Times New Roman" w:eastAsia="宋体" w:cs="Times New Roman"/>
          <w:b/>
          <w:bCs/>
          <w:szCs w:val="21"/>
          <w:lang w:eastAsia="zh-CN"/>
        </w:rPr>
        <w:t>项目</w:t>
      </w:r>
      <w:r>
        <w:rPr>
          <w:rFonts w:hint="default" w:ascii="Times New Roman" w:hAnsi="Times New Roman" w:eastAsia="宋体" w:cs="Times New Roman"/>
          <w:b/>
          <w:bCs/>
          <w:szCs w:val="21"/>
          <w:lang w:val="en-US" w:eastAsia="zh-CN"/>
        </w:rPr>
        <w:t>（</w:t>
      </w:r>
      <w:r>
        <w:rPr>
          <w:rFonts w:hint="default" w:ascii="Times New Roman" w:hAnsi="Times New Roman" w:eastAsia="宋体" w:cs="Times New Roman"/>
          <w:b/>
          <w:bCs/>
          <w:szCs w:val="21"/>
        </w:rPr>
        <w:t>危废收集贮存）</w:t>
      </w:r>
      <w:r>
        <w:rPr>
          <w:rFonts w:hint="default" w:ascii="Times New Roman" w:hAnsi="Times New Roman" w:eastAsia="宋体" w:cs="Times New Roman"/>
          <w:b/>
          <w:bCs/>
          <w:szCs w:val="21"/>
          <w:lang w:val="en-US" w:eastAsia="zh-CN"/>
        </w:rPr>
        <w:t>搬迁后产生废气贮存单元转运量</w:t>
      </w:r>
    </w:p>
    <w:tbl>
      <w:tblPr>
        <w:tblStyle w:val="33"/>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87"/>
        <w:gridCol w:w="2033"/>
      </w:tblGrid>
      <w:tr w14:paraId="6C1DB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6" w:type="pct"/>
            <w:tcBorders>
              <w:tl2br w:val="nil"/>
              <w:tr2bl w:val="nil"/>
            </w:tcBorders>
            <w:vAlign w:val="center"/>
          </w:tcPr>
          <w:p w14:paraId="3B8A4EA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搬迁后项目</w:t>
            </w:r>
          </w:p>
        </w:tc>
        <w:tc>
          <w:tcPr>
            <w:tcW w:w="1193" w:type="pct"/>
            <w:tcBorders>
              <w:tl2br w:val="nil"/>
              <w:tr2bl w:val="nil"/>
            </w:tcBorders>
            <w:vAlign w:val="center"/>
          </w:tcPr>
          <w:p w14:paraId="6050014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ertAlign w:val="baseline"/>
                <w:lang w:val="en-US" w:eastAsia="zh-CN"/>
              </w:rPr>
            </w:pPr>
            <w:r>
              <w:rPr>
                <w:rFonts w:hint="default" w:ascii="Times New Roman" w:hAnsi="Times New Roman" w:eastAsia="宋体" w:cs="Times New Roman"/>
                <w:b/>
                <w:bCs/>
                <w:vertAlign w:val="baseline"/>
                <w:lang w:val="en-US" w:eastAsia="zh-CN"/>
              </w:rPr>
              <w:t>收集转运量</w:t>
            </w:r>
          </w:p>
        </w:tc>
      </w:tr>
      <w:tr w14:paraId="00BC21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6" w:type="pct"/>
            <w:tcBorders>
              <w:tl2br w:val="nil"/>
              <w:tr2bl w:val="nil"/>
            </w:tcBorders>
            <w:vAlign w:val="center"/>
          </w:tcPr>
          <w:p w14:paraId="7F3350CD">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lang w:val="en-US" w:eastAsia="zh-CN"/>
              </w:rPr>
              <w:t>废矿物油（HW08）</w:t>
            </w:r>
          </w:p>
        </w:tc>
        <w:tc>
          <w:tcPr>
            <w:tcW w:w="1193" w:type="pct"/>
            <w:tcBorders>
              <w:tl2br w:val="nil"/>
              <w:tr2bl w:val="nil"/>
            </w:tcBorders>
            <w:vAlign w:val="center"/>
          </w:tcPr>
          <w:p w14:paraId="7923855C">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3000</w:t>
            </w:r>
          </w:p>
        </w:tc>
      </w:tr>
      <w:tr w14:paraId="691968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806" w:type="pct"/>
            <w:tcBorders>
              <w:tl2br w:val="nil"/>
              <w:tr2bl w:val="nil"/>
            </w:tcBorders>
            <w:vAlign w:val="center"/>
          </w:tcPr>
          <w:p w14:paraId="04304481">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其他危险废物（考虑液态以及液态/固态废物）</w:t>
            </w:r>
          </w:p>
          <w:p w14:paraId="2A9AF241">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rPr>
            </w:pPr>
            <w:r>
              <w:rPr>
                <w:rFonts w:hint="default" w:ascii="Times New Roman" w:hAnsi="Times New Roman" w:eastAsia="宋体" w:cs="Times New Roman"/>
                <w:vertAlign w:val="baseline"/>
                <w:lang w:val="en-US" w:eastAsia="zh-CN"/>
              </w:rPr>
              <w:t>（HW06/HW12/HW13/HW31/HW34/HW35/HW49）</w:t>
            </w:r>
          </w:p>
        </w:tc>
        <w:tc>
          <w:tcPr>
            <w:tcW w:w="1193" w:type="pct"/>
            <w:tcBorders>
              <w:tl2br w:val="nil"/>
              <w:tr2bl w:val="nil"/>
            </w:tcBorders>
            <w:vAlign w:val="center"/>
          </w:tcPr>
          <w:p w14:paraId="722F469D">
            <w:pPr>
              <w:keepNext w:val="0"/>
              <w:keepLines w:val="0"/>
              <w:suppressLineNumbers w:val="0"/>
              <w:spacing w:before="0" w:beforeAutospacing="0" w:after="0" w:afterAutospacing="0"/>
              <w:ind w:left="0" w:right="0"/>
              <w:jc w:val="center"/>
              <w:rPr>
                <w:rFonts w:hint="default" w:ascii="Times New Roman" w:hAnsi="Times New Roman" w:eastAsia="宋体" w:cs="Times New Roman"/>
                <w:vertAlign w:val="baseline"/>
                <w:lang w:val="en-US" w:eastAsia="zh-CN"/>
              </w:rPr>
            </w:pPr>
            <w:r>
              <w:rPr>
                <w:rFonts w:hint="default" w:ascii="Times New Roman" w:hAnsi="Times New Roman" w:eastAsia="宋体" w:cs="Times New Roman"/>
                <w:vertAlign w:val="baseline"/>
                <w:lang w:val="en-US" w:eastAsia="zh-CN"/>
              </w:rPr>
              <w:t>8850</w:t>
            </w:r>
          </w:p>
        </w:tc>
      </w:tr>
    </w:tbl>
    <w:p w14:paraId="61038A96">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highlight w:val="none"/>
          <w:vertAlign w:val="baseline"/>
          <w:lang w:val="en-US" w:eastAsia="zh-CN"/>
        </w:rPr>
      </w:pPr>
      <w:r>
        <w:rPr>
          <w:rFonts w:hint="default" w:ascii="Times New Roman" w:hAnsi="Times New Roman" w:eastAsia="宋体" w:cs="Times New Roman"/>
          <w:sz w:val="24"/>
          <w:szCs w:val="28"/>
          <w:highlight w:val="none"/>
          <w:lang w:val="en-US" w:eastAsia="zh-CN"/>
        </w:rPr>
        <w:t>现有项目搬迁前后产生VOCs废气的单元包括废矿物油贮存区以及其他易产生废气的危险废物贮存区产生的VOCs，由上表对应的收集转运数量，本次类比的系数分别取0.75和2.26，则项目搬迁后废矿物油贮存区排放的VOCs量为0.0734t/a；其他危废贮存区有组织排放的VOCs量为0.2670t/a、0.038kg/h、3.39mgm</w:t>
      </w:r>
      <w:r>
        <w:rPr>
          <w:rFonts w:hint="default" w:ascii="Times New Roman" w:hAnsi="Times New Roman" w:eastAsia="宋体" w:cs="Times New Roman"/>
          <w:sz w:val="24"/>
          <w:szCs w:val="28"/>
          <w:highlight w:val="none"/>
          <w:vertAlign w:val="superscript"/>
          <w:lang w:val="en-US" w:eastAsia="zh-CN"/>
        </w:rPr>
        <w:t>3</w:t>
      </w:r>
      <w:r>
        <w:rPr>
          <w:rFonts w:hint="default" w:ascii="Times New Roman" w:hAnsi="Times New Roman" w:eastAsia="宋体" w:cs="Times New Roman"/>
          <w:sz w:val="24"/>
          <w:szCs w:val="28"/>
          <w:highlight w:val="none"/>
          <w:vertAlign w:val="baseline"/>
          <w:lang w:val="en-US" w:eastAsia="zh-CN"/>
        </w:rPr>
        <w:t>；</w:t>
      </w:r>
      <w:r>
        <w:rPr>
          <w:rFonts w:hint="default" w:ascii="Times New Roman" w:hAnsi="Times New Roman" w:eastAsia="宋体" w:cs="Times New Roman"/>
          <w:sz w:val="24"/>
          <w:szCs w:val="28"/>
          <w:highlight w:val="none"/>
          <w:lang w:val="en-US" w:eastAsia="zh-CN"/>
        </w:rPr>
        <w:t>其他危废贮存区无组织排放的VOCs量为0.164t/a、NH</w:t>
      </w:r>
      <w:r>
        <w:rPr>
          <w:rFonts w:hint="default" w:ascii="Times New Roman" w:hAnsi="Times New Roman" w:eastAsia="宋体" w:cs="Times New Roman"/>
          <w:sz w:val="24"/>
          <w:szCs w:val="28"/>
          <w:highlight w:val="none"/>
          <w:vertAlign w:val="subscript"/>
          <w:lang w:val="en-US" w:eastAsia="zh-CN"/>
        </w:rPr>
        <w:t>3</w:t>
      </w:r>
      <w:r>
        <w:rPr>
          <w:rFonts w:hint="default" w:ascii="Times New Roman" w:hAnsi="Times New Roman" w:eastAsia="宋体" w:cs="Times New Roman"/>
          <w:sz w:val="24"/>
          <w:szCs w:val="28"/>
          <w:highlight w:val="none"/>
          <w:lang w:val="en-US" w:eastAsia="zh-CN"/>
        </w:rPr>
        <w:t xml:space="preserve"> 0.00026t/a、H</w:t>
      </w:r>
      <w:r>
        <w:rPr>
          <w:rFonts w:hint="default" w:ascii="Times New Roman" w:hAnsi="Times New Roman" w:eastAsia="宋体" w:cs="Times New Roman"/>
          <w:sz w:val="24"/>
          <w:szCs w:val="28"/>
          <w:highlight w:val="none"/>
          <w:vertAlign w:val="subscript"/>
          <w:lang w:val="en-US" w:eastAsia="zh-CN"/>
        </w:rPr>
        <w:t>2</w:t>
      </w:r>
      <w:r>
        <w:rPr>
          <w:rFonts w:hint="default" w:ascii="Times New Roman" w:hAnsi="Times New Roman" w:eastAsia="宋体" w:cs="Times New Roman"/>
          <w:sz w:val="24"/>
          <w:szCs w:val="28"/>
          <w:highlight w:val="none"/>
          <w:lang w:val="en-US" w:eastAsia="zh-CN"/>
        </w:rPr>
        <w:t>S 0.00068t/a。</w:t>
      </w:r>
    </w:p>
    <w:p w14:paraId="34D43445">
      <w:pPr>
        <w:pStyle w:val="5"/>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5.5.1.2硫酸雾</w:t>
      </w:r>
    </w:p>
    <w:p w14:paraId="12C29B26">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Times New Roman" w:hAnsi="Times New Roman" w:eastAsia="宋体" w:cs="Times New Roman"/>
          <w:b w:val="0"/>
          <w:bCs/>
          <w:kern w:val="0"/>
          <w:sz w:val="24"/>
          <w:u w:val="none"/>
        </w:rPr>
      </w:pPr>
      <w:r>
        <w:rPr>
          <w:rFonts w:hint="default" w:ascii="Times New Roman" w:hAnsi="Times New Roman" w:eastAsia="宋体" w:cs="Times New Roman"/>
          <w:b w:val="0"/>
          <w:bCs/>
          <w:kern w:val="0"/>
          <w:sz w:val="24"/>
          <w:u w:val="none"/>
        </w:rPr>
        <w:t>本项目</w:t>
      </w:r>
      <w:r>
        <w:rPr>
          <w:rFonts w:hint="default" w:ascii="Times New Roman" w:hAnsi="Times New Roman" w:eastAsia="宋体" w:cs="Times New Roman"/>
          <w:b w:val="0"/>
          <w:bCs/>
          <w:kern w:val="0"/>
          <w:sz w:val="24"/>
          <w:u w:val="none"/>
          <w:lang w:val="en-US" w:eastAsia="zh-CN"/>
        </w:rPr>
        <w:t>搬迁后新增</w:t>
      </w:r>
      <w:r>
        <w:rPr>
          <w:rFonts w:hint="default" w:ascii="Times New Roman" w:hAnsi="Times New Roman" w:eastAsia="宋体" w:cs="Times New Roman"/>
          <w:b w:val="0"/>
          <w:bCs/>
          <w:kern w:val="0"/>
          <w:sz w:val="24"/>
          <w:u w:val="none"/>
        </w:rPr>
        <w:t>收贮一定量的废铅酸蓄电池（HW31，危废代码为 900-052-31），但不进行废旧铅酸蓄电池的拆解及后续加工工作，在废铅酸蓄电池收集、装车过程中破损的废旧铅酸蓄电池采用镀锌密闭钢箱包装，外观完好未破损的废铅酸蓄电池采用托盘加缠绕膜进行包装。因此，在严格按照规范进行转运、收贮过程中不会产生硫酸雾。</w:t>
      </w:r>
    </w:p>
    <w:p w14:paraId="52C7329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480" w:firstLineChars="200"/>
        <w:textAlignment w:val="auto"/>
        <w:rPr>
          <w:rFonts w:hint="default" w:ascii="Times New Roman" w:hAnsi="Times New Roman" w:eastAsia="宋体" w:cs="Times New Roman"/>
          <w:b w:val="0"/>
          <w:bCs/>
          <w:kern w:val="0"/>
          <w:sz w:val="24"/>
          <w:u w:val="none"/>
        </w:rPr>
      </w:pPr>
      <w:r>
        <w:rPr>
          <w:rFonts w:hint="default" w:ascii="Times New Roman" w:hAnsi="Times New Roman" w:eastAsia="宋体" w:cs="Times New Roman"/>
          <w:b w:val="0"/>
          <w:bCs/>
          <w:kern w:val="0"/>
          <w:sz w:val="24"/>
          <w:u w:val="none"/>
        </w:rPr>
        <w:t>另外，项目收集的电池中有小部分</w:t>
      </w:r>
      <w:r>
        <w:rPr>
          <w:rFonts w:hint="default" w:ascii="Times New Roman" w:hAnsi="Times New Roman" w:eastAsia="宋体" w:cs="Times New Roman"/>
          <w:b w:val="0"/>
          <w:bCs/>
          <w:kern w:val="0"/>
          <w:sz w:val="24"/>
          <w:u w:val="none"/>
          <w:lang w:val="en-US" w:eastAsia="zh-CN"/>
        </w:rPr>
        <w:t>未及时发现的</w:t>
      </w:r>
      <w:r>
        <w:rPr>
          <w:rFonts w:hint="default" w:ascii="Times New Roman" w:hAnsi="Times New Roman" w:eastAsia="宋体" w:cs="Times New Roman"/>
          <w:b w:val="0"/>
          <w:bCs/>
          <w:kern w:val="0"/>
          <w:sz w:val="24"/>
          <w:u w:val="none"/>
        </w:rPr>
        <w:t>破损废铅酸蓄电池，</w:t>
      </w:r>
      <w:r>
        <w:rPr>
          <w:rFonts w:hint="default" w:ascii="Times New Roman" w:hAnsi="Times New Roman" w:eastAsia="宋体" w:cs="Times New Roman"/>
          <w:b w:val="0"/>
          <w:bCs/>
          <w:kern w:val="0"/>
          <w:sz w:val="24"/>
          <w:u w:val="none"/>
          <w:lang w:val="en-US" w:eastAsia="zh-CN"/>
        </w:rPr>
        <w:t>或</w:t>
      </w:r>
      <w:r>
        <w:rPr>
          <w:rFonts w:hint="default" w:ascii="Times New Roman" w:hAnsi="Times New Roman" w:eastAsia="宋体" w:cs="Times New Roman"/>
          <w:b w:val="0"/>
          <w:bCs/>
          <w:kern w:val="0"/>
          <w:sz w:val="24"/>
          <w:u w:val="none"/>
        </w:rPr>
        <w:t>铅酸蓄电池在厂内贮存时，搬运、装卸过程中的外力撞击和电池老化破碎可能造成破损导致电解液渗漏，泄漏的电解可通过车间导流沟及时进入渗漏电解液收集池，根据建设单位提供资料，</w:t>
      </w:r>
      <w:r>
        <w:rPr>
          <w:rFonts w:hint="default" w:ascii="Times New Roman" w:hAnsi="Times New Roman" w:eastAsia="宋体" w:cs="Times New Roman"/>
          <w:b w:val="0"/>
          <w:bCs/>
          <w:kern w:val="0"/>
          <w:sz w:val="24"/>
          <w:u w:val="none"/>
          <w:lang w:val="en-US" w:eastAsia="zh-CN"/>
        </w:rPr>
        <w:t>项目收集的铅酸蓄电池最大贮存量约为10t</w:t>
      </w:r>
      <w:r>
        <w:rPr>
          <w:rFonts w:hint="default" w:ascii="Times New Roman" w:hAnsi="Times New Roman" w:eastAsia="宋体" w:cs="Times New Roman"/>
          <w:b w:val="0"/>
          <w:bCs/>
          <w:kern w:val="0"/>
          <w:sz w:val="24"/>
          <w:u w:val="none"/>
          <w:lang w:eastAsia="zh-CN"/>
        </w:rPr>
        <w:t>，</w:t>
      </w:r>
      <w:r>
        <w:rPr>
          <w:rFonts w:hint="default" w:ascii="Times New Roman" w:hAnsi="Times New Roman" w:eastAsia="宋体" w:cs="Times New Roman"/>
          <w:b w:val="0"/>
          <w:bCs/>
          <w:kern w:val="0"/>
          <w:sz w:val="24"/>
          <w:u w:val="none"/>
        </w:rPr>
        <w:t>破损废铅酸蓄电池量占最大贮存量</w:t>
      </w:r>
      <w:r>
        <w:rPr>
          <w:rFonts w:hint="default" w:ascii="Times New Roman" w:hAnsi="Times New Roman" w:eastAsia="宋体" w:cs="Times New Roman"/>
          <w:b w:val="0"/>
          <w:bCs/>
          <w:kern w:val="0"/>
          <w:sz w:val="24"/>
          <w:u w:val="none"/>
          <w:lang w:eastAsia="zh-CN"/>
        </w:rPr>
        <w:t>（</w:t>
      </w:r>
      <w:r>
        <w:rPr>
          <w:rFonts w:hint="default" w:ascii="Times New Roman" w:hAnsi="Times New Roman" w:eastAsia="宋体" w:cs="Times New Roman"/>
          <w:b w:val="0"/>
          <w:bCs/>
          <w:kern w:val="0"/>
          <w:sz w:val="24"/>
          <w:u w:val="none"/>
          <w:lang w:val="en-US" w:eastAsia="zh-CN"/>
        </w:rPr>
        <w:t>10t</w:t>
      </w:r>
      <w:r>
        <w:rPr>
          <w:rFonts w:hint="default" w:ascii="Times New Roman" w:hAnsi="Times New Roman" w:eastAsia="宋体" w:cs="Times New Roman"/>
          <w:b w:val="0"/>
          <w:bCs/>
          <w:kern w:val="0"/>
          <w:sz w:val="24"/>
          <w:u w:val="none"/>
          <w:lang w:eastAsia="zh-CN"/>
        </w:rPr>
        <w:t>）</w:t>
      </w:r>
      <w:r>
        <w:rPr>
          <w:rFonts w:hint="default" w:ascii="Times New Roman" w:hAnsi="Times New Roman" w:eastAsia="宋体" w:cs="Times New Roman"/>
          <w:b w:val="0"/>
          <w:bCs/>
          <w:kern w:val="0"/>
          <w:sz w:val="24"/>
          <w:u w:val="none"/>
        </w:rPr>
        <w:t>的2%，则破损废铅酸蓄电池量约为0.</w:t>
      </w:r>
      <w:r>
        <w:rPr>
          <w:rFonts w:hint="default" w:ascii="Times New Roman" w:hAnsi="Times New Roman" w:eastAsia="宋体" w:cs="Times New Roman"/>
          <w:b w:val="0"/>
          <w:bCs/>
          <w:kern w:val="0"/>
          <w:sz w:val="24"/>
          <w:u w:val="none"/>
          <w:lang w:val="en-US" w:eastAsia="zh-CN"/>
        </w:rPr>
        <w:t>2</w:t>
      </w:r>
      <w:r>
        <w:rPr>
          <w:rFonts w:hint="default" w:ascii="Times New Roman" w:hAnsi="Times New Roman" w:eastAsia="宋体" w:cs="Times New Roman"/>
          <w:b w:val="0"/>
          <w:bCs/>
          <w:kern w:val="0"/>
          <w:sz w:val="24"/>
          <w:u w:val="none"/>
        </w:rPr>
        <w:t>t，</w:t>
      </w:r>
      <w:r>
        <w:rPr>
          <w:rFonts w:hint="default" w:ascii="Times New Roman" w:hAnsi="Times New Roman" w:eastAsia="宋体" w:cs="Times New Roman"/>
          <w:b w:val="0"/>
          <w:bCs/>
          <w:kern w:val="0"/>
          <w:sz w:val="24"/>
          <w:u w:val="none"/>
          <w:lang w:val="en-US" w:eastAsia="zh-CN"/>
        </w:rPr>
        <w:t>折算约</w:t>
      </w:r>
      <w:r>
        <w:rPr>
          <w:rFonts w:hint="default" w:ascii="Times New Roman" w:hAnsi="Times New Roman" w:eastAsia="宋体" w:cs="Times New Roman"/>
          <w:b w:val="0"/>
          <w:bCs/>
          <w:kern w:val="0"/>
          <w:sz w:val="24"/>
          <w:u w:val="none"/>
        </w:rPr>
        <w:t>平均每天收集38个破损废铅酸蓄电池。破损废铅酸蓄电池放入镀锌密闭钢箱内，盖盖、覆膜密封打包后，用专用车辆运至仓库，直接贮存于破损废铅酸蓄电池存放区内。根据调查，一个铅酸蓄电池重16kg左右，电池中电解液的主要成分为稀硫酸，浓度为37%左右，占电池总重量的20%，故1个废铅酸蓄电池电解液重量为3.2kg，电解液中硫酸含量为1.18kg，则泄漏硫酸的量为44.84kg。</w:t>
      </w:r>
    </w:p>
    <w:p w14:paraId="237F410C">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kern w:val="0"/>
          <w:sz w:val="24"/>
          <w:u w:val="none"/>
        </w:rPr>
      </w:pPr>
      <w:r>
        <w:rPr>
          <w:rFonts w:hint="default" w:ascii="Times New Roman" w:hAnsi="Times New Roman" w:eastAsia="宋体" w:cs="Times New Roman"/>
          <w:b w:val="0"/>
          <w:bCs/>
          <w:kern w:val="0"/>
          <w:sz w:val="24"/>
          <w:u w:val="none"/>
          <w:lang w:val="en-US" w:eastAsia="zh-CN"/>
        </w:rPr>
        <w:t>评价要求项目方在</w:t>
      </w:r>
      <w:r>
        <w:rPr>
          <w:rFonts w:hint="default" w:ascii="Times New Roman" w:hAnsi="Times New Roman" w:eastAsia="宋体" w:cs="Times New Roman"/>
          <w:b w:val="0"/>
          <w:bCs/>
          <w:kern w:val="0"/>
          <w:sz w:val="24"/>
          <w:u w:val="none"/>
        </w:rPr>
        <w:t>废铅酸蓄电池贮存区</w:t>
      </w:r>
      <w:r>
        <w:rPr>
          <w:rFonts w:hint="default" w:ascii="Times New Roman" w:hAnsi="Times New Roman" w:eastAsia="宋体" w:cs="Times New Roman"/>
          <w:b w:val="0"/>
          <w:bCs/>
          <w:kern w:val="0"/>
          <w:sz w:val="24"/>
          <w:u w:val="none"/>
          <w:lang w:val="en-US" w:eastAsia="zh-CN"/>
        </w:rPr>
        <w:t>单独</w:t>
      </w:r>
      <w:r>
        <w:rPr>
          <w:rFonts w:hint="default" w:ascii="Times New Roman" w:hAnsi="Times New Roman" w:eastAsia="宋体" w:cs="Times New Roman"/>
          <w:b w:val="0"/>
          <w:bCs/>
          <w:kern w:val="0"/>
          <w:sz w:val="24"/>
          <w:u w:val="none"/>
        </w:rPr>
        <w:t>设置一个1m</w:t>
      </w:r>
      <w:r>
        <w:rPr>
          <w:rFonts w:hint="default" w:ascii="Times New Roman" w:hAnsi="Times New Roman" w:eastAsia="宋体" w:cs="Times New Roman"/>
          <w:b w:val="0"/>
          <w:bCs/>
          <w:kern w:val="0"/>
          <w:sz w:val="24"/>
          <w:u w:val="none"/>
          <w:vertAlign w:val="superscript"/>
        </w:rPr>
        <w:t>3</w:t>
      </w:r>
      <w:r>
        <w:rPr>
          <w:rFonts w:hint="default" w:ascii="Times New Roman" w:hAnsi="Times New Roman" w:eastAsia="宋体" w:cs="Times New Roman"/>
          <w:b w:val="0"/>
          <w:bCs/>
          <w:kern w:val="0"/>
          <w:sz w:val="24"/>
          <w:u w:val="none"/>
        </w:rPr>
        <w:t>的电解液收集池，假设收集池常年存有泄漏电解液，根据《环境统计手册》中推荐的硫酸雾统计公式，酸雾挥发量估算如下：</w:t>
      </w:r>
    </w:p>
    <w:p w14:paraId="63AC3EEF">
      <w:pPr>
        <w:keepNext w:val="0"/>
        <w:keepLines w:val="0"/>
        <w:suppressLineNumbers w:val="0"/>
        <w:spacing w:before="0" w:beforeAutospacing="0" w:after="0" w:afterAutospacing="0" w:line="360" w:lineRule="auto"/>
        <w:ind w:left="0" w:right="0"/>
        <w:jc w:val="center"/>
        <w:rPr>
          <w:rFonts w:hint="default" w:ascii="Times New Roman" w:hAnsi="Times New Roman" w:eastAsia="宋体" w:cs="Times New Roman"/>
          <w:b w:val="0"/>
          <w:bCs/>
          <w:kern w:val="0"/>
          <w:sz w:val="24"/>
          <w:u w:val="none"/>
        </w:rPr>
      </w:pPr>
      <w:r>
        <w:rPr>
          <w:rFonts w:hint="default" w:ascii="Times New Roman" w:hAnsi="Times New Roman" w:eastAsia="宋体" w:cs="Times New Roman"/>
          <w:u w:val="none"/>
        </w:rPr>
        <w:drawing>
          <wp:inline distT="0" distB="0" distL="114300" distR="114300">
            <wp:extent cx="5191125" cy="1798320"/>
            <wp:effectExtent l="0" t="0" r="5715"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36"/>
                    <a:stretch>
                      <a:fillRect/>
                    </a:stretch>
                  </pic:blipFill>
                  <pic:spPr>
                    <a:xfrm>
                      <a:off x="0" y="0"/>
                      <a:ext cx="5191125" cy="1798320"/>
                    </a:xfrm>
                    <a:prstGeom prst="rect">
                      <a:avLst/>
                    </a:prstGeom>
                    <a:noFill/>
                    <a:ln>
                      <a:noFill/>
                    </a:ln>
                  </pic:spPr>
                </pic:pic>
              </a:graphicData>
            </a:graphic>
          </wp:inline>
        </w:drawing>
      </w:r>
    </w:p>
    <w:p w14:paraId="4F649A36">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kern w:val="0"/>
          <w:sz w:val="24"/>
          <w:u w:val="none"/>
        </w:rPr>
      </w:pPr>
      <w:r>
        <w:rPr>
          <w:rFonts w:hint="default" w:ascii="Times New Roman" w:hAnsi="Times New Roman" w:eastAsia="宋体" w:cs="Times New Roman"/>
          <w:b w:val="0"/>
          <w:bCs/>
          <w:kern w:val="0"/>
          <w:sz w:val="24"/>
          <w:u w:val="none"/>
        </w:rPr>
        <w:t>计算可知，液体挥发量约为0.674kg/h，硫酸雾挥发量按下式计算：</w:t>
      </w:r>
    </w:p>
    <w:p w14:paraId="3CCB8097">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b w:val="0"/>
          <w:bCs/>
          <w:kern w:val="0"/>
          <w:sz w:val="24"/>
          <w:u w:val="none"/>
        </w:rPr>
      </w:pPr>
      <w:r>
        <w:rPr>
          <w:rFonts w:hint="default" w:ascii="Times New Roman" w:hAnsi="Times New Roman" w:eastAsia="宋体" w:cs="Times New Roman"/>
          <w:b w:val="0"/>
          <w:bCs/>
          <w:kern w:val="0"/>
          <w:sz w:val="24"/>
          <w:u w:val="none"/>
        </w:rPr>
        <w:t>Gz</w:t>
      </w:r>
      <w:r>
        <w:rPr>
          <w:rFonts w:hint="default" w:ascii="Times New Roman" w:hAnsi="Times New Roman" w:eastAsia="宋体" w:cs="Times New Roman"/>
          <w:b w:val="0"/>
          <w:bCs/>
          <w:kern w:val="0"/>
          <w:sz w:val="24"/>
          <w:u w:val="none"/>
          <w:vertAlign w:val="subscript"/>
        </w:rPr>
        <w:t>硫酸雾</w:t>
      </w:r>
      <w:r>
        <w:rPr>
          <w:rFonts w:hint="default" w:ascii="Times New Roman" w:hAnsi="Times New Roman" w:eastAsia="宋体" w:cs="Times New Roman"/>
          <w:b w:val="0"/>
          <w:bCs/>
          <w:kern w:val="0"/>
          <w:sz w:val="24"/>
          <w:u w:val="none"/>
        </w:rPr>
        <w:t>= Gz-Gz</w:t>
      </w:r>
      <w:r>
        <w:rPr>
          <w:rFonts w:hint="default" w:ascii="Times New Roman" w:hAnsi="Times New Roman" w:eastAsia="宋体" w:cs="Times New Roman"/>
          <w:b w:val="0"/>
          <w:bCs/>
          <w:kern w:val="0"/>
          <w:sz w:val="24"/>
          <w:u w:val="none"/>
          <w:vertAlign w:val="subscript"/>
        </w:rPr>
        <w:t>水</w:t>
      </w:r>
    </w:p>
    <w:p w14:paraId="732C2518">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 w:val="0"/>
          <w:bCs/>
          <w:kern w:val="0"/>
          <w:sz w:val="24"/>
          <w:u w:val="none"/>
        </w:rPr>
      </w:pPr>
      <w:r>
        <w:rPr>
          <w:rFonts w:hint="default" w:ascii="Times New Roman" w:hAnsi="Times New Roman" w:eastAsia="宋体" w:cs="Times New Roman"/>
          <w:b w:val="0"/>
          <w:bCs/>
          <w:kern w:val="0"/>
          <w:sz w:val="24"/>
          <w:u w:val="none"/>
        </w:rPr>
        <w:t>在20℃时，水蒸气的蒸发量为0.5L/m</w:t>
      </w:r>
      <w:r>
        <w:rPr>
          <w:rFonts w:hint="default" w:ascii="Times New Roman" w:hAnsi="Times New Roman" w:eastAsia="宋体" w:cs="Times New Roman"/>
          <w:b w:val="0"/>
          <w:bCs/>
          <w:kern w:val="0"/>
          <w:sz w:val="24"/>
          <w:u w:val="none"/>
          <w:vertAlign w:val="superscript"/>
        </w:rPr>
        <w:t>2</w:t>
      </w:r>
      <w:r>
        <w:rPr>
          <w:rFonts w:hint="default" w:ascii="Times New Roman" w:hAnsi="Times New Roman" w:eastAsia="宋体" w:cs="Times New Roman"/>
          <w:b w:val="0"/>
          <w:bCs/>
          <w:kern w:val="0"/>
          <w:sz w:val="24"/>
          <w:u w:val="none"/>
        </w:rPr>
        <w:t>/h，则硫酸雾挥发量为 0.174t/a，排放速率为0.073kg/h，排放浓度为72.5mg/m</w:t>
      </w:r>
      <w:r>
        <w:rPr>
          <w:rFonts w:hint="default" w:ascii="Times New Roman" w:hAnsi="Times New Roman" w:eastAsia="宋体" w:cs="Times New Roman"/>
          <w:b w:val="0"/>
          <w:bCs/>
          <w:kern w:val="0"/>
          <w:sz w:val="24"/>
          <w:u w:val="none"/>
          <w:vertAlign w:val="superscript"/>
        </w:rPr>
        <w:t>3</w:t>
      </w:r>
      <w:r>
        <w:rPr>
          <w:rFonts w:hint="default" w:ascii="Times New Roman" w:hAnsi="Times New Roman" w:eastAsia="宋体" w:cs="Times New Roman"/>
          <w:b w:val="0"/>
          <w:bCs/>
          <w:kern w:val="0"/>
          <w:sz w:val="24"/>
          <w:u w:val="none"/>
        </w:rPr>
        <w:t>。</w:t>
      </w:r>
    </w:p>
    <w:p w14:paraId="2A236CB0">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highlight w:val="none"/>
          <w:u w:val="none"/>
          <w:lang w:val="en-US" w:eastAsia="zh-CN"/>
        </w:rPr>
      </w:pPr>
      <w:r>
        <w:rPr>
          <w:rFonts w:hint="default" w:ascii="Times New Roman" w:hAnsi="Times New Roman" w:eastAsia="宋体" w:cs="Times New Roman"/>
          <w:b w:val="0"/>
          <w:bCs/>
          <w:kern w:val="0"/>
          <w:sz w:val="24"/>
          <w:u w:val="none"/>
        </w:rPr>
        <w:t>根据《废铅蓄电池处理污染控制技术规范》（HJ519-2009）“应具有空气收集、排气系统，用以过滤空气和更新空气”的要求，项目设置封闭的微负压房，用作废铅酸电池库房空气的更新，项目采用微负压收集，风量为1000</w:t>
      </w:r>
      <w:r>
        <w:rPr>
          <w:rFonts w:hint="default" w:ascii="Times New Roman" w:hAnsi="Times New Roman" w:eastAsia="宋体" w:cs="Times New Roman"/>
          <w:b w:val="0"/>
          <w:bCs/>
          <w:kern w:val="0"/>
          <w:sz w:val="24"/>
          <w:u w:val="none"/>
          <w:lang w:val="en-US" w:eastAsia="zh-CN"/>
        </w:rPr>
        <w:t>0</w:t>
      </w:r>
      <w:r>
        <w:rPr>
          <w:rFonts w:hint="default" w:ascii="Times New Roman" w:hAnsi="Times New Roman" w:eastAsia="宋体" w:cs="Times New Roman"/>
          <w:b w:val="0"/>
          <w:bCs/>
          <w:kern w:val="0"/>
          <w:sz w:val="24"/>
          <w:u w:val="none"/>
        </w:rPr>
        <w:t>m</w:t>
      </w:r>
      <w:r>
        <w:rPr>
          <w:rFonts w:hint="default" w:ascii="Times New Roman" w:hAnsi="Times New Roman" w:eastAsia="宋体" w:cs="Times New Roman"/>
          <w:b w:val="0"/>
          <w:bCs/>
          <w:kern w:val="0"/>
          <w:sz w:val="24"/>
          <w:u w:val="none"/>
          <w:vertAlign w:val="superscript"/>
        </w:rPr>
        <w:t>3</w:t>
      </w:r>
      <w:r>
        <w:rPr>
          <w:rFonts w:hint="default" w:ascii="Times New Roman" w:hAnsi="Times New Roman" w:eastAsia="宋体" w:cs="Times New Roman"/>
          <w:b w:val="0"/>
          <w:bCs/>
          <w:kern w:val="0"/>
          <w:sz w:val="24"/>
          <w:u w:val="none"/>
        </w:rPr>
        <w:t>/h，同时也可以确保意外破损废铅蓄电池电解液泄漏后挥发硫酸雾废气进行收集，</w:t>
      </w:r>
      <w:r>
        <w:rPr>
          <w:rFonts w:hint="default" w:ascii="Times New Roman" w:hAnsi="Times New Roman" w:eastAsia="宋体" w:cs="Times New Roman"/>
          <w:b w:val="0"/>
          <w:bCs/>
          <w:kern w:val="0"/>
          <w:sz w:val="24"/>
          <w:u w:val="none"/>
          <w:lang w:val="en-US" w:eastAsia="zh-CN"/>
        </w:rPr>
        <w:t>收集后引入</w:t>
      </w:r>
      <w:r>
        <w:rPr>
          <w:rFonts w:hint="default" w:ascii="Times New Roman" w:hAnsi="Times New Roman" w:eastAsia="宋体" w:cs="Times New Roman"/>
          <w:bCs/>
          <w:sz w:val="24"/>
          <w:szCs w:val="24"/>
          <w:u w:val="none"/>
          <w:lang w:eastAsia="zh-CN"/>
        </w:rPr>
        <w:t>“UV光解+活性炭吸附”</w:t>
      </w:r>
      <w:r>
        <w:rPr>
          <w:rFonts w:hint="default" w:ascii="Times New Roman" w:hAnsi="Times New Roman" w:eastAsia="宋体" w:cs="Times New Roman"/>
          <w:bCs/>
          <w:sz w:val="24"/>
          <w:szCs w:val="24"/>
          <w:u w:val="none"/>
          <w:lang w:val="en-US" w:eastAsia="zh-CN"/>
        </w:rPr>
        <w:t>系统并</w:t>
      </w:r>
      <w:r>
        <w:rPr>
          <w:rFonts w:hint="default" w:ascii="Times New Roman" w:hAnsi="Times New Roman" w:eastAsia="宋体" w:cs="Times New Roman"/>
          <w:b w:val="0"/>
          <w:bCs/>
          <w:kern w:val="0"/>
          <w:sz w:val="24"/>
          <w:u w:val="none"/>
        </w:rPr>
        <w:t>经1根15m高的排气筒（DA00</w:t>
      </w:r>
      <w:r>
        <w:rPr>
          <w:rFonts w:hint="default" w:ascii="Times New Roman" w:hAnsi="Times New Roman" w:eastAsia="宋体" w:cs="Times New Roman"/>
          <w:b w:val="0"/>
          <w:bCs/>
          <w:kern w:val="0"/>
          <w:sz w:val="24"/>
          <w:u w:val="none"/>
          <w:lang w:val="en-US" w:eastAsia="zh-CN"/>
        </w:rPr>
        <w:t>2</w:t>
      </w:r>
      <w:r>
        <w:rPr>
          <w:rFonts w:hint="default" w:ascii="Times New Roman" w:hAnsi="Times New Roman" w:eastAsia="宋体" w:cs="Times New Roman"/>
          <w:b w:val="0"/>
          <w:bCs/>
          <w:kern w:val="0"/>
          <w:sz w:val="24"/>
          <w:u w:val="none"/>
        </w:rPr>
        <w:t>）排放。收集效率按90%计</w:t>
      </w:r>
      <w:r>
        <w:rPr>
          <w:rFonts w:hint="default" w:ascii="Times New Roman" w:hAnsi="Times New Roman" w:eastAsia="宋体" w:cs="Times New Roman"/>
          <w:b w:val="0"/>
          <w:bCs/>
          <w:kern w:val="0"/>
          <w:sz w:val="24"/>
          <w:u w:val="none"/>
          <w:lang w:eastAsia="zh-CN"/>
        </w:rPr>
        <w:t>，</w:t>
      </w:r>
      <w:r>
        <w:rPr>
          <w:rFonts w:hint="default" w:ascii="Times New Roman" w:hAnsi="Times New Roman" w:eastAsia="宋体" w:cs="Times New Roman"/>
          <w:b w:val="0"/>
          <w:bCs/>
          <w:kern w:val="0"/>
          <w:sz w:val="24"/>
          <w:u w:val="none"/>
          <w:lang w:val="en-US" w:eastAsia="zh-CN"/>
        </w:rPr>
        <w:t>硫酸雾的处理效率为0%</w:t>
      </w:r>
      <w:r>
        <w:rPr>
          <w:rFonts w:hint="default" w:ascii="Times New Roman" w:hAnsi="Times New Roman" w:eastAsia="宋体" w:cs="Times New Roman"/>
          <w:b w:val="0"/>
          <w:bCs/>
          <w:kern w:val="0"/>
          <w:sz w:val="24"/>
          <w:u w:val="none"/>
        </w:rPr>
        <w:t>，则有组织排放的硫酸雾量为0.</w:t>
      </w:r>
      <w:r>
        <w:rPr>
          <w:rFonts w:hint="default" w:ascii="Times New Roman" w:hAnsi="Times New Roman" w:eastAsia="宋体" w:cs="Times New Roman"/>
          <w:b w:val="0"/>
          <w:bCs/>
          <w:kern w:val="0"/>
          <w:sz w:val="24"/>
          <w:u w:val="none"/>
          <w:lang w:val="en-US" w:eastAsia="zh-CN"/>
        </w:rPr>
        <w:t>1566</w:t>
      </w:r>
      <w:r>
        <w:rPr>
          <w:rFonts w:hint="default" w:ascii="Times New Roman" w:hAnsi="Times New Roman" w:eastAsia="宋体" w:cs="Times New Roman"/>
          <w:b w:val="0"/>
          <w:bCs/>
          <w:kern w:val="0"/>
          <w:sz w:val="24"/>
          <w:u w:val="none"/>
        </w:rPr>
        <w:t>t/a，排放速率为0.0</w:t>
      </w:r>
      <w:r>
        <w:rPr>
          <w:rFonts w:hint="default" w:ascii="Times New Roman" w:hAnsi="Times New Roman" w:eastAsia="宋体" w:cs="Times New Roman"/>
          <w:b w:val="0"/>
          <w:bCs/>
          <w:kern w:val="0"/>
          <w:sz w:val="24"/>
          <w:u w:val="none"/>
          <w:lang w:val="en-US" w:eastAsia="zh-CN"/>
        </w:rPr>
        <w:t>20</w:t>
      </w:r>
      <w:r>
        <w:rPr>
          <w:rFonts w:hint="default" w:ascii="Times New Roman" w:hAnsi="Times New Roman" w:eastAsia="宋体" w:cs="Times New Roman"/>
          <w:b w:val="0"/>
          <w:bCs/>
          <w:kern w:val="0"/>
          <w:sz w:val="24"/>
          <w:u w:val="none"/>
        </w:rPr>
        <w:t xml:space="preserve">kg/h，排放浓度为 </w:t>
      </w:r>
      <w:r>
        <w:rPr>
          <w:rFonts w:hint="default" w:ascii="Times New Roman" w:hAnsi="Times New Roman" w:eastAsia="宋体" w:cs="Times New Roman"/>
          <w:b w:val="0"/>
          <w:bCs/>
          <w:kern w:val="0"/>
          <w:sz w:val="24"/>
          <w:u w:val="none"/>
          <w:lang w:val="en-US" w:eastAsia="zh-CN"/>
        </w:rPr>
        <w:t>2.0</w:t>
      </w:r>
      <w:r>
        <w:rPr>
          <w:rFonts w:hint="default" w:ascii="Times New Roman" w:hAnsi="Times New Roman" w:eastAsia="宋体" w:cs="Times New Roman"/>
          <w:b w:val="0"/>
          <w:bCs/>
          <w:kern w:val="0"/>
          <w:sz w:val="24"/>
          <w:u w:val="none"/>
        </w:rPr>
        <w:t>mg/m</w:t>
      </w:r>
      <w:r>
        <w:rPr>
          <w:rFonts w:hint="default" w:ascii="Times New Roman" w:hAnsi="Times New Roman" w:eastAsia="宋体" w:cs="Times New Roman"/>
          <w:b w:val="0"/>
          <w:bCs/>
          <w:kern w:val="0"/>
          <w:sz w:val="24"/>
          <w:u w:val="none"/>
          <w:vertAlign w:val="superscript"/>
        </w:rPr>
        <w:t>3</w:t>
      </w:r>
      <w:r>
        <w:rPr>
          <w:rFonts w:hint="default" w:ascii="Times New Roman" w:hAnsi="Times New Roman" w:eastAsia="宋体" w:cs="Times New Roman"/>
          <w:b w:val="0"/>
          <w:bCs/>
          <w:kern w:val="0"/>
          <w:sz w:val="24"/>
          <w:u w:val="none"/>
        </w:rPr>
        <w:t>；未被收集的硫酸雾以无组织形式排放，无组织排放的硫酸雾排放量为0.0174t/a，排放速率为0.00</w:t>
      </w:r>
      <w:r>
        <w:rPr>
          <w:rFonts w:hint="default" w:ascii="Times New Roman" w:hAnsi="Times New Roman" w:eastAsia="宋体" w:cs="Times New Roman"/>
          <w:b w:val="0"/>
          <w:bCs/>
          <w:kern w:val="0"/>
          <w:sz w:val="24"/>
          <w:u w:val="none"/>
          <w:lang w:val="en-US" w:eastAsia="zh-CN"/>
        </w:rPr>
        <w:t>22</w:t>
      </w:r>
      <w:r>
        <w:rPr>
          <w:rFonts w:hint="default" w:ascii="Times New Roman" w:hAnsi="Times New Roman" w:eastAsia="宋体" w:cs="Times New Roman"/>
          <w:b w:val="0"/>
          <w:bCs/>
          <w:kern w:val="0"/>
          <w:sz w:val="24"/>
          <w:u w:val="none"/>
        </w:rPr>
        <w:t>kg/h。</w:t>
      </w:r>
    </w:p>
    <w:p w14:paraId="70C086FB">
      <w:pPr>
        <w:pStyle w:val="5"/>
        <w:pageBreakBefore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5.5.1.3搬迁部分污染源强统计</w:t>
      </w:r>
    </w:p>
    <w:p w14:paraId="0C8540A6">
      <w:pPr>
        <w:pageBreakBefore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rPr>
      </w:pPr>
      <w:r>
        <w:rPr>
          <w:rFonts w:hint="default" w:ascii="Times New Roman" w:hAnsi="Times New Roman" w:eastAsia="宋体" w:cs="Times New Roman"/>
          <w:sz w:val="24"/>
          <w:szCs w:val="28"/>
          <w:lang w:val="en-US" w:eastAsia="zh-CN"/>
        </w:rPr>
        <w:t>综上，</w:t>
      </w:r>
      <w:r>
        <w:rPr>
          <w:rFonts w:hint="default" w:ascii="Times New Roman" w:hAnsi="Times New Roman" w:eastAsia="宋体" w:cs="Times New Roman"/>
          <w:sz w:val="24"/>
          <w:szCs w:val="28"/>
        </w:rPr>
        <w:t>项目搬迁</w:t>
      </w:r>
      <w:r>
        <w:rPr>
          <w:rFonts w:hint="default" w:ascii="Times New Roman" w:hAnsi="Times New Roman" w:eastAsia="宋体" w:cs="Times New Roman"/>
          <w:sz w:val="24"/>
          <w:szCs w:val="28"/>
          <w:lang w:val="en-US" w:eastAsia="zh-CN"/>
        </w:rPr>
        <w:t>后，搬迁</w:t>
      </w:r>
      <w:r>
        <w:rPr>
          <w:rFonts w:hint="default" w:ascii="Times New Roman" w:hAnsi="Times New Roman" w:eastAsia="宋体" w:cs="Times New Roman"/>
          <w:sz w:val="24"/>
          <w:szCs w:val="28"/>
        </w:rPr>
        <w:t>部分（危废收集贮存）的污染物排放情况见下表：</w:t>
      </w:r>
    </w:p>
    <w:p w14:paraId="6ED67D81">
      <w:pPr>
        <w:pStyle w:val="129"/>
        <w:pageBreakBefore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Cs w:val="21"/>
        </w:rPr>
      </w:pPr>
      <w:r>
        <w:rPr>
          <w:rFonts w:hint="default" w:ascii="Times New Roman" w:hAnsi="Times New Roman" w:eastAsia="宋体" w:cs="Times New Roman"/>
          <w:szCs w:val="21"/>
        </w:rPr>
        <w:t>表5.5-</w:t>
      </w:r>
      <w:r>
        <w:rPr>
          <w:rFonts w:hint="default" w:ascii="Times New Roman" w:hAnsi="Times New Roman" w:eastAsia="宋体" w:cs="Times New Roman"/>
          <w:szCs w:val="21"/>
          <w:lang w:val="en-US" w:eastAsia="zh-CN"/>
        </w:rPr>
        <w:t>3</w:t>
      </w:r>
      <w:r>
        <w:rPr>
          <w:rFonts w:hint="default" w:ascii="Times New Roman" w:hAnsi="Times New Roman" w:eastAsia="宋体" w:cs="Times New Roman"/>
          <w:szCs w:val="21"/>
        </w:rPr>
        <w:t xml:space="preserve">  项目搬迁部分（危废收集贮存）的污染物排放一览表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40"/>
        <w:gridCol w:w="1866"/>
        <w:gridCol w:w="1606"/>
        <w:gridCol w:w="1311"/>
        <w:gridCol w:w="1462"/>
        <w:gridCol w:w="1237"/>
      </w:tblGrid>
      <w:tr w14:paraId="615BD1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Align w:val="center"/>
          </w:tcPr>
          <w:p w14:paraId="165DF252">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类别</w:t>
            </w:r>
          </w:p>
        </w:tc>
        <w:tc>
          <w:tcPr>
            <w:tcW w:w="1094" w:type="pct"/>
            <w:vAlign w:val="center"/>
          </w:tcPr>
          <w:p w14:paraId="77552D08">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排放源</w:t>
            </w:r>
          </w:p>
        </w:tc>
        <w:tc>
          <w:tcPr>
            <w:tcW w:w="942" w:type="pct"/>
            <w:vAlign w:val="center"/>
          </w:tcPr>
          <w:p w14:paraId="7FAA9AA6">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污染物</w:t>
            </w:r>
          </w:p>
        </w:tc>
        <w:tc>
          <w:tcPr>
            <w:tcW w:w="769" w:type="pct"/>
            <w:vAlign w:val="center"/>
          </w:tcPr>
          <w:p w14:paraId="3BDCED9D">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排放量</w:t>
            </w:r>
          </w:p>
          <w:p w14:paraId="712A4B3A">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t/a</w:t>
            </w:r>
          </w:p>
        </w:tc>
        <w:tc>
          <w:tcPr>
            <w:tcW w:w="857" w:type="pct"/>
            <w:vAlign w:val="center"/>
          </w:tcPr>
          <w:p w14:paraId="551580E0">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排放速率</w:t>
            </w:r>
          </w:p>
          <w:p w14:paraId="030C1C52">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kg/h</w:t>
            </w:r>
          </w:p>
        </w:tc>
        <w:tc>
          <w:tcPr>
            <w:tcW w:w="725" w:type="pct"/>
            <w:vAlign w:val="center"/>
          </w:tcPr>
          <w:p w14:paraId="5753ABD6">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排放浓度</w:t>
            </w:r>
          </w:p>
          <w:p w14:paraId="233E64A5">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mg/m</w:t>
            </w:r>
            <w:r>
              <w:rPr>
                <w:rFonts w:hint="default" w:ascii="Times New Roman" w:hAnsi="Times New Roman" w:eastAsia="宋体" w:cs="Times New Roman"/>
                <w:b/>
                <w:kern w:val="0"/>
                <w:szCs w:val="21"/>
                <w:vertAlign w:val="superscript"/>
              </w:rPr>
              <w:t>3</w:t>
            </w:r>
          </w:p>
        </w:tc>
      </w:tr>
      <w:tr w14:paraId="0712BC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restart"/>
            <w:vAlign w:val="center"/>
          </w:tcPr>
          <w:p w14:paraId="1EC8D97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废气</w:t>
            </w:r>
          </w:p>
          <w:p w14:paraId="5D806E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有组织</w:t>
            </w:r>
          </w:p>
        </w:tc>
        <w:tc>
          <w:tcPr>
            <w:tcW w:w="1094" w:type="pct"/>
            <w:vMerge w:val="restart"/>
            <w:vAlign w:val="center"/>
          </w:tcPr>
          <w:p w14:paraId="673CDCA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危险废物暂存仓库DA002</w:t>
            </w:r>
          </w:p>
        </w:tc>
        <w:tc>
          <w:tcPr>
            <w:tcW w:w="942" w:type="pct"/>
            <w:tcBorders>
              <w:bottom w:val="single" w:color="auto" w:sz="4" w:space="0"/>
            </w:tcBorders>
            <w:vAlign w:val="center"/>
          </w:tcPr>
          <w:p w14:paraId="4F1EECB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c>
          <w:tcPr>
            <w:tcW w:w="769" w:type="pct"/>
            <w:tcBorders>
              <w:bottom w:val="single" w:color="auto" w:sz="4" w:space="0"/>
            </w:tcBorders>
            <w:vAlign w:val="center"/>
          </w:tcPr>
          <w:p w14:paraId="76BF22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0.</w:t>
            </w:r>
            <w:r>
              <w:rPr>
                <w:rFonts w:hint="default" w:ascii="Times New Roman" w:hAnsi="Times New Roman" w:eastAsia="宋体" w:cs="Times New Roman"/>
                <w:szCs w:val="21"/>
                <w:lang w:val="en-US" w:eastAsia="zh-CN"/>
              </w:rPr>
              <w:t>267</w:t>
            </w:r>
          </w:p>
        </w:tc>
        <w:tc>
          <w:tcPr>
            <w:tcW w:w="857" w:type="pct"/>
            <w:tcBorders>
              <w:bottom w:val="single" w:color="auto" w:sz="4" w:space="0"/>
            </w:tcBorders>
            <w:vAlign w:val="center"/>
          </w:tcPr>
          <w:p w14:paraId="35FC4F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0.0</w:t>
            </w:r>
            <w:r>
              <w:rPr>
                <w:rFonts w:hint="default" w:ascii="Times New Roman" w:hAnsi="Times New Roman" w:eastAsia="宋体" w:cs="Times New Roman"/>
                <w:szCs w:val="21"/>
                <w:lang w:val="en-US" w:eastAsia="zh-CN"/>
              </w:rPr>
              <w:t>38</w:t>
            </w:r>
          </w:p>
        </w:tc>
        <w:tc>
          <w:tcPr>
            <w:tcW w:w="725" w:type="pct"/>
            <w:tcBorders>
              <w:bottom w:val="single" w:color="auto" w:sz="4" w:space="0"/>
            </w:tcBorders>
            <w:vAlign w:val="center"/>
          </w:tcPr>
          <w:p w14:paraId="457761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3.39</w:t>
            </w:r>
          </w:p>
        </w:tc>
      </w:tr>
      <w:tr w14:paraId="4D99BC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284031A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6A99C83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tcBorders>
              <w:top w:val="single" w:color="auto" w:sz="4" w:space="0"/>
            </w:tcBorders>
            <w:vAlign w:val="center"/>
          </w:tcPr>
          <w:p w14:paraId="0324BAE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硫酸雾</w:t>
            </w:r>
          </w:p>
        </w:tc>
        <w:tc>
          <w:tcPr>
            <w:tcW w:w="769" w:type="pct"/>
            <w:tcBorders>
              <w:top w:val="single" w:color="auto" w:sz="4" w:space="0"/>
            </w:tcBorders>
            <w:vAlign w:val="center"/>
          </w:tcPr>
          <w:p w14:paraId="40DF03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0.1566</w:t>
            </w:r>
          </w:p>
        </w:tc>
        <w:tc>
          <w:tcPr>
            <w:tcW w:w="857" w:type="pct"/>
            <w:tcBorders>
              <w:top w:val="single" w:color="auto" w:sz="4" w:space="0"/>
            </w:tcBorders>
            <w:vAlign w:val="center"/>
          </w:tcPr>
          <w:p w14:paraId="01C53E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0.020</w:t>
            </w:r>
          </w:p>
        </w:tc>
        <w:tc>
          <w:tcPr>
            <w:tcW w:w="725" w:type="pct"/>
            <w:tcBorders>
              <w:top w:val="single" w:color="auto" w:sz="4" w:space="0"/>
            </w:tcBorders>
            <w:vAlign w:val="center"/>
          </w:tcPr>
          <w:p w14:paraId="39F2245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w:t>
            </w:r>
          </w:p>
        </w:tc>
      </w:tr>
      <w:tr w14:paraId="18F426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restart"/>
            <w:vAlign w:val="center"/>
          </w:tcPr>
          <w:p w14:paraId="141CFDF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废气</w:t>
            </w:r>
          </w:p>
          <w:p w14:paraId="70266B8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无组织</w:t>
            </w:r>
          </w:p>
        </w:tc>
        <w:tc>
          <w:tcPr>
            <w:tcW w:w="1094" w:type="pct"/>
            <w:vAlign w:val="center"/>
          </w:tcPr>
          <w:p w14:paraId="7BBF549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废矿物油贮存区</w:t>
            </w:r>
          </w:p>
        </w:tc>
        <w:tc>
          <w:tcPr>
            <w:tcW w:w="942" w:type="pct"/>
            <w:vAlign w:val="center"/>
          </w:tcPr>
          <w:p w14:paraId="32CA337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c>
          <w:tcPr>
            <w:tcW w:w="769" w:type="pct"/>
            <w:vAlign w:val="center"/>
          </w:tcPr>
          <w:p w14:paraId="5D0CBF53">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rPr>
              <w:t>0.0</w:t>
            </w:r>
            <w:r>
              <w:rPr>
                <w:rFonts w:hint="default" w:ascii="Times New Roman" w:hAnsi="Times New Roman" w:eastAsia="宋体" w:cs="Times New Roman"/>
                <w:lang w:val="en-US" w:eastAsia="zh-CN"/>
              </w:rPr>
              <w:t>734</w:t>
            </w:r>
          </w:p>
        </w:tc>
        <w:tc>
          <w:tcPr>
            <w:tcW w:w="857" w:type="pct"/>
            <w:vAlign w:val="center"/>
          </w:tcPr>
          <w:p w14:paraId="35F3DBB0">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kern w:val="0"/>
                <w:szCs w:val="21"/>
              </w:rPr>
              <w:t>/</w:t>
            </w:r>
          </w:p>
        </w:tc>
        <w:tc>
          <w:tcPr>
            <w:tcW w:w="725" w:type="pct"/>
            <w:vAlign w:val="center"/>
          </w:tcPr>
          <w:p w14:paraId="25E59C7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kern w:val="0"/>
                <w:szCs w:val="21"/>
              </w:rPr>
              <w:t>/</w:t>
            </w:r>
          </w:p>
        </w:tc>
      </w:tr>
      <w:tr w14:paraId="235241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433B64D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restart"/>
            <w:vAlign w:val="center"/>
          </w:tcPr>
          <w:p w14:paraId="2F65652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危险废物贮存</w:t>
            </w:r>
          </w:p>
        </w:tc>
        <w:tc>
          <w:tcPr>
            <w:tcW w:w="942" w:type="pct"/>
            <w:vAlign w:val="center"/>
          </w:tcPr>
          <w:p w14:paraId="5BCC4A6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VOCs</w:t>
            </w:r>
          </w:p>
        </w:tc>
        <w:tc>
          <w:tcPr>
            <w:tcW w:w="769" w:type="pct"/>
            <w:vAlign w:val="center"/>
          </w:tcPr>
          <w:p w14:paraId="1A437BF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rPr>
              <w:t>0.</w:t>
            </w:r>
            <w:r>
              <w:rPr>
                <w:rFonts w:hint="default" w:ascii="Times New Roman" w:hAnsi="Times New Roman" w:eastAsia="宋体" w:cs="Times New Roman"/>
                <w:lang w:val="en-US" w:eastAsia="zh-CN"/>
              </w:rPr>
              <w:t>164</w:t>
            </w:r>
          </w:p>
        </w:tc>
        <w:tc>
          <w:tcPr>
            <w:tcW w:w="857" w:type="pct"/>
            <w:vAlign w:val="center"/>
          </w:tcPr>
          <w:p w14:paraId="7395E8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c>
          <w:tcPr>
            <w:tcW w:w="725" w:type="pct"/>
            <w:vAlign w:val="center"/>
          </w:tcPr>
          <w:p w14:paraId="03BE00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r>
      <w:tr w14:paraId="696E07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741F2D1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1754F26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5D3EBAA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rPr>
              <w:t>NH</w:t>
            </w:r>
            <w:r>
              <w:rPr>
                <w:rFonts w:hint="default" w:ascii="Times New Roman" w:hAnsi="Times New Roman" w:eastAsia="宋体" w:cs="Times New Roman"/>
                <w:sz w:val="21"/>
                <w:vertAlign w:val="subscript"/>
              </w:rPr>
              <w:t>3</w:t>
            </w:r>
          </w:p>
        </w:tc>
        <w:tc>
          <w:tcPr>
            <w:tcW w:w="769" w:type="pct"/>
            <w:vAlign w:val="center"/>
          </w:tcPr>
          <w:p w14:paraId="7A9DC2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0.000</w:t>
            </w:r>
            <w:r>
              <w:rPr>
                <w:rFonts w:hint="default" w:ascii="Times New Roman" w:hAnsi="Times New Roman" w:eastAsia="宋体" w:cs="Times New Roman"/>
                <w:szCs w:val="21"/>
                <w:lang w:val="en-US" w:eastAsia="zh-CN"/>
              </w:rPr>
              <w:t>26</w:t>
            </w:r>
          </w:p>
        </w:tc>
        <w:tc>
          <w:tcPr>
            <w:tcW w:w="857" w:type="pct"/>
            <w:vAlign w:val="center"/>
          </w:tcPr>
          <w:p w14:paraId="0ADD512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c>
          <w:tcPr>
            <w:tcW w:w="725" w:type="pct"/>
            <w:vAlign w:val="center"/>
          </w:tcPr>
          <w:p w14:paraId="348BE8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r>
      <w:tr w14:paraId="64015F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26E8FA7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37648D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08FE9B0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rPr>
              <w:t>H</w:t>
            </w:r>
            <w:r>
              <w:rPr>
                <w:rFonts w:hint="default" w:ascii="Times New Roman" w:hAnsi="Times New Roman" w:eastAsia="宋体" w:cs="Times New Roman"/>
                <w:sz w:val="21"/>
                <w:vertAlign w:val="subscript"/>
              </w:rPr>
              <w:t>2</w:t>
            </w:r>
            <w:r>
              <w:rPr>
                <w:rFonts w:hint="default" w:ascii="Times New Roman" w:hAnsi="Times New Roman" w:eastAsia="宋体" w:cs="Times New Roman"/>
                <w:sz w:val="21"/>
              </w:rPr>
              <w:t>S</w:t>
            </w:r>
          </w:p>
        </w:tc>
        <w:tc>
          <w:tcPr>
            <w:tcW w:w="769" w:type="pct"/>
            <w:vAlign w:val="center"/>
          </w:tcPr>
          <w:p w14:paraId="47CED4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0.000</w:t>
            </w:r>
            <w:r>
              <w:rPr>
                <w:rFonts w:hint="default" w:ascii="Times New Roman" w:hAnsi="Times New Roman" w:eastAsia="宋体" w:cs="Times New Roman"/>
                <w:szCs w:val="21"/>
                <w:lang w:val="en-US" w:eastAsia="zh-CN"/>
              </w:rPr>
              <w:t>68</w:t>
            </w:r>
          </w:p>
        </w:tc>
        <w:tc>
          <w:tcPr>
            <w:tcW w:w="857" w:type="pct"/>
            <w:vAlign w:val="center"/>
          </w:tcPr>
          <w:p w14:paraId="49DA0E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c>
          <w:tcPr>
            <w:tcW w:w="725" w:type="pct"/>
            <w:vAlign w:val="center"/>
          </w:tcPr>
          <w:p w14:paraId="66D846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w:t>
            </w:r>
          </w:p>
        </w:tc>
      </w:tr>
      <w:tr w14:paraId="544C93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57A6BCE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66A712B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1F4C147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硫酸雾</w:t>
            </w:r>
          </w:p>
        </w:tc>
        <w:tc>
          <w:tcPr>
            <w:tcW w:w="769" w:type="pct"/>
            <w:vAlign w:val="center"/>
          </w:tcPr>
          <w:p w14:paraId="34EE0F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0.0</w:t>
            </w:r>
            <w:r>
              <w:rPr>
                <w:rFonts w:hint="default" w:ascii="Times New Roman" w:hAnsi="Times New Roman" w:eastAsia="宋体" w:cs="Times New Roman"/>
                <w:szCs w:val="21"/>
                <w:lang w:val="en-US" w:eastAsia="zh-CN"/>
              </w:rPr>
              <w:t>174</w:t>
            </w:r>
          </w:p>
        </w:tc>
        <w:tc>
          <w:tcPr>
            <w:tcW w:w="857" w:type="pct"/>
            <w:vAlign w:val="center"/>
          </w:tcPr>
          <w:p w14:paraId="15D3269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w:t>
            </w:r>
          </w:p>
        </w:tc>
        <w:tc>
          <w:tcPr>
            <w:tcW w:w="725" w:type="pct"/>
            <w:vAlign w:val="center"/>
          </w:tcPr>
          <w:p w14:paraId="57185835">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7008B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restart"/>
            <w:vAlign w:val="center"/>
          </w:tcPr>
          <w:p w14:paraId="6D2FE45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废水</w:t>
            </w:r>
          </w:p>
        </w:tc>
        <w:tc>
          <w:tcPr>
            <w:tcW w:w="1094" w:type="pct"/>
            <w:vMerge w:val="restart"/>
            <w:vAlign w:val="center"/>
          </w:tcPr>
          <w:p w14:paraId="262935B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生活污水</w:t>
            </w:r>
          </w:p>
          <w:p w14:paraId="6CA383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132</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942" w:type="pct"/>
            <w:vAlign w:val="center"/>
          </w:tcPr>
          <w:p w14:paraId="1D2C4B3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pH（无量纲）</w:t>
            </w:r>
          </w:p>
        </w:tc>
        <w:tc>
          <w:tcPr>
            <w:tcW w:w="769" w:type="pct"/>
            <w:vAlign w:val="center"/>
          </w:tcPr>
          <w:p w14:paraId="5F95B00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6~9</w:t>
            </w:r>
          </w:p>
        </w:tc>
        <w:tc>
          <w:tcPr>
            <w:tcW w:w="857" w:type="pct"/>
            <w:vAlign w:val="center"/>
          </w:tcPr>
          <w:p w14:paraId="3C952A2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70333CA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6~9</w:t>
            </w:r>
          </w:p>
        </w:tc>
      </w:tr>
      <w:tr w14:paraId="13C268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268A795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345BEE5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27D3988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COD</w:t>
            </w:r>
            <w:r>
              <w:rPr>
                <w:rFonts w:hint="default" w:ascii="Times New Roman" w:hAnsi="Times New Roman" w:eastAsia="宋体" w:cs="Times New Roman"/>
                <w:color w:val="000000"/>
                <w:kern w:val="0"/>
                <w:szCs w:val="21"/>
                <w:vertAlign w:val="subscript"/>
              </w:rPr>
              <w:t>Cr</w:t>
            </w:r>
          </w:p>
        </w:tc>
        <w:tc>
          <w:tcPr>
            <w:tcW w:w="769" w:type="pct"/>
            <w:vAlign w:val="center"/>
          </w:tcPr>
          <w:p w14:paraId="23A9B4A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0.025</w:t>
            </w:r>
          </w:p>
        </w:tc>
        <w:tc>
          <w:tcPr>
            <w:tcW w:w="857" w:type="pct"/>
            <w:vAlign w:val="center"/>
          </w:tcPr>
          <w:p w14:paraId="6C219E1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142A759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189</w:t>
            </w:r>
          </w:p>
        </w:tc>
      </w:tr>
      <w:tr w14:paraId="659A87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465DDDC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7EC3486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344E974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BOD</w:t>
            </w:r>
            <w:r>
              <w:rPr>
                <w:rFonts w:hint="default" w:ascii="Times New Roman" w:hAnsi="Times New Roman" w:eastAsia="宋体" w:cs="Times New Roman"/>
                <w:color w:val="000000"/>
                <w:kern w:val="0"/>
                <w:szCs w:val="21"/>
                <w:vertAlign w:val="subscript"/>
              </w:rPr>
              <w:t>5</w:t>
            </w:r>
          </w:p>
        </w:tc>
        <w:tc>
          <w:tcPr>
            <w:tcW w:w="769" w:type="pct"/>
            <w:vAlign w:val="center"/>
          </w:tcPr>
          <w:p w14:paraId="06DBC89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0.011</w:t>
            </w:r>
          </w:p>
        </w:tc>
        <w:tc>
          <w:tcPr>
            <w:tcW w:w="857" w:type="pct"/>
            <w:vAlign w:val="center"/>
          </w:tcPr>
          <w:p w14:paraId="176A997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768D7C5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84</w:t>
            </w:r>
          </w:p>
        </w:tc>
      </w:tr>
      <w:tr w14:paraId="129B7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7ED1E97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09632C2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5DB3669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kern w:val="0"/>
                <w:szCs w:val="21"/>
              </w:rPr>
              <w:t>SS</w:t>
            </w:r>
          </w:p>
        </w:tc>
        <w:tc>
          <w:tcPr>
            <w:tcW w:w="769" w:type="pct"/>
            <w:vAlign w:val="center"/>
          </w:tcPr>
          <w:p w14:paraId="3FF49B3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0.009</w:t>
            </w:r>
          </w:p>
        </w:tc>
        <w:tc>
          <w:tcPr>
            <w:tcW w:w="857" w:type="pct"/>
            <w:vAlign w:val="center"/>
          </w:tcPr>
          <w:p w14:paraId="5F2B62F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74C07E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70</w:t>
            </w:r>
          </w:p>
        </w:tc>
      </w:tr>
      <w:tr w14:paraId="09B5A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0C0A817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66EB6A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70B5CF8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氨氮</w:t>
            </w:r>
          </w:p>
        </w:tc>
        <w:tc>
          <w:tcPr>
            <w:tcW w:w="769" w:type="pct"/>
            <w:vAlign w:val="center"/>
          </w:tcPr>
          <w:p w14:paraId="084A08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0.002</w:t>
            </w:r>
          </w:p>
        </w:tc>
        <w:tc>
          <w:tcPr>
            <w:tcW w:w="857" w:type="pct"/>
            <w:vAlign w:val="center"/>
          </w:tcPr>
          <w:p w14:paraId="7E682FE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5452C01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14.5</w:t>
            </w:r>
          </w:p>
        </w:tc>
      </w:tr>
      <w:tr w14:paraId="3E2BDE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2082C9A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25C98A9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725C9002">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Cs w:val="21"/>
              </w:rPr>
            </w:pPr>
            <w:r>
              <w:rPr>
                <w:rFonts w:hint="default" w:ascii="Times New Roman" w:hAnsi="Times New Roman" w:eastAsia="宋体" w:cs="Times New Roman"/>
                <w:color w:val="000000"/>
                <w:kern w:val="0"/>
                <w:szCs w:val="21"/>
              </w:rPr>
              <w:t>动植物油</w:t>
            </w:r>
          </w:p>
        </w:tc>
        <w:tc>
          <w:tcPr>
            <w:tcW w:w="769" w:type="pct"/>
            <w:vAlign w:val="center"/>
          </w:tcPr>
          <w:p w14:paraId="7566CA5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0.005</w:t>
            </w:r>
          </w:p>
        </w:tc>
        <w:tc>
          <w:tcPr>
            <w:tcW w:w="857" w:type="pct"/>
            <w:vAlign w:val="center"/>
          </w:tcPr>
          <w:p w14:paraId="5732E8D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68F47CC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40</w:t>
            </w:r>
          </w:p>
        </w:tc>
      </w:tr>
      <w:tr w14:paraId="03F99E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Align w:val="center"/>
          </w:tcPr>
          <w:p w14:paraId="15B5907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噪声</w:t>
            </w:r>
          </w:p>
        </w:tc>
        <w:tc>
          <w:tcPr>
            <w:tcW w:w="1094" w:type="pct"/>
            <w:vAlign w:val="center"/>
          </w:tcPr>
          <w:p w14:paraId="750090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打包机、油泵、风机等设备</w:t>
            </w:r>
          </w:p>
        </w:tc>
        <w:tc>
          <w:tcPr>
            <w:tcW w:w="942" w:type="pct"/>
            <w:vAlign w:val="center"/>
          </w:tcPr>
          <w:p w14:paraId="6819190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Leq（A）</w:t>
            </w:r>
          </w:p>
        </w:tc>
        <w:tc>
          <w:tcPr>
            <w:tcW w:w="769" w:type="pct"/>
            <w:vAlign w:val="center"/>
          </w:tcPr>
          <w:p w14:paraId="545C1A0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＜65dB</w:t>
            </w:r>
          </w:p>
        </w:tc>
        <w:tc>
          <w:tcPr>
            <w:tcW w:w="857" w:type="pct"/>
            <w:vAlign w:val="center"/>
          </w:tcPr>
          <w:p w14:paraId="1EE4D3A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6EEA34A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30C5D5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restart"/>
            <w:vAlign w:val="center"/>
          </w:tcPr>
          <w:p w14:paraId="545C828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固废</w:t>
            </w:r>
          </w:p>
        </w:tc>
        <w:tc>
          <w:tcPr>
            <w:tcW w:w="1094" w:type="pct"/>
            <w:vMerge w:val="restart"/>
            <w:vAlign w:val="center"/>
          </w:tcPr>
          <w:p w14:paraId="53C7965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危险废物、废矿物油收集、贮存</w:t>
            </w:r>
          </w:p>
        </w:tc>
        <w:tc>
          <w:tcPr>
            <w:tcW w:w="942" w:type="pct"/>
            <w:vAlign w:val="center"/>
          </w:tcPr>
          <w:p w14:paraId="04AC4F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废含危险废物抹布、手套</w:t>
            </w:r>
          </w:p>
        </w:tc>
        <w:tc>
          <w:tcPr>
            <w:tcW w:w="769" w:type="pct"/>
            <w:vAlign w:val="center"/>
          </w:tcPr>
          <w:p w14:paraId="72ED9CD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0.1</w:t>
            </w:r>
          </w:p>
        </w:tc>
        <w:tc>
          <w:tcPr>
            <w:tcW w:w="857" w:type="pct"/>
            <w:vAlign w:val="center"/>
          </w:tcPr>
          <w:p w14:paraId="3197794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35F58E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162A7F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608AC2B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78417A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66EF8C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废含危险废物劳保用品</w:t>
            </w:r>
          </w:p>
        </w:tc>
        <w:tc>
          <w:tcPr>
            <w:tcW w:w="769" w:type="pct"/>
            <w:vAlign w:val="center"/>
          </w:tcPr>
          <w:p w14:paraId="3EC5E45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0.1</w:t>
            </w:r>
          </w:p>
        </w:tc>
        <w:tc>
          <w:tcPr>
            <w:tcW w:w="857" w:type="pct"/>
            <w:vAlign w:val="center"/>
          </w:tcPr>
          <w:p w14:paraId="2A6FF45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5A378E6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1BFBC6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1DC4DF8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4BA4F50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545DEB1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废弃包装物</w:t>
            </w:r>
          </w:p>
        </w:tc>
        <w:tc>
          <w:tcPr>
            <w:tcW w:w="769" w:type="pct"/>
            <w:vAlign w:val="center"/>
          </w:tcPr>
          <w:p w14:paraId="361E3BC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1.5</w:t>
            </w:r>
          </w:p>
        </w:tc>
        <w:tc>
          <w:tcPr>
            <w:tcW w:w="857" w:type="pct"/>
            <w:vAlign w:val="center"/>
          </w:tcPr>
          <w:p w14:paraId="1DAFA4D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2EE27D2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7434C9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598C872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42E6B4B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5B168E4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废活性炭</w:t>
            </w:r>
          </w:p>
        </w:tc>
        <w:tc>
          <w:tcPr>
            <w:tcW w:w="769" w:type="pct"/>
            <w:vAlign w:val="center"/>
          </w:tcPr>
          <w:p w14:paraId="3D2CA2D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0.404</w:t>
            </w:r>
          </w:p>
        </w:tc>
        <w:tc>
          <w:tcPr>
            <w:tcW w:w="857" w:type="pct"/>
            <w:vAlign w:val="center"/>
          </w:tcPr>
          <w:p w14:paraId="34267BD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67F3AA6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r w14:paraId="427539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0" w:hRule="atLeast"/>
        </w:trPr>
        <w:tc>
          <w:tcPr>
            <w:tcW w:w="610" w:type="pct"/>
            <w:vMerge w:val="continue"/>
            <w:vAlign w:val="center"/>
          </w:tcPr>
          <w:p w14:paraId="4361562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1094" w:type="pct"/>
            <w:vMerge w:val="continue"/>
            <w:vAlign w:val="center"/>
          </w:tcPr>
          <w:p w14:paraId="021E0B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p>
        </w:tc>
        <w:tc>
          <w:tcPr>
            <w:tcW w:w="942" w:type="pct"/>
            <w:vAlign w:val="center"/>
          </w:tcPr>
          <w:p w14:paraId="43F3C7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废油桶</w:t>
            </w:r>
          </w:p>
        </w:tc>
        <w:tc>
          <w:tcPr>
            <w:tcW w:w="769" w:type="pct"/>
            <w:vAlign w:val="center"/>
          </w:tcPr>
          <w:p w14:paraId="2D19818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color w:val="000000"/>
                <w:szCs w:val="21"/>
              </w:rPr>
              <w:t>0.2</w:t>
            </w:r>
          </w:p>
        </w:tc>
        <w:tc>
          <w:tcPr>
            <w:tcW w:w="857" w:type="pct"/>
            <w:vAlign w:val="center"/>
          </w:tcPr>
          <w:p w14:paraId="0C52F7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725" w:type="pct"/>
            <w:vAlign w:val="center"/>
          </w:tcPr>
          <w:p w14:paraId="7911478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r>
    </w:tbl>
    <w:p w14:paraId="5D76FAD9">
      <w:pPr>
        <w:pStyle w:val="4"/>
        <w:pageBreakBefore w:val="0"/>
        <w:widowControl w:val="0"/>
        <w:kinsoku/>
        <w:wordWrap/>
        <w:overflowPunct/>
        <w:topLinePunct w:val="0"/>
        <w:bidi w:val="0"/>
        <w:adjustRightInd/>
        <w:snapToGrid/>
        <w:spacing w:before="0" w:after="0" w:line="360" w:lineRule="auto"/>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5.5.</w:t>
      </w:r>
      <w:r>
        <w:rPr>
          <w:rFonts w:hint="default" w:ascii="Times New Roman" w:hAnsi="Times New Roman" w:eastAsia="宋体" w:cs="Times New Roman"/>
          <w:sz w:val="24"/>
          <w:lang w:val="en-US" w:eastAsia="zh-CN"/>
        </w:rPr>
        <w:t>2</w:t>
      </w:r>
      <w:r>
        <w:rPr>
          <w:rFonts w:hint="default" w:ascii="Times New Roman" w:hAnsi="Times New Roman" w:eastAsia="宋体" w:cs="Times New Roman"/>
          <w:color w:val="000000"/>
          <w:sz w:val="24"/>
          <w:lang w:val="en-US" w:eastAsia="zh-CN"/>
        </w:rPr>
        <w:t>扩建部分源强核算</w:t>
      </w:r>
    </w:p>
    <w:p w14:paraId="2A99E06C">
      <w:pPr>
        <w:pStyle w:val="5"/>
        <w:pageBreakBefore w:val="0"/>
        <w:widowControl w:val="0"/>
        <w:kinsoku/>
        <w:wordWrap/>
        <w:overflowPunct/>
        <w:topLinePunct w:val="0"/>
        <w:bidi w:val="0"/>
        <w:adjustRightInd/>
        <w:snapToGrid/>
        <w:spacing w:before="0" w:after="0" w:line="360" w:lineRule="auto"/>
        <w:textAlignment w:val="auto"/>
        <w:rPr>
          <w:rFonts w:hint="default" w:ascii="Times New Roman" w:hAnsi="Times New Roman" w:eastAsia="宋体" w:cs="Times New Roman"/>
          <w:sz w:val="24"/>
        </w:rPr>
      </w:pPr>
      <w:r>
        <w:rPr>
          <w:rFonts w:hint="default" w:ascii="Times New Roman" w:hAnsi="Times New Roman" w:eastAsia="宋体" w:cs="Times New Roman"/>
          <w:sz w:val="24"/>
        </w:rPr>
        <w:t>5.5.</w:t>
      </w:r>
      <w:r>
        <w:rPr>
          <w:rFonts w:hint="default" w:ascii="Times New Roman" w:hAnsi="Times New Roman" w:eastAsia="宋体" w:cs="Times New Roman"/>
          <w:sz w:val="24"/>
          <w:lang w:val="en-US" w:eastAsia="zh-CN"/>
        </w:rPr>
        <w:t>2.1</w:t>
      </w:r>
      <w:r>
        <w:rPr>
          <w:rFonts w:hint="default" w:ascii="Times New Roman" w:hAnsi="Times New Roman" w:eastAsia="宋体" w:cs="Times New Roman"/>
          <w:color w:val="000000"/>
          <w:sz w:val="24"/>
        </w:rPr>
        <w:t>大气污染源源强</w:t>
      </w:r>
    </w:p>
    <w:p w14:paraId="3F13B547">
      <w:pPr>
        <w:pageBreakBefore w:val="0"/>
        <w:widowControl w:val="0"/>
        <w:kinsoku/>
        <w:wordWrap/>
        <w:overflowPunct/>
        <w:topLinePunct w:val="0"/>
        <w:autoSpaceDE w:val="0"/>
        <w:autoSpaceDN w:val="0"/>
        <w:bidi w:val="0"/>
        <w:adjustRightInd/>
        <w:snapToGrid/>
        <w:spacing w:line="360" w:lineRule="auto"/>
        <w:ind w:firstLine="482" w:firstLineChars="200"/>
        <w:jc w:val="left"/>
        <w:textAlignment w:val="auto"/>
        <w:rPr>
          <w:rFonts w:hint="default" w:ascii="Times New Roman" w:hAnsi="Times New Roman" w:eastAsia="宋体" w:cs="Times New Roman"/>
          <w:b/>
          <w:sz w:val="24"/>
          <w:szCs w:val="24"/>
          <w:u w:val="single"/>
        </w:rPr>
      </w:pPr>
      <w:r>
        <w:rPr>
          <w:rFonts w:hint="default" w:ascii="Times New Roman" w:hAnsi="Times New Roman" w:eastAsia="宋体" w:cs="Times New Roman"/>
          <w:b/>
          <w:sz w:val="24"/>
          <w:szCs w:val="24"/>
          <w:u w:val="single"/>
        </w:rPr>
        <w:t>（1）污染物核算方法选取</w:t>
      </w:r>
    </w:p>
    <w:p w14:paraId="48187535">
      <w:pPr>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由于《污染源源强核算技术指南》、《排放源统计调查产排污核算方法和系数手册--42废弃资源综合利用行业系数手册》、《排污许可证申请与核发技术规范 工业固体废物和危险废物治理》（HJ 1033—2019）均未给出本项目所涉及工艺内容的产排污系数，</w:t>
      </w:r>
      <w:r>
        <w:rPr>
          <w:rFonts w:hint="default" w:ascii="Times New Roman" w:hAnsi="Times New Roman" w:eastAsia="宋体" w:cs="Times New Roman"/>
          <w:sz w:val="24"/>
          <w:u w:val="single"/>
        </w:rPr>
        <w:t>项目大气污染物源强拟采用类比湖南南辰环保有限公司环保与资源利用项目环境影响报告书中所给出的废气源强。</w:t>
      </w:r>
    </w:p>
    <w:p w14:paraId="6E982178">
      <w:pPr>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类比项目与本项目的可比性分析如下：</w:t>
      </w:r>
    </w:p>
    <w:p w14:paraId="794A3F9C">
      <w:pPr>
        <w:autoSpaceDE w:val="0"/>
        <w:autoSpaceDN w:val="0"/>
        <w:spacing w:line="360" w:lineRule="auto"/>
        <w:jc w:val="center"/>
        <w:rPr>
          <w:rFonts w:hint="default" w:ascii="Times New Roman" w:hAnsi="Times New Roman" w:eastAsia="宋体" w:cs="Times New Roman"/>
          <w:b/>
          <w:szCs w:val="21"/>
          <w:u w:val="single"/>
        </w:rPr>
      </w:pPr>
      <w:r>
        <w:rPr>
          <w:rFonts w:hint="default" w:ascii="Times New Roman" w:hAnsi="Times New Roman" w:eastAsia="宋体" w:cs="Times New Roman"/>
          <w:b/>
          <w:kern w:val="0"/>
          <w:szCs w:val="21"/>
          <w:u w:val="single"/>
        </w:rPr>
        <w:t>表</w:t>
      </w:r>
      <w:r>
        <w:rPr>
          <w:rFonts w:hint="default" w:ascii="Times New Roman" w:hAnsi="Times New Roman" w:eastAsia="宋体" w:cs="Times New Roman"/>
          <w:b/>
          <w:bCs/>
          <w:kern w:val="0"/>
          <w:szCs w:val="21"/>
          <w:u w:val="single"/>
        </w:rPr>
        <w:t>5.5-</w:t>
      </w:r>
      <w:r>
        <w:rPr>
          <w:rFonts w:hint="default" w:ascii="Times New Roman" w:hAnsi="Times New Roman" w:eastAsia="宋体" w:cs="Times New Roman"/>
          <w:b/>
          <w:bCs/>
          <w:kern w:val="0"/>
          <w:szCs w:val="21"/>
          <w:u w:val="single"/>
          <w:lang w:val="en-US" w:eastAsia="zh-CN"/>
        </w:rPr>
        <w:t>4</w:t>
      </w:r>
      <w:r>
        <w:rPr>
          <w:rFonts w:hint="default" w:ascii="Times New Roman" w:hAnsi="Times New Roman" w:eastAsia="宋体" w:cs="Times New Roman"/>
          <w:b/>
          <w:bCs/>
          <w:kern w:val="0"/>
          <w:szCs w:val="21"/>
          <w:u w:val="single"/>
        </w:rPr>
        <w:t xml:space="preserve">  </w:t>
      </w:r>
      <w:r>
        <w:rPr>
          <w:rFonts w:hint="default" w:ascii="Times New Roman" w:hAnsi="Times New Roman" w:eastAsia="宋体" w:cs="Times New Roman"/>
          <w:b/>
          <w:kern w:val="0"/>
          <w:szCs w:val="21"/>
          <w:u w:val="single"/>
        </w:rPr>
        <w:t>本项目与湖南南辰环保有限公司环保与资源利用项目类比可行性一览表</w:t>
      </w:r>
    </w:p>
    <w:tbl>
      <w:tblPr>
        <w:tblStyle w:val="32"/>
        <w:tblW w:w="829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28" w:type="dxa"/>
          <w:left w:w="57" w:type="dxa"/>
          <w:bottom w:w="28" w:type="dxa"/>
          <w:right w:w="57" w:type="dxa"/>
        </w:tblCellMar>
      </w:tblPr>
      <w:tblGrid>
        <w:gridCol w:w="1301"/>
        <w:gridCol w:w="2725"/>
        <w:gridCol w:w="2268"/>
        <w:gridCol w:w="2005"/>
      </w:tblGrid>
      <w:tr w14:paraId="6E7495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1301" w:type="dxa"/>
            <w:vAlign w:val="center"/>
          </w:tcPr>
          <w:p w14:paraId="23D5B15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名称</w:t>
            </w:r>
          </w:p>
        </w:tc>
        <w:tc>
          <w:tcPr>
            <w:tcW w:w="2725" w:type="dxa"/>
            <w:vAlign w:val="center"/>
          </w:tcPr>
          <w:p w14:paraId="08CD45B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kern w:val="0"/>
                <w:szCs w:val="21"/>
                <w:u w:val="single"/>
              </w:rPr>
              <w:t>湖南南辰环保有限公司环保与资源利用项目</w:t>
            </w:r>
          </w:p>
        </w:tc>
        <w:tc>
          <w:tcPr>
            <w:tcW w:w="2268" w:type="dxa"/>
            <w:vAlign w:val="center"/>
          </w:tcPr>
          <w:p w14:paraId="49E2AAE1">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本项目</w:t>
            </w:r>
          </w:p>
        </w:tc>
        <w:tc>
          <w:tcPr>
            <w:tcW w:w="2005" w:type="dxa"/>
            <w:vAlign w:val="center"/>
          </w:tcPr>
          <w:p w14:paraId="225C7C9D">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备注</w:t>
            </w:r>
          </w:p>
        </w:tc>
      </w:tr>
      <w:tr w14:paraId="66CB36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c>
          <w:tcPr>
            <w:tcW w:w="1301" w:type="dxa"/>
            <w:vAlign w:val="center"/>
          </w:tcPr>
          <w:p w14:paraId="6D07CD8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产品类型及规模</w:t>
            </w:r>
          </w:p>
        </w:tc>
        <w:tc>
          <w:tcPr>
            <w:tcW w:w="2725" w:type="dxa"/>
            <w:vAlign w:val="center"/>
          </w:tcPr>
          <w:p w14:paraId="46E4885B">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废金属、塑料包装容器及金属机油滤芯综合利用规模5000t/a（包括金属破碎生产线和塑料破碎生产线）</w:t>
            </w:r>
          </w:p>
        </w:tc>
        <w:tc>
          <w:tcPr>
            <w:tcW w:w="2268" w:type="dxa"/>
            <w:vAlign w:val="center"/>
          </w:tcPr>
          <w:p w14:paraId="5A4F82F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废金属、塑料包装容器及金属机油滤芯综合利用规模20000t/a（包括金属破碎生产线和塑料破碎生产线）</w:t>
            </w:r>
          </w:p>
        </w:tc>
        <w:tc>
          <w:tcPr>
            <w:tcW w:w="2005" w:type="dxa"/>
            <w:vAlign w:val="center"/>
          </w:tcPr>
          <w:p w14:paraId="5079F1CA">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危废综合利用种类一致，本项目产能更大</w:t>
            </w:r>
          </w:p>
        </w:tc>
      </w:tr>
      <w:tr w14:paraId="6E309D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c>
          <w:tcPr>
            <w:tcW w:w="1301" w:type="dxa"/>
            <w:vAlign w:val="center"/>
          </w:tcPr>
          <w:p w14:paraId="23BF2D67">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危废原料</w:t>
            </w:r>
          </w:p>
        </w:tc>
        <w:tc>
          <w:tcPr>
            <w:tcW w:w="2725" w:type="dxa"/>
            <w:vAlign w:val="center"/>
          </w:tcPr>
          <w:p w14:paraId="57B2752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HW08（900-249-08限沾染矿物油的废弃塑料和金属包装容器）、HW49（900-041-49限废弃包装物、容器和废金属机油滤芯）</w:t>
            </w:r>
          </w:p>
        </w:tc>
        <w:tc>
          <w:tcPr>
            <w:tcW w:w="2268" w:type="dxa"/>
            <w:vAlign w:val="center"/>
          </w:tcPr>
          <w:p w14:paraId="5620EA1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HW08（900-249-08限沾染矿物油的废弃塑料和金属包装容器）、HW49（900-041-49限废弃包装物、容器和废金属机油滤芯）</w:t>
            </w:r>
          </w:p>
        </w:tc>
        <w:tc>
          <w:tcPr>
            <w:tcW w:w="2005" w:type="dxa"/>
            <w:vAlign w:val="center"/>
          </w:tcPr>
          <w:p w14:paraId="5FF0D21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危废原料种类一致</w:t>
            </w:r>
          </w:p>
        </w:tc>
      </w:tr>
      <w:tr w14:paraId="4DBA2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28" w:type="dxa"/>
            <w:left w:w="57" w:type="dxa"/>
            <w:bottom w:w="28" w:type="dxa"/>
            <w:right w:w="57" w:type="dxa"/>
          </w:tblCellMar>
        </w:tblPrEx>
        <w:tc>
          <w:tcPr>
            <w:tcW w:w="1301" w:type="dxa"/>
            <w:vAlign w:val="center"/>
          </w:tcPr>
          <w:p w14:paraId="4CA7412F">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主要生产工艺流程</w:t>
            </w:r>
          </w:p>
        </w:tc>
        <w:tc>
          <w:tcPr>
            <w:tcW w:w="2725" w:type="dxa"/>
            <w:vAlign w:val="center"/>
          </w:tcPr>
          <w:p w14:paraId="0FCED0B4">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分拣-倒残液-暂存-破碎-清洗-检验-入库</w:t>
            </w:r>
          </w:p>
        </w:tc>
        <w:tc>
          <w:tcPr>
            <w:tcW w:w="2268" w:type="dxa"/>
            <w:vAlign w:val="center"/>
          </w:tcPr>
          <w:p w14:paraId="448C07E0">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分拣-倒残液-暂存-破碎-清洗-检验-入库</w:t>
            </w:r>
          </w:p>
        </w:tc>
        <w:tc>
          <w:tcPr>
            <w:tcW w:w="2005" w:type="dxa"/>
            <w:vAlign w:val="center"/>
          </w:tcPr>
          <w:p w14:paraId="1EC059C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工艺流程一致</w:t>
            </w:r>
          </w:p>
        </w:tc>
      </w:tr>
    </w:tbl>
    <w:p w14:paraId="0CC7685D">
      <w:pPr>
        <w:pStyle w:val="12"/>
        <w:spacing w:line="360" w:lineRule="auto"/>
        <w:ind w:firstLine="482"/>
        <w:rPr>
          <w:rFonts w:hint="default" w:ascii="Times New Roman" w:hAnsi="Times New Roman" w:eastAsia="宋体" w:cs="Times New Roman"/>
          <w:u w:val="single"/>
        </w:rPr>
      </w:pPr>
      <w:r>
        <w:rPr>
          <w:rFonts w:hint="default" w:ascii="Times New Roman" w:hAnsi="Times New Roman" w:eastAsia="宋体" w:cs="Times New Roman"/>
          <w:u w:val="single"/>
        </w:rPr>
        <w:t>由上述分析可知，本项目生产工艺、原辅种类、利用方式均与湖南南辰环保有限公司环保与资源利用项目一致，该项目于2022年7月6日经长沙市生态环境局审批（长环评（宁乡）[2022]65号），可以按照产能比例进行类比分析，具有类比可行性。</w:t>
      </w:r>
    </w:p>
    <w:p w14:paraId="1EDB9432">
      <w:pPr>
        <w:pStyle w:val="48"/>
        <w:spacing w:before="0" w:line="360" w:lineRule="auto"/>
        <w:ind w:firstLine="482"/>
        <w:rPr>
          <w:rFonts w:hint="default" w:ascii="Times New Roman" w:hAnsi="Times New Roman" w:eastAsia="宋体" w:cs="Times New Roman"/>
          <w:b/>
          <w:bCs/>
          <w:sz w:val="24"/>
          <w:szCs w:val="21"/>
          <w:u w:val="single"/>
        </w:rPr>
      </w:pPr>
      <w:r>
        <w:rPr>
          <w:rFonts w:hint="default" w:ascii="Times New Roman" w:hAnsi="Times New Roman" w:eastAsia="宋体" w:cs="Times New Roman"/>
          <w:b/>
          <w:bCs/>
          <w:sz w:val="24"/>
          <w:szCs w:val="21"/>
          <w:u w:val="single"/>
        </w:rPr>
        <w:t>（2）废气源强核算</w:t>
      </w:r>
    </w:p>
    <w:p w14:paraId="4CE0046D">
      <w:pPr>
        <w:pStyle w:val="48"/>
        <w:spacing w:before="0" w:line="360" w:lineRule="auto"/>
        <w:ind w:firstLine="482"/>
        <w:rPr>
          <w:rFonts w:hint="default" w:ascii="Times New Roman" w:hAnsi="Times New Roman" w:eastAsia="宋体" w:cs="Times New Roman"/>
          <w:b/>
          <w:bCs/>
          <w:sz w:val="24"/>
          <w:szCs w:val="21"/>
          <w:u w:val="single"/>
        </w:rPr>
      </w:pPr>
      <w:r>
        <w:rPr>
          <w:rFonts w:hint="default" w:ascii="Times New Roman" w:hAnsi="Times New Roman" w:eastAsia="宋体" w:cs="Times New Roman"/>
          <w:b/>
          <w:bCs/>
          <w:sz w:val="24"/>
          <w:szCs w:val="21"/>
          <w:u w:val="single"/>
        </w:rPr>
        <w:t>①危险废物综合利用区VOCs</w:t>
      </w:r>
    </w:p>
    <w:p w14:paraId="483F2FBE">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本项目危险废物综合利用区设置于A栋厂房的北侧，包括危险废物的分拣区、预处理区（倒残液）、暂存区、综合利用区（布设3条生产线）以及产品存放区；VOCs的主要由残留物挥发产生。</w:t>
      </w:r>
    </w:p>
    <w:p w14:paraId="6BDFFE29">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项目进行危废利用的废包装容器残留物中含有有机溶剂类、矿物油类、乳化液类、涂料染料类，废金属机油滤芯残留物主要为矿物油类；在去残、暂存、撕碎、清洗等工序会产生挥发性有机废气，由于其包含的有机物种类繁多，本次评价以VOCs计，运输过程包装桶为密封状态。</w:t>
      </w:r>
    </w:p>
    <w:p w14:paraId="63A67F93">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根据同类工程（湖南南辰环保有限公司环保与资源利用项目）类比估算，项目废包装容器残液按包装容器总重量的2%计算，其中易挥发组分按10%计，具体详见下表。</w:t>
      </w:r>
    </w:p>
    <w:p w14:paraId="671DA605">
      <w:pPr>
        <w:pStyle w:val="48"/>
        <w:spacing w:before="0" w:line="360" w:lineRule="auto"/>
        <w:ind w:firstLine="0" w:firstLineChars="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表5.5-</w:t>
      </w:r>
      <w:r>
        <w:rPr>
          <w:rFonts w:hint="default" w:ascii="Times New Roman" w:hAnsi="Times New Roman" w:eastAsia="宋体" w:cs="Times New Roman"/>
          <w:b/>
          <w:bCs/>
          <w:sz w:val="21"/>
          <w:szCs w:val="21"/>
          <w:u w:val="single"/>
          <w:lang w:val="en-US" w:eastAsia="zh-CN"/>
        </w:rPr>
        <w:t>5</w:t>
      </w:r>
      <w:r>
        <w:rPr>
          <w:rFonts w:hint="default" w:ascii="Times New Roman" w:hAnsi="Times New Roman" w:eastAsia="宋体" w:cs="Times New Roman"/>
          <w:b/>
          <w:bCs/>
          <w:sz w:val="21"/>
          <w:szCs w:val="21"/>
          <w:u w:val="single"/>
        </w:rPr>
        <w:t xml:space="preserve"> 废包装容器及废金属机油滤芯所含物质、预计残留量统计一览表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525"/>
        <w:gridCol w:w="1602"/>
        <w:gridCol w:w="1225"/>
        <w:gridCol w:w="1342"/>
        <w:gridCol w:w="1075"/>
        <w:gridCol w:w="1076"/>
        <w:gridCol w:w="1491"/>
      </w:tblGrid>
      <w:tr w14:paraId="1A0E281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315" w:type="pct"/>
            <w:tcBorders>
              <w:bottom w:val="single" w:color="000000" w:sz="4" w:space="0"/>
              <w:right w:val="single" w:color="000000" w:sz="4" w:space="0"/>
            </w:tcBorders>
            <w:vAlign w:val="center"/>
          </w:tcPr>
          <w:p w14:paraId="5F2DEE6B">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序号</w:t>
            </w:r>
          </w:p>
        </w:tc>
        <w:tc>
          <w:tcPr>
            <w:tcW w:w="961" w:type="pct"/>
            <w:tcBorders>
              <w:left w:val="single" w:color="000000" w:sz="4" w:space="0"/>
              <w:bottom w:val="single" w:color="000000" w:sz="4" w:space="0"/>
              <w:right w:val="single" w:color="000000" w:sz="4" w:space="0"/>
            </w:tcBorders>
            <w:vAlign w:val="center"/>
          </w:tcPr>
          <w:p w14:paraId="63B3F3F7">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种类</w:t>
            </w:r>
          </w:p>
        </w:tc>
        <w:tc>
          <w:tcPr>
            <w:tcW w:w="735" w:type="pct"/>
            <w:tcBorders>
              <w:left w:val="single" w:color="000000" w:sz="4" w:space="0"/>
              <w:bottom w:val="single" w:color="000000" w:sz="4" w:space="0"/>
              <w:right w:val="single" w:color="000000" w:sz="4" w:space="0"/>
            </w:tcBorders>
            <w:vAlign w:val="center"/>
          </w:tcPr>
          <w:p w14:paraId="005C0C67">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利用量</w:t>
            </w:r>
          </w:p>
        </w:tc>
        <w:tc>
          <w:tcPr>
            <w:tcW w:w="805" w:type="pct"/>
            <w:tcBorders>
              <w:left w:val="single" w:color="000000" w:sz="4" w:space="0"/>
              <w:bottom w:val="single" w:color="000000" w:sz="4" w:space="0"/>
              <w:right w:val="single" w:color="000000" w:sz="4" w:space="0"/>
            </w:tcBorders>
            <w:vAlign w:val="center"/>
          </w:tcPr>
          <w:p w14:paraId="0A91CF03">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预计沾染物质</w:t>
            </w:r>
          </w:p>
          <w:p w14:paraId="47CF60B2">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比例</w:t>
            </w:r>
          </w:p>
        </w:tc>
        <w:tc>
          <w:tcPr>
            <w:tcW w:w="645" w:type="pct"/>
            <w:tcBorders>
              <w:left w:val="single" w:color="000000" w:sz="4" w:space="0"/>
              <w:bottom w:val="single" w:color="000000" w:sz="4" w:space="0"/>
              <w:right w:val="single" w:color="000000" w:sz="4" w:space="0"/>
            </w:tcBorders>
            <w:vAlign w:val="center"/>
          </w:tcPr>
          <w:p w14:paraId="7D988DE8">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预估沾染物</w:t>
            </w:r>
          </w:p>
          <w:p w14:paraId="3C0CE9A2">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质量</w:t>
            </w:r>
          </w:p>
        </w:tc>
        <w:tc>
          <w:tcPr>
            <w:tcW w:w="645" w:type="pct"/>
            <w:tcBorders>
              <w:left w:val="single" w:color="000000" w:sz="4" w:space="0"/>
              <w:bottom w:val="single" w:color="000000" w:sz="4" w:space="0"/>
              <w:right w:val="single" w:color="000000" w:sz="4" w:space="0"/>
            </w:tcBorders>
            <w:vAlign w:val="center"/>
          </w:tcPr>
          <w:p w14:paraId="5CA134F6">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易挥发组分</w:t>
            </w:r>
          </w:p>
          <w:p w14:paraId="78827D52">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占比</w:t>
            </w:r>
          </w:p>
        </w:tc>
        <w:tc>
          <w:tcPr>
            <w:tcW w:w="894" w:type="pct"/>
            <w:tcBorders>
              <w:left w:val="single" w:color="000000" w:sz="4" w:space="0"/>
              <w:bottom w:val="single" w:color="000000" w:sz="4" w:space="0"/>
            </w:tcBorders>
            <w:vAlign w:val="center"/>
          </w:tcPr>
          <w:p w14:paraId="2C651F65">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易挥发组分</w:t>
            </w:r>
          </w:p>
          <w:p w14:paraId="0D085C91">
            <w:pPr>
              <w:pStyle w:val="6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含量</w:t>
            </w:r>
          </w:p>
        </w:tc>
      </w:tr>
      <w:tr w14:paraId="39A5DE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15" w:type="pct"/>
            <w:tcBorders>
              <w:top w:val="single" w:color="000000" w:sz="4" w:space="0"/>
              <w:bottom w:val="single" w:color="000000" w:sz="4" w:space="0"/>
              <w:right w:val="single" w:color="000000" w:sz="4" w:space="0"/>
            </w:tcBorders>
            <w:vAlign w:val="center"/>
          </w:tcPr>
          <w:p w14:paraId="1FC2D5F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961" w:type="pct"/>
            <w:tcBorders>
              <w:top w:val="single" w:color="000000" w:sz="4" w:space="0"/>
              <w:left w:val="single" w:color="000000" w:sz="4" w:space="0"/>
              <w:bottom w:val="single" w:color="000000" w:sz="4" w:space="0"/>
              <w:right w:val="single" w:color="000000" w:sz="4" w:space="0"/>
            </w:tcBorders>
            <w:vAlign w:val="center"/>
          </w:tcPr>
          <w:p w14:paraId="19E86F9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废塑料包装容器</w:t>
            </w:r>
          </w:p>
        </w:tc>
        <w:tc>
          <w:tcPr>
            <w:tcW w:w="735" w:type="pct"/>
            <w:tcBorders>
              <w:top w:val="single" w:color="000000" w:sz="4" w:space="0"/>
              <w:left w:val="single" w:color="000000" w:sz="4" w:space="0"/>
              <w:bottom w:val="single" w:color="000000" w:sz="4" w:space="0"/>
              <w:right w:val="single" w:color="000000" w:sz="4" w:space="0"/>
            </w:tcBorders>
            <w:vAlign w:val="center"/>
          </w:tcPr>
          <w:p w14:paraId="55862EB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5000t/a</w:t>
            </w:r>
          </w:p>
        </w:tc>
        <w:tc>
          <w:tcPr>
            <w:tcW w:w="805" w:type="pct"/>
            <w:tcBorders>
              <w:top w:val="single" w:color="000000" w:sz="4" w:space="0"/>
              <w:left w:val="single" w:color="000000" w:sz="4" w:space="0"/>
              <w:bottom w:val="single" w:color="000000" w:sz="4" w:space="0"/>
              <w:right w:val="single" w:color="000000" w:sz="4" w:space="0"/>
            </w:tcBorders>
            <w:vAlign w:val="center"/>
          </w:tcPr>
          <w:p w14:paraId="34CD5960">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w:t>
            </w:r>
          </w:p>
        </w:tc>
        <w:tc>
          <w:tcPr>
            <w:tcW w:w="645" w:type="pct"/>
            <w:tcBorders>
              <w:top w:val="single" w:color="000000" w:sz="4" w:space="0"/>
              <w:left w:val="single" w:color="000000" w:sz="4" w:space="0"/>
              <w:bottom w:val="single" w:color="000000" w:sz="4" w:space="0"/>
              <w:right w:val="single" w:color="000000" w:sz="4" w:space="0"/>
            </w:tcBorders>
            <w:vAlign w:val="center"/>
          </w:tcPr>
          <w:p w14:paraId="51E4F6B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100t/a</w:t>
            </w:r>
          </w:p>
        </w:tc>
        <w:tc>
          <w:tcPr>
            <w:tcW w:w="645" w:type="pct"/>
            <w:tcBorders>
              <w:top w:val="single" w:color="000000" w:sz="4" w:space="0"/>
              <w:left w:val="single" w:color="000000" w:sz="4" w:space="0"/>
              <w:bottom w:val="single" w:color="000000" w:sz="4" w:space="0"/>
              <w:right w:val="single" w:color="000000" w:sz="4" w:space="0"/>
            </w:tcBorders>
            <w:vAlign w:val="center"/>
          </w:tcPr>
          <w:p w14:paraId="53F8EFC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w:t>
            </w:r>
          </w:p>
        </w:tc>
        <w:tc>
          <w:tcPr>
            <w:tcW w:w="894" w:type="pct"/>
            <w:tcBorders>
              <w:top w:val="single" w:color="000000" w:sz="4" w:space="0"/>
              <w:left w:val="single" w:color="000000" w:sz="4" w:space="0"/>
              <w:bottom w:val="single" w:color="000000" w:sz="4" w:space="0"/>
            </w:tcBorders>
            <w:vAlign w:val="center"/>
          </w:tcPr>
          <w:p w14:paraId="27694EE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10t/a</w:t>
            </w:r>
          </w:p>
        </w:tc>
      </w:tr>
      <w:tr w14:paraId="4FFDFF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15" w:type="pct"/>
            <w:tcBorders>
              <w:top w:val="single" w:color="000000" w:sz="4" w:space="0"/>
              <w:bottom w:val="single" w:color="000000" w:sz="4" w:space="0"/>
              <w:right w:val="single" w:color="000000" w:sz="4" w:space="0"/>
            </w:tcBorders>
            <w:vAlign w:val="center"/>
          </w:tcPr>
          <w:p w14:paraId="1E30C592">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w:t>
            </w:r>
          </w:p>
        </w:tc>
        <w:tc>
          <w:tcPr>
            <w:tcW w:w="961" w:type="pct"/>
            <w:tcBorders>
              <w:top w:val="single" w:color="000000" w:sz="4" w:space="0"/>
              <w:left w:val="single" w:color="000000" w:sz="4" w:space="0"/>
              <w:bottom w:val="single" w:color="000000" w:sz="4" w:space="0"/>
              <w:right w:val="single" w:color="000000" w:sz="4" w:space="0"/>
            </w:tcBorders>
            <w:vAlign w:val="center"/>
          </w:tcPr>
          <w:p w14:paraId="13B1BD1B">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废金属包装容器</w:t>
            </w:r>
          </w:p>
        </w:tc>
        <w:tc>
          <w:tcPr>
            <w:tcW w:w="735" w:type="pct"/>
            <w:tcBorders>
              <w:top w:val="single" w:color="000000" w:sz="4" w:space="0"/>
              <w:left w:val="single" w:color="000000" w:sz="4" w:space="0"/>
              <w:bottom w:val="single" w:color="000000" w:sz="4" w:space="0"/>
              <w:right w:val="single" w:color="000000" w:sz="4" w:space="0"/>
            </w:tcBorders>
            <w:vAlign w:val="center"/>
          </w:tcPr>
          <w:p w14:paraId="56CFD25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10000t/a</w:t>
            </w:r>
          </w:p>
        </w:tc>
        <w:tc>
          <w:tcPr>
            <w:tcW w:w="805" w:type="pct"/>
            <w:tcBorders>
              <w:top w:val="single" w:color="000000" w:sz="4" w:space="0"/>
              <w:left w:val="single" w:color="000000" w:sz="4" w:space="0"/>
              <w:bottom w:val="single" w:color="000000" w:sz="4" w:space="0"/>
              <w:right w:val="single" w:color="000000" w:sz="4" w:space="0"/>
            </w:tcBorders>
            <w:vAlign w:val="center"/>
          </w:tcPr>
          <w:p w14:paraId="5159C390">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w:t>
            </w:r>
          </w:p>
        </w:tc>
        <w:tc>
          <w:tcPr>
            <w:tcW w:w="645" w:type="pct"/>
            <w:tcBorders>
              <w:top w:val="single" w:color="000000" w:sz="4" w:space="0"/>
              <w:left w:val="single" w:color="000000" w:sz="4" w:space="0"/>
              <w:bottom w:val="single" w:color="000000" w:sz="4" w:space="0"/>
              <w:right w:val="single" w:color="000000" w:sz="4" w:space="0"/>
            </w:tcBorders>
            <w:vAlign w:val="center"/>
          </w:tcPr>
          <w:p w14:paraId="33A81A3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200</w:t>
            </w:r>
            <w:r>
              <w:rPr>
                <w:rFonts w:hint="default" w:ascii="Times New Roman" w:hAnsi="Times New Roman" w:eastAsia="宋体" w:cs="Times New Roman"/>
                <w:sz w:val="21"/>
                <w:u w:val="single"/>
                <w:lang w:eastAsia="zh-CN"/>
              </w:rPr>
              <w:t>t</w:t>
            </w:r>
            <w:r>
              <w:rPr>
                <w:rFonts w:hint="default" w:ascii="Times New Roman" w:hAnsi="Times New Roman" w:eastAsia="宋体" w:cs="Times New Roman"/>
                <w:sz w:val="21"/>
                <w:u w:val="single"/>
                <w:lang w:eastAsia="en-US"/>
              </w:rPr>
              <w:t>/a</w:t>
            </w:r>
          </w:p>
        </w:tc>
        <w:tc>
          <w:tcPr>
            <w:tcW w:w="645" w:type="pct"/>
            <w:tcBorders>
              <w:top w:val="single" w:color="000000" w:sz="4" w:space="0"/>
              <w:left w:val="single" w:color="000000" w:sz="4" w:space="0"/>
              <w:bottom w:val="single" w:color="000000" w:sz="4" w:space="0"/>
              <w:right w:val="single" w:color="000000" w:sz="4" w:space="0"/>
            </w:tcBorders>
            <w:vAlign w:val="center"/>
          </w:tcPr>
          <w:p w14:paraId="58D63EA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w:t>
            </w:r>
          </w:p>
        </w:tc>
        <w:tc>
          <w:tcPr>
            <w:tcW w:w="894" w:type="pct"/>
            <w:tcBorders>
              <w:top w:val="single" w:color="000000" w:sz="4" w:space="0"/>
              <w:left w:val="single" w:color="000000" w:sz="4" w:space="0"/>
              <w:bottom w:val="single" w:color="000000" w:sz="4" w:space="0"/>
            </w:tcBorders>
            <w:vAlign w:val="center"/>
          </w:tcPr>
          <w:p w14:paraId="281D122C">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20t/a</w:t>
            </w:r>
          </w:p>
        </w:tc>
      </w:tr>
      <w:tr w14:paraId="584B72C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315" w:type="pct"/>
            <w:tcBorders>
              <w:top w:val="single" w:color="000000" w:sz="4" w:space="0"/>
              <w:bottom w:val="single" w:color="000000" w:sz="4" w:space="0"/>
              <w:right w:val="single" w:color="000000" w:sz="4" w:space="0"/>
            </w:tcBorders>
            <w:vAlign w:val="center"/>
          </w:tcPr>
          <w:p w14:paraId="19134B49">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3</w:t>
            </w:r>
          </w:p>
        </w:tc>
        <w:tc>
          <w:tcPr>
            <w:tcW w:w="961" w:type="pct"/>
            <w:tcBorders>
              <w:top w:val="single" w:color="000000" w:sz="4" w:space="0"/>
              <w:left w:val="single" w:color="000000" w:sz="4" w:space="0"/>
              <w:bottom w:val="single" w:color="000000" w:sz="4" w:space="0"/>
              <w:right w:val="single" w:color="000000" w:sz="4" w:space="0"/>
            </w:tcBorders>
            <w:vAlign w:val="center"/>
          </w:tcPr>
          <w:p w14:paraId="776600A2">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w:t>
            </w:r>
            <w:r>
              <w:rPr>
                <w:rFonts w:hint="default" w:ascii="Times New Roman" w:hAnsi="Times New Roman" w:eastAsia="宋体" w:cs="Times New Roman"/>
                <w:sz w:val="21"/>
                <w:u w:val="single"/>
                <w:lang w:eastAsia="zh-CN"/>
              </w:rPr>
              <w:t>金属</w:t>
            </w:r>
            <w:r>
              <w:rPr>
                <w:rFonts w:hint="default" w:ascii="Times New Roman" w:hAnsi="Times New Roman" w:eastAsia="宋体" w:cs="Times New Roman"/>
                <w:sz w:val="21"/>
                <w:u w:val="single"/>
                <w:lang w:eastAsia="en-US"/>
              </w:rPr>
              <w:t>机油滤芯</w:t>
            </w:r>
          </w:p>
        </w:tc>
        <w:tc>
          <w:tcPr>
            <w:tcW w:w="735" w:type="pct"/>
            <w:tcBorders>
              <w:top w:val="single" w:color="000000" w:sz="4" w:space="0"/>
              <w:left w:val="single" w:color="000000" w:sz="4" w:space="0"/>
              <w:bottom w:val="single" w:color="000000" w:sz="4" w:space="0"/>
              <w:right w:val="single" w:color="000000" w:sz="4" w:space="0"/>
            </w:tcBorders>
            <w:vAlign w:val="center"/>
          </w:tcPr>
          <w:p w14:paraId="5A43E333">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5000t/a</w:t>
            </w:r>
          </w:p>
        </w:tc>
        <w:tc>
          <w:tcPr>
            <w:tcW w:w="805" w:type="pct"/>
            <w:tcBorders>
              <w:top w:val="single" w:color="000000" w:sz="4" w:space="0"/>
              <w:left w:val="single" w:color="000000" w:sz="4" w:space="0"/>
              <w:bottom w:val="single" w:color="000000" w:sz="4" w:space="0"/>
              <w:right w:val="single" w:color="000000" w:sz="4" w:space="0"/>
            </w:tcBorders>
            <w:vAlign w:val="center"/>
          </w:tcPr>
          <w:p w14:paraId="52F9B1EC">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w:t>
            </w:r>
          </w:p>
        </w:tc>
        <w:tc>
          <w:tcPr>
            <w:tcW w:w="645" w:type="pct"/>
            <w:tcBorders>
              <w:top w:val="single" w:color="000000" w:sz="4" w:space="0"/>
              <w:left w:val="single" w:color="000000" w:sz="4" w:space="0"/>
              <w:bottom w:val="single" w:color="000000" w:sz="4" w:space="0"/>
              <w:right w:val="single" w:color="000000" w:sz="4" w:space="0"/>
            </w:tcBorders>
            <w:vAlign w:val="center"/>
          </w:tcPr>
          <w:p w14:paraId="1FCDA34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100t/a</w:t>
            </w:r>
          </w:p>
        </w:tc>
        <w:tc>
          <w:tcPr>
            <w:tcW w:w="645" w:type="pct"/>
            <w:tcBorders>
              <w:top w:val="single" w:color="000000" w:sz="4" w:space="0"/>
              <w:left w:val="single" w:color="000000" w:sz="4" w:space="0"/>
              <w:bottom w:val="single" w:color="000000" w:sz="4" w:space="0"/>
              <w:right w:val="single" w:color="000000" w:sz="4" w:space="0"/>
            </w:tcBorders>
            <w:vAlign w:val="center"/>
          </w:tcPr>
          <w:p w14:paraId="5C6416D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w:t>
            </w:r>
          </w:p>
        </w:tc>
        <w:tc>
          <w:tcPr>
            <w:tcW w:w="894" w:type="pct"/>
            <w:tcBorders>
              <w:top w:val="single" w:color="000000" w:sz="4" w:space="0"/>
              <w:left w:val="single" w:color="000000" w:sz="4" w:space="0"/>
              <w:bottom w:val="single" w:color="000000" w:sz="4" w:space="0"/>
            </w:tcBorders>
            <w:vAlign w:val="center"/>
          </w:tcPr>
          <w:p w14:paraId="7692DF4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10t/a</w:t>
            </w:r>
          </w:p>
        </w:tc>
      </w:tr>
      <w:tr w14:paraId="2827EE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315" w:type="pct"/>
            <w:tcBorders>
              <w:top w:val="single" w:color="000000" w:sz="4" w:space="0"/>
              <w:right w:val="single" w:color="000000" w:sz="4" w:space="0"/>
            </w:tcBorders>
            <w:vAlign w:val="center"/>
          </w:tcPr>
          <w:p w14:paraId="61918D7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4</w:t>
            </w:r>
          </w:p>
        </w:tc>
        <w:tc>
          <w:tcPr>
            <w:tcW w:w="961" w:type="pct"/>
            <w:tcBorders>
              <w:top w:val="single" w:color="000000" w:sz="4" w:space="0"/>
              <w:left w:val="single" w:color="000000" w:sz="4" w:space="0"/>
              <w:right w:val="single" w:color="000000" w:sz="4" w:space="0"/>
            </w:tcBorders>
            <w:vAlign w:val="center"/>
          </w:tcPr>
          <w:p w14:paraId="50B8D40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合计</w:t>
            </w:r>
          </w:p>
        </w:tc>
        <w:tc>
          <w:tcPr>
            <w:tcW w:w="735" w:type="pct"/>
            <w:tcBorders>
              <w:top w:val="single" w:color="000000" w:sz="4" w:space="0"/>
              <w:left w:val="single" w:color="000000" w:sz="4" w:space="0"/>
              <w:right w:val="single" w:color="000000" w:sz="4" w:space="0"/>
            </w:tcBorders>
            <w:vAlign w:val="center"/>
          </w:tcPr>
          <w:p w14:paraId="697F8896">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20000t/a</w:t>
            </w:r>
          </w:p>
        </w:tc>
        <w:tc>
          <w:tcPr>
            <w:tcW w:w="805" w:type="pct"/>
            <w:tcBorders>
              <w:top w:val="single" w:color="000000" w:sz="4" w:space="0"/>
              <w:left w:val="single" w:color="000000" w:sz="4" w:space="0"/>
              <w:right w:val="single" w:color="000000" w:sz="4" w:space="0"/>
            </w:tcBorders>
            <w:vAlign w:val="center"/>
          </w:tcPr>
          <w:p w14:paraId="4D27560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w:t>
            </w:r>
          </w:p>
        </w:tc>
        <w:tc>
          <w:tcPr>
            <w:tcW w:w="645" w:type="pct"/>
            <w:tcBorders>
              <w:top w:val="single" w:color="000000" w:sz="4" w:space="0"/>
              <w:left w:val="single" w:color="000000" w:sz="4" w:space="0"/>
              <w:right w:val="single" w:color="000000" w:sz="4" w:space="0"/>
            </w:tcBorders>
            <w:vAlign w:val="center"/>
          </w:tcPr>
          <w:p w14:paraId="7EA701D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300t/a</w:t>
            </w:r>
          </w:p>
        </w:tc>
        <w:tc>
          <w:tcPr>
            <w:tcW w:w="645" w:type="pct"/>
            <w:tcBorders>
              <w:top w:val="single" w:color="000000" w:sz="4" w:space="0"/>
              <w:left w:val="single" w:color="000000" w:sz="4" w:space="0"/>
              <w:right w:val="single" w:color="000000" w:sz="4" w:space="0"/>
            </w:tcBorders>
            <w:vAlign w:val="center"/>
          </w:tcPr>
          <w:p w14:paraId="134A0B81">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w:t>
            </w:r>
          </w:p>
        </w:tc>
        <w:tc>
          <w:tcPr>
            <w:tcW w:w="894" w:type="pct"/>
            <w:tcBorders>
              <w:top w:val="single" w:color="000000" w:sz="4" w:space="0"/>
              <w:left w:val="single" w:color="000000" w:sz="4" w:space="0"/>
            </w:tcBorders>
            <w:vAlign w:val="center"/>
          </w:tcPr>
          <w:p w14:paraId="2DA551F9">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40t/a</w:t>
            </w:r>
          </w:p>
        </w:tc>
      </w:tr>
    </w:tbl>
    <w:p w14:paraId="1CE21C34">
      <w:pPr>
        <w:pStyle w:val="48"/>
        <w:spacing w:before="0" w:line="360" w:lineRule="auto"/>
        <w:rPr>
          <w:rFonts w:hint="default" w:ascii="Times New Roman" w:hAnsi="Times New Roman" w:eastAsia="宋体" w:cs="Times New Roman"/>
          <w:sz w:val="24"/>
          <w:szCs w:val="21"/>
          <w:u w:val="single"/>
          <w:lang w:val="en-US" w:eastAsia="zh-CN"/>
        </w:rPr>
      </w:pPr>
      <w:r>
        <w:rPr>
          <w:rFonts w:hint="default" w:ascii="Times New Roman" w:hAnsi="Times New Roman" w:eastAsia="宋体" w:cs="Times New Roman"/>
          <w:sz w:val="24"/>
          <w:szCs w:val="21"/>
          <w:u w:val="single"/>
        </w:rPr>
        <w:t>本项目进行综合利用的危废进厂后先经人工分拣、开盖倒残、压扁后进入原料暂存间再进入综合利用生产线。约有95%的残液会在开盖倒残过程经密闭容器收集后暂存于残液暂存间，约5%的残液仍残留于包装容器内壁及废金属机油滤芯上。开盖倒残及残液暂存间有机废气产生量按其挥发组分含量的80%计，压扁暂存及生产过程中有机废气产生量按其挥发组分含量的100%计。则本生产线的有机废气产生情况详见下表。</w:t>
      </w:r>
    </w:p>
    <w:p w14:paraId="2213A566">
      <w:pPr>
        <w:pStyle w:val="48"/>
        <w:spacing w:before="0" w:line="360" w:lineRule="auto"/>
        <w:rPr>
          <w:rFonts w:hint="default" w:ascii="Times New Roman" w:hAnsi="Times New Roman" w:eastAsia="宋体" w:cs="Times New Roman"/>
          <w:sz w:val="24"/>
          <w:szCs w:val="21"/>
          <w:u w:val="single"/>
          <w:lang w:val="en-US" w:eastAsia="zh-CN"/>
        </w:rPr>
      </w:pPr>
    </w:p>
    <w:p w14:paraId="71F4ECC9">
      <w:pPr>
        <w:pStyle w:val="48"/>
        <w:spacing w:before="0" w:line="360" w:lineRule="auto"/>
        <w:rPr>
          <w:rFonts w:hint="default" w:ascii="Times New Roman" w:hAnsi="Times New Roman" w:eastAsia="宋体" w:cs="Times New Roman"/>
          <w:sz w:val="24"/>
          <w:szCs w:val="21"/>
          <w:u w:val="single"/>
          <w:lang w:val="en-US" w:eastAsia="zh-CN"/>
        </w:rPr>
      </w:pPr>
    </w:p>
    <w:p w14:paraId="131237FF">
      <w:pPr>
        <w:pStyle w:val="48"/>
        <w:spacing w:before="0" w:line="360" w:lineRule="auto"/>
        <w:ind w:firstLine="0" w:firstLineChars="0"/>
        <w:jc w:val="center"/>
        <w:rPr>
          <w:rFonts w:hint="default" w:ascii="Times New Roman" w:hAnsi="Times New Roman" w:eastAsia="宋体" w:cs="Times New Roman"/>
          <w:b/>
          <w:bCs/>
          <w:sz w:val="21"/>
          <w:szCs w:val="18"/>
          <w:u w:val="single"/>
        </w:rPr>
      </w:pPr>
      <w:r>
        <w:rPr>
          <w:rFonts w:hint="default" w:ascii="Times New Roman" w:hAnsi="Times New Roman" w:eastAsia="宋体" w:cs="Times New Roman"/>
          <w:b/>
          <w:bCs/>
          <w:sz w:val="21"/>
          <w:szCs w:val="18"/>
          <w:u w:val="single"/>
        </w:rPr>
        <w:t>表5.5-</w:t>
      </w:r>
      <w:r>
        <w:rPr>
          <w:rFonts w:hint="default" w:ascii="Times New Roman" w:hAnsi="Times New Roman" w:eastAsia="宋体" w:cs="Times New Roman"/>
          <w:b/>
          <w:bCs/>
          <w:sz w:val="21"/>
          <w:szCs w:val="18"/>
          <w:u w:val="single"/>
          <w:lang w:val="en-US" w:eastAsia="zh-CN"/>
        </w:rPr>
        <w:t>6</w:t>
      </w:r>
      <w:r>
        <w:rPr>
          <w:rFonts w:hint="default" w:ascii="Times New Roman" w:hAnsi="Times New Roman" w:eastAsia="宋体" w:cs="Times New Roman"/>
          <w:b/>
          <w:bCs/>
          <w:sz w:val="21"/>
          <w:szCs w:val="18"/>
          <w:u w:val="single"/>
        </w:rPr>
        <w:t xml:space="preserve">  各工艺阶段挥发性有机物统计一览表</w:t>
      </w:r>
    </w:p>
    <w:tbl>
      <w:tblPr>
        <w:tblStyle w:val="59"/>
        <w:tblW w:w="5012"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51"/>
        <w:gridCol w:w="865"/>
        <w:gridCol w:w="660"/>
        <w:gridCol w:w="1014"/>
        <w:gridCol w:w="956"/>
        <w:gridCol w:w="1052"/>
        <w:gridCol w:w="631"/>
        <w:gridCol w:w="1475"/>
        <w:gridCol w:w="1152"/>
      </w:tblGrid>
      <w:tr w14:paraId="0B45BE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832" w:hRule="atLeast"/>
        </w:trPr>
        <w:tc>
          <w:tcPr>
            <w:tcW w:w="340" w:type="pct"/>
            <w:vAlign w:val="center"/>
          </w:tcPr>
          <w:p w14:paraId="5B566738">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生产线</w:t>
            </w:r>
          </w:p>
        </w:tc>
        <w:tc>
          <w:tcPr>
            <w:tcW w:w="528" w:type="pct"/>
            <w:vAlign w:val="center"/>
          </w:tcPr>
          <w:p w14:paraId="0C995AE3">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工艺段</w:t>
            </w:r>
          </w:p>
        </w:tc>
        <w:tc>
          <w:tcPr>
            <w:tcW w:w="405" w:type="pct"/>
            <w:vAlign w:val="center"/>
          </w:tcPr>
          <w:p w14:paraId="3D8DA004">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易挥发组分含量</w:t>
            </w:r>
          </w:p>
        </w:tc>
        <w:tc>
          <w:tcPr>
            <w:tcW w:w="528" w:type="pct"/>
            <w:vAlign w:val="center"/>
          </w:tcPr>
          <w:p w14:paraId="3103F0A6">
            <w:pPr>
              <w:pStyle w:val="60"/>
              <w:adjustRightInd w:val="0"/>
              <w:snapToGrid w:val="0"/>
              <w:rPr>
                <w:rFonts w:hint="default" w:ascii="Times New Roman" w:hAnsi="Times New Roman" w:eastAsia="宋体" w:cs="Times New Roman"/>
                <w:b/>
                <w:bCs/>
                <w:sz w:val="21"/>
                <w:u w:val="single"/>
                <w:lang w:eastAsia="zh-CN"/>
              </w:rPr>
            </w:pPr>
            <w:r>
              <w:rPr>
                <w:rFonts w:hint="default" w:ascii="Times New Roman" w:hAnsi="Times New Roman" w:eastAsia="宋体" w:cs="Times New Roman"/>
                <w:b/>
                <w:bCs/>
                <w:sz w:val="21"/>
                <w:u w:val="single"/>
                <w:lang w:eastAsia="zh-CN"/>
              </w:rPr>
              <w:t>各工序易挥发组分占比</w:t>
            </w:r>
          </w:p>
        </w:tc>
        <w:tc>
          <w:tcPr>
            <w:tcW w:w="582" w:type="pct"/>
            <w:vAlign w:val="center"/>
          </w:tcPr>
          <w:p w14:paraId="5611A347">
            <w:pPr>
              <w:pStyle w:val="60"/>
              <w:adjustRightInd w:val="0"/>
              <w:snapToGrid w:val="0"/>
              <w:rPr>
                <w:rFonts w:hint="default" w:ascii="Times New Roman" w:hAnsi="Times New Roman" w:eastAsia="宋体" w:cs="Times New Roman"/>
                <w:b/>
                <w:bCs/>
                <w:sz w:val="21"/>
                <w:u w:val="single"/>
                <w:lang w:eastAsia="zh-CN"/>
              </w:rPr>
            </w:pPr>
            <w:r>
              <w:rPr>
                <w:rFonts w:hint="default" w:ascii="Times New Roman" w:hAnsi="Times New Roman" w:eastAsia="宋体" w:cs="Times New Roman"/>
                <w:b/>
                <w:bCs/>
                <w:sz w:val="21"/>
                <w:u w:val="single"/>
                <w:lang w:eastAsia="zh-CN"/>
              </w:rPr>
              <w:t>有机废气的挥发量占比</w:t>
            </w:r>
          </w:p>
        </w:tc>
        <w:tc>
          <w:tcPr>
            <w:tcW w:w="639" w:type="pct"/>
            <w:vAlign w:val="center"/>
          </w:tcPr>
          <w:p w14:paraId="16B0F9B2">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有机废气挥发量</w:t>
            </w:r>
          </w:p>
        </w:tc>
        <w:tc>
          <w:tcPr>
            <w:tcW w:w="1275" w:type="pct"/>
            <w:gridSpan w:val="2"/>
            <w:vAlign w:val="center"/>
          </w:tcPr>
          <w:p w14:paraId="6FC64580">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zh-CN"/>
              </w:rPr>
              <w:t>污染物占比</w:t>
            </w:r>
          </w:p>
        </w:tc>
        <w:tc>
          <w:tcPr>
            <w:tcW w:w="699" w:type="pct"/>
            <w:vAlign w:val="center"/>
          </w:tcPr>
          <w:p w14:paraId="7CFD6BF0">
            <w:pPr>
              <w:pStyle w:val="60"/>
              <w:adjustRightInd w:val="0"/>
              <w:snapToGrid w:val="0"/>
              <w:rPr>
                <w:rFonts w:hint="default" w:ascii="Times New Roman" w:hAnsi="Times New Roman" w:eastAsia="宋体" w:cs="Times New Roman"/>
                <w:b/>
                <w:bCs/>
                <w:sz w:val="21"/>
                <w:u w:val="single"/>
                <w:lang w:eastAsia="zh-CN"/>
              </w:rPr>
            </w:pPr>
            <w:r>
              <w:rPr>
                <w:rFonts w:hint="default" w:ascii="Times New Roman" w:hAnsi="Times New Roman" w:eastAsia="宋体" w:cs="Times New Roman"/>
                <w:b/>
                <w:bCs/>
                <w:sz w:val="21"/>
                <w:u w:val="single"/>
                <w:lang w:eastAsia="zh-CN"/>
              </w:rPr>
              <w:t>污染物产生量t/a</w:t>
            </w:r>
          </w:p>
        </w:tc>
      </w:tr>
      <w:tr w14:paraId="5D82032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340" w:type="pct"/>
            <w:vMerge w:val="restart"/>
            <w:vAlign w:val="center"/>
          </w:tcPr>
          <w:p w14:paraId="4F12B20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废塑料包装容器</w:t>
            </w:r>
          </w:p>
        </w:tc>
        <w:tc>
          <w:tcPr>
            <w:tcW w:w="528" w:type="pct"/>
            <w:vMerge w:val="restart"/>
            <w:vAlign w:val="center"/>
          </w:tcPr>
          <w:p w14:paraId="7C43FD25">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开盖倒残及残液暂存间</w:t>
            </w:r>
          </w:p>
        </w:tc>
        <w:tc>
          <w:tcPr>
            <w:tcW w:w="405" w:type="pct"/>
            <w:vMerge w:val="restart"/>
            <w:vAlign w:val="center"/>
          </w:tcPr>
          <w:p w14:paraId="1F8E4808">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10t/a</w:t>
            </w:r>
          </w:p>
        </w:tc>
        <w:tc>
          <w:tcPr>
            <w:tcW w:w="528" w:type="pct"/>
            <w:vMerge w:val="restart"/>
            <w:vAlign w:val="center"/>
          </w:tcPr>
          <w:p w14:paraId="7A37597C">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95%（9.5t/a）</w:t>
            </w:r>
          </w:p>
        </w:tc>
        <w:tc>
          <w:tcPr>
            <w:tcW w:w="582" w:type="pct"/>
            <w:vMerge w:val="restart"/>
            <w:vAlign w:val="center"/>
          </w:tcPr>
          <w:p w14:paraId="142EFA24">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80%</w:t>
            </w:r>
          </w:p>
        </w:tc>
        <w:tc>
          <w:tcPr>
            <w:tcW w:w="639" w:type="pct"/>
            <w:vMerge w:val="restart"/>
            <w:vAlign w:val="center"/>
          </w:tcPr>
          <w:p w14:paraId="2D78AEC7">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7.6t/a</w:t>
            </w:r>
          </w:p>
        </w:tc>
        <w:tc>
          <w:tcPr>
            <w:tcW w:w="1275" w:type="pct"/>
            <w:gridSpan w:val="2"/>
            <w:vAlign w:val="center"/>
          </w:tcPr>
          <w:p w14:paraId="3091D436">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VOCs 100%</w:t>
            </w:r>
          </w:p>
        </w:tc>
        <w:tc>
          <w:tcPr>
            <w:tcW w:w="699" w:type="pct"/>
            <w:vAlign w:val="center"/>
          </w:tcPr>
          <w:p w14:paraId="1AB28024">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7.6</w:t>
            </w:r>
          </w:p>
        </w:tc>
      </w:tr>
      <w:tr w14:paraId="4D0C34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92" w:hRule="atLeast"/>
        </w:trPr>
        <w:tc>
          <w:tcPr>
            <w:tcW w:w="340" w:type="pct"/>
            <w:vMerge w:val="continue"/>
            <w:vAlign w:val="center"/>
          </w:tcPr>
          <w:p w14:paraId="41FB0381">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02F2B513">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0B40347F">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254918E6">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5B58A7C9">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219BF07F">
            <w:pPr>
              <w:pStyle w:val="60"/>
              <w:adjustRightInd w:val="0"/>
              <w:snapToGrid w:val="0"/>
              <w:rPr>
                <w:rFonts w:hint="default" w:ascii="Times New Roman" w:hAnsi="Times New Roman" w:eastAsia="宋体" w:cs="Times New Roman"/>
                <w:sz w:val="21"/>
                <w:u w:val="single"/>
                <w:lang w:eastAsia="en-US"/>
              </w:rPr>
            </w:pPr>
          </w:p>
        </w:tc>
        <w:tc>
          <w:tcPr>
            <w:tcW w:w="387" w:type="pct"/>
            <w:vMerge w:val="restart"/>
            <w:vAlign w:val="center"/>
          </w:tcPr>
          <w:p w14:paraId="24446755">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其中</w:t>
            </w:r>
          </w:p>
        </w:tc>
        <w:tc>
          <w:tcPr>
            <w:tcW w:w="892" w:type="pct"/>
            <w:vAlign w:val="center"/>
          </w:tcPr>
          <w:p w14:paraId="71688C50">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苯 3%</w:t>
            </w:r>
          </w:p>
        </w:tc>
        <w:tc>
          <w:tcPr>
            <w:tcW w:w="699" w:type="pct"/>
            <w:vAlign w:val="center"/>
          </w:tcPr>
          <w:p w14:paraId="00AD7D4B">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0.228</w:t>
            </w:r>
          </w:p>
        </w:tc>
      </w:tr>
      <w:tr w14:paraId="7846735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2" w:hRule="atLeast"/>
        </w:trPr>
        <w:tc>
          <w:tcPr>
            <w:tcW w:w="340" w:type="pct"/>
            <w:vMerge w:val="continue"/>
            <w:vAlign w:val="center"/>
          </w:tcPr>
          <w:p w14:paraId="2D05C559">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08004F06">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22E975FE">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45B1F7B5">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4F801C16">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0DCDCA96">
            <w:pPr>
              <w:pStyle w:val="60"/>
              <w:adjustRightInd w:val="0"/>
              <w:snapToGrid w:val="0"/>
              <w:rPr>
                <w:rFonts w:hint="default" w:ascii="Times New Roman" w:hAnsi="Times New Roman" w:eastAsia="宋体" w:cs="Times New Roman"/>
                <w:sz w:val="21"/>
                <w:u w:val="single"/>
                <w:lang w:eastAsia="en-US"/>
              </w:rPr>
            </w:pPr>
          </w:p>
        </w:tc>
        <w:tc>
          <w:tcPr>
            <w:tcW w:w="387" w:type="pct"/>
            <w:vMerge w:val="continue"/>
            <w:vAlign w:val="center"/>
          </w:tcPr>
          <w:p w14:paraId="32CE5A55">
            <w:pPr>
              <w:pStyle w:val="60"/>
              <w:adjustRightInd w:val="0"/>
              <w:snapToGrid w:val="0"/>
              <w:rPr>
                <w:rFonts w:hint="default" w:ascii="Times New Roman" w:hAnsi="Times New Roman" w:eastAsia="宋体" w:cs="Times New Roman"/>
                <w:sz w:val="21"/>
                <w:u w:val="single"/>
                <w:lang w:eastAsia="en-US"/>
              </w:rPr>
            </w:pPr>
          </w:p>
        </w:tc>
        <w:tc>
          <w:tcPr>
            <w:tcW w:w="892" w:type="pct"/>
            <w:vAlign w:val="center"/>
          </w:tcPr>
          <w:p w14:paraId="53869AAF">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甲苯 3%</w:t>
            </w:r>
          </w:p>
        </w:tc>
        <w:tc>
          <w:tcPr>
            <w:tcW w:w="699" w:type="pct"/>
            <w:vAlign w:val="center"/>
          </w:tcPr>
          <w:p w14:paraId="1BABAC7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0.228</w:t>
            </w:r>
          </w:p>
        </w:tc>
      </w:tr>
      <w:tr w14:paraId="64E56E4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52" w:hRule="atLeast"/>
        </w:trPr>
        <w:tc>
          <w:tcPr>
            <w:tcW w:w="340" w:type="pct"/>
            <w:vMerge w:val="continue"/>
            <w:vAlign w:val="center"/>
          </w:tcPr>
          <w:p w14:paraId="50273CDC">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5AACCEC9">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0C0C6839">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7B610B86">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7C52C64E">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4847D414">
            <w:pPr>
              <w:pStyle w:val="60"/>
              <w:adjustRightInd w:val="0"/>
              <w:snapToGrid w:val="0"/>
              <w:rPr>
                <w:rFonts w:hint="default" w:ascii="Times New Roman" w:hAnsi="Times New Roman" w:eastAsia="宋体" w:cs="Times New Roman"/>
                <w:sz w:val="21"/>
                <w:u w:val="single"/>
                <w:lang w:eastAsia="en-US"/>
              </w:rPr>
            </w:pPr>
          </w:p>
        </w:tc>
        <w:tc>
          <w:tcPr>
            <w:tcW w:w="387" w:type="pct"/>
            <w:vMerge w:val="continue"/>
            <w:vAlign w:val="center"/>
          </w:tcPr>
          <w:p w14:paraId="7AF9ED3C">
            <w:pPr>
              <w:pStyle w:val="60"/>
              <w:adjustRightInd w:val="0"/>
              <w:snapToGrid w:val="0"/>
              <w:rPr>
                <w:rFonts w:hint="default" w:ascii="Times New Roman" w:hAnsi="Times New Roman" w:eastAsia="宋体" w:cs="Times New Roman"/>
                <w:sz w:val="21"/>
                <w:u w:val="single"/>
                <w:lang w:eastAsia="en-US"/>
              </w:rPr>
            </w:pPr>
          </w:p>
        </w:tc>
        <w:tc>
          <w:tcPr>
            <w:tcW w:w="892" w:type="pct"/>
            <w:vAlign w:val="center"/>
          </w:tcPr>
          <w:p w14:paraId="64002A65">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二甲苯 3%</w:t>
            </w:r>
          </w:p>
        </w:tc>
        <w:tc>
          <w:tcPr>
            <w:tcW w:w="699" w:type="pct"/>
            <w:vAlign w:val="center"/>
          </w:tcPr>
          <w:p w14:paraId="4837E50A">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0.228</w:t>
            </w:r>
          </w:p>
        </w:tc>
      </w:tr>
      <w:tr w14:paraId="671240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4" w:hRule="atLeast"/>
        </w:trPr>
        <w:tc>
          <w:tcPr>
            <w:tcW w:w="340" w:type="pct"/>
            <w:vMerge w:val="continue"/>
            <w:vAlign w:val="center"/>
          </w:tcPr>
          <w:p w14:paraId="6A54A759">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restart"/>
            <w:vAlign w:val="center"/>
          </w:tcPr>
          <w:p w14:paraId="1C77ABCC">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综合利用线及原料暂存间</w:t>
            </w:r>
          </w:p>
        </w:tc>
        <w:tc>
          <w:tcPr>
            <w:tcW w:w="405" w:type="pct"/>
            <w:vMerge w:val="continue"/>
            <w:vAlign w:val="center"/>
          </w:tcPr>
          <w:p w14:paraId="15E5D2AF">
            <w:pPr>
              <w:autoSpaceDE w:val="0"/>
              <w:autoSpaceDN w:val="0"/>
              <w:adjustRightInd w:val="0"/>
              <w:snapToGrid w:val="0"/>
              <w:jc w:val="center"/>
              <w:rPr>
                <w:rFonts w:hint="default" w:ascii="Times New Roman" w:hAnsi="Times New Roman" w:eastAsia="宋体" w:cs="Times New Roman"/>
                <w:kern w:val="0"/>
                <w:sz w:val="2"/>
                <w:szCs w:val="2"/>
                <w:u w:val="single"/>
                <w:lang w:eastAsia="zh-CN"/>
              </w:rPr>
            </w:pPr>
          </w:p>
        </w:tc>
        <w:tc>
          <w:tcPr>
            <w:tcW w:w="528" w:type="pct"/>
            <w:vMerge w:val="restart"/>
            <w:vAlign w:val="center"/>
          </w:tcPr>
          <w:p w14:paraId="751CF210">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5%（0.5t/a）</w:t>
            </w:r>
          </w:p>
        </w:tc>
        <w:tc>
          <w:tcPr>
            <w:tcW w:w="582" w:type="pct"/>
            <w:vMerge w:val="restart"/>
            <w:vAlign w:val="center"/>
          </w:tcPr>
          <w:p w14:paraId="29AE9AA2">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100%</w:t>
            </w:r>
          </w:p>
        </w:tc>
        <w:tc>
          <w:tcPr>
            <w:tcW w:w="639" w:type="pct"/>
            <w:vMerge w:val="restart"/>
            <w:vAlign w:val="center"/>
          </w:tcPr>
          <w:p w14:paraId="746F2E8B">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0.5t/a</w:t>
            </w:r>
          </w:p>
        </w:tc>
        <w:tc>
          <w:tcPr>
            <w:tcW w:w="1275" w:type="pct"/>
            <w:gridSpan w:val="2"/>
            <w:vAlign w:val="center"/>
          </w:tcPr>
          <w:p w14:paraId="4203084D">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VOCs 100%</w:t>
            </w:r>
          </w:p>
        </w:tc>
        <w:tc>
          <w:tcPr>
            <w:tcW w:w="699" w:type="pct"/>
            <w:vAlign w:val="center"/>
          </w:tcPr>
          <w:p w14:paraId="332E1F27">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0.5</w:t>
            </w:r>
          </w:p>
        </w:tc>
      </w:tr>
      <w:tr w14:paraId="0D8820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52" w:hRule="atLeast"/>
        </w:trPr>
        <w:tc>
          <w:tcPr>
            <w:tcW w:w="340" w:type="pct"/>
            <w:vMerge w:val="continue"/>
            <w:vAlign w:val="center"/>
          </w:tcPr>
          <w:p w14:paraId="2ED1BA9B">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bookmarkStart w:id="292" w:name="_Hlk130305578"/>
          </w:p>
        </w:tc>
        <w:tc>
          <w:tcPr>
            <w:tcW w:w="528" w:type="pct"/>
            <w:vMerge w:val="continue"/>
            <w:vAlign w:val="center"/>
          </w:tcPr>
          <w:p w14:paraId="11284ACD">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7302F34A">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66053358">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7341EB7C">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2DA8C603">
            <w:pPr>
              <w:pStyle w:val="60"/>
              <w:adjustRightInd w:val="0"/>
              <w:snapToGrid w:val="0"/>
              <w:rPr>
                <w:rFonts w:hint="default" w:ascii="Times New Roman" w:hAnsi="Times New Roman" w:eastAsia="宋体" w:cs="Times New Roman"/>
                <w:sz w:val="21"/>
                <w:u w:val="single"/>
                <w:lang w:eastAsia="en-US"/>
              </w:rPr>
            </w:pPr>
          </w:p>
        </w:tc>
        <w:tc>
          <w:tcPr>
            <w:tcW w:w="387" w:type="pct"/>
            <w:vMerge w:val="restart"/>
            <w:vAlign w:val="center"/>
          </w:tcPr>
          <w:p w14:paraId="36D9930C">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其中</w:t>
            </w:r>
          </w:p>
        </w:tc>
        <w:tc>
          <w:tcPr>
            <w:tcW w:w="892" w:type="pct"/>
            <w:vAlign w:val="center"/>
          </w:tcPr>
          <w:p w14:paraId="00E5511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苯 3%</w:t>
            </w:r>
          </w:p>
        </w:tc>
        <w:tc>
          <w:tcPr>
            <w:tcW w:w="699" w:type="pct"/>
            <w:vAlign w:val="center"/>
          </w:tcPr>
          <w:p w14:paraId="7C2373AC">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0.015</w:t>
            </w:r>
          </w:p>
        </w:tc>
      </w:tr>
      <w:tr w14:paraId="0FB3572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40" w:hRule="atLeast"/>
        </w:trPr>
        <w:tc>
          <w:tcPr>
            <w:tcW w:w="340" w:type="pct"/>
            <w:vMerge w:val="continue"/>
            <w:vAlign w:val="center"/>
          </w:tcPr>
          <w:p w14:paraId="51D7E03F">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3804E152">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127B0F8E">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3B769A44">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0F92188C">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5BC0A1FE">
            <w:pPr>
              <w:pStyle w:val="60"/>
              <w:adjustRightInd w:val="0"/>
              <w:snapToGrid w:val="0"/>
              <w:rPr>
                <w:rFonts w:hint="default" w:ascii="Times New Roman" w:hAnsi="Times New Roman" w:eastAsia="宋体" w:cs="Times New Roman"/>
                <w:sz w:val="21"/>
                <w:u w:val="single"/>
                <w:lang w:eastAsia="en-US"/>
              </w:rPr>
            </w:pPr>
          </w:p>
        </w:tc>
        <w:tc>
          <w:tcPr>
            <w:tcW w:w="387" w:type="pct"/>
            <w:vMerge w:val="continue"/>
            <w:vAlign w:val="center"/>
          </w:tcPr>
          <w:p w14:paraId="5A31C9DE">
            <w:pPr>
              <w:pStyle w:val="60"/>
              <w:adjustRightInd w:val="0"/>
              <w:snapToGrid w:val="0"/>
              <w:rPr>
                <w:rFonts w:hint="default" w:ascii="Times New Roman" w:hAnsi="Times New Roman" w:eastAsia="宋体" w:cs="Times New Roman"/>
                <w:sz w:val="21"/>
                <w:u w:val="single"/>
                <w:lang w:eastAsia="en-US"/>
              </w:rPr>
            </w:pPr>
          </w:p>
        </w:tc>
        <w:tc>
          <w:tcPr>
            <w:tcW w:w="892" w:type="pct"/>
            <w:vAlign w:val="center"/>
          </w:tcPr>
          <w:p w14:paraId="64EAC296">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甲苯 3%</w:t>
            </w:r>
          </w:p>
        </w:tc>
        <w:tc>
          <w:tcPr>
            <w:tcW w:w="699" w:type="pct"/>
            <w:vAlign w:val="center"/>
          </w:tcPr>
          <w:p w14:paraId="03DCBCD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0.015</w:t>
            </w:r>
          </w:p>
        </w:tc>
      </w:tr>
      <w:tr w14:paraId="2FB650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04" w:hRule="atLeast"/>
        </w:trPr>
        <w:tc>
          <w:tcPr>
            <w:tcW w:w="340" w:type="pct"/>
            <w:vMerge w:val="continue"/>
            <w:vAlign w:val="center"/>
          </w:tcPr>
          <w:p w14:paraId="35E3606F">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40BBF04A">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43A69510">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4EB03183">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4D0AEFF9">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41B251F4">
            <w:pPr>
              <w:pStyle w:val="60"/>
              <w:adjustRightInd w:val="0"/>
              <w:snapToGrid w:val="0"/>
              <w:rPr>
                <w:rFonts w:hint="default" w:ascii="Times New Roman" w:hAnsi="Times New Roman" w:eastAsia="宋体" w:cs="Times New Roman"/>
                <w:sz w:val="21"/>
                <w:u w:val="single"/>
                <w:lang w:eastAsia="en-US"/>
              </w:rPr>
            </w:pPr>
          </w:p>
        </w:tc>
        <w:tc>
          <w:tcPr>
            <w:tcW w:w="387" w:type="pct"/>
            <w:vMerge w:val="continue"/>
            <w:vAlign w:val="center"/>
          </w:tcPr>
          <w:p w14:paraId="5F7931B0">
            <w:pPr>
              <w:pStyle w:val="60"/>
              <w:adjustRightInd w:val="0"/>
              <w:snapToGrid w:val="0"/>
              <w:rPr>
                <w:rFonts w:hint="default" w:ascii="Times New Roman" w:hAnsi="Times New Roman" w:eastAsia="宋体" w:cs="Times New Roman"/>
                <w:sz w:val="21"/>
                <w:u w:val="single"/>
                <w:lang w:eastAsia="en-US"/>
              </w:rPr>
            </w:pPr>
          </w:p>
        </w:tc>
        <w:tc>
          <w:tcPr>
            <w:tcW w:w="892" w:type="pct"/>
            <w:vAlign w:val="center"/>
          </w:tcPr>
          <w:p w14:paraId="6E87DB4B">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二甲苯 3%</w:t>
            </w:r>
          </w:p>
        </w:tc>
        <w:tc>
          <w:tcPr>
            <w:tcW w:w="699" w:type="pct"/>
            <w:vAlign w:val="center"/>
          </w:tcPr>
          <w:p w14:paraId="533F53CD">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0.015</w:t>
            </w:r>
          </w:p>
        </w:tc>
      </w:tr>
      <w:bookmarkEnd w:id="292"/>
      <w:tr w14:paraId="629444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340" w:type="pct"/>
            <w:vMerge w:val="restart"/>
            <w:vAlign w:val="center"/>
          </w:tcPr>
          <w:p w14:paraId="45088285">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废金属包装容器及废金属机油滤芯</w:t>
            </w:r>
          </w:p>
        </w:tc>
        <w:tc>
          <w:tcPr>
            <w:tcW w:w="528" w:type="pct"/>
            <w:vMerge w:val="restart"/>
            <w:vAlign w:val="center"/>
          </w:tcPr>
          <w:p w14:paraId="5587E6B3">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开盖倒残及残液暂存间</w:t>
            </w:r>
          </w:p>
        </w:tc>
        <w:tc>
          <w:tcPr>
            <w:tcW w:w="405" w:type="pct"/>
            <w:vMerge w:val="restart"/>
            <w:vAlign w:val="center"/>
          </w:tcPr>
          <w:p w14:paraId="6967D14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30t/a</w:t>
            </w:r>
          </w:p>
        </w:tc>
        <w:tc>
          <w:tcPr>
            <w:tcW w:w="528" w:type="pct"/>
            <w:vMerge w:val="restart"/>
            <w:vAlign w:val="center"/>
          </w:tcPr>
          <w:p w14:paraId="3BC00E65">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95%（</w:t>
            </w:r>
            <w:r>
              <w:rPr>
                <w:rFonts w:hint="default" w:ascii="Times New Roman" w:hAnsi="Times New Roman" w:eastAsia="宋体" w:cs="Times New Roman"/>
                <w:sz w:val="21"/>
                <w:u w:val="single"/>
                <w:lang w:eastAsia="zh-CN"/>
              </w:rPr>
              <w:t>28.5</w:t>
            </w:r>
            <w:r>
              <w:rPr>
                <w:rFonts w:hint="default" w:ascii="Times New Roman" w:hAnsi="Times New Roman" w:eastAsia="宋体" w:cs="Times New Roman"/>
                <w:sz w:val="21"/>
                <w:u w:val="single"/>
                <w:lang w:eastAsia="en-US"/>
              </w:rPr>
              <w:t>t/a）</w:t>
            </w:r>
          </w:p>
        </w:tc>
        <w:tc>
          <w:tcPr>
            <w:tcW w:w="582" w:type="pct"/>
            <w:vMerge w:val="restart"/>
            <w:vAlign w:val="center"/>
          </w:tcPr>
          <w:p w14:paraId="039D6E3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80%</w:t>
            </w:r>
          </w:p>
        </w:tc>
        <w:tc>
          <w:tcPr>
            <w:tcW w:w="639" w:type="pct"/>
            <w:vMerge w:val="restart"/>
            <w:vAlign w:val="center"/>
          </w:tcPr>
          <w:p w14:paraId="64AE03FA">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22.8t/a</w:t>
            </w:r>
          </w:p>
        </w:tc>
        <w:tc>
          <w:tcPr>
            <w:tcW w:w="1275" w:type="pct"/>
            <w:gridSpan w:val="2"/>
            <w:vAlign w:val="center"/>
          </w:tcPr>
          <w:p w14:paraId="50B7780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VOCs 100%</w:t>
            </w:r>
          </w:p>
        </w:tc>
        <w:tc>
          <w:tcPr>
            <w:tcW w:w="699" w:type="pct"/>
            <w:vAlign w:val="center"/>
          </w:tcPr>
          <w:p w14:paraId="04135113">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22.8</w:t>
            </w:r>
          </w:p>
        </w:tc>
      </w:tr>
      <w:tr w14:paraId="700BB1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340" w:type="pct"/>
            <w:vMerge w:val="continue"/>
            <w:vAlign w:val="center"/>
          </w:tcPr>
          <w:p w14:paraId="3013EE96">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6E014ACE">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6496E8A8">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21408DED">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13BBF827">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74E4A695">
            <w:pPr>
              <w:pStyle w:val="60"/>
              <w:adjustRightInd w:val="0"/>
              <w:snapToGrid w:val="0"/>
              <w:rPr>
                <w:rFonts w:hint="default" w:ascii="Times New Roman" w:hAnsi="Times New Roman" w:eastAsia="宋体" w:cs="Times New Roman"/>
                <w:sz w:val="21"/>
                <w:u w:val="single"/>
                <w:lang w:eastAsia="en-US"/>
              </w:rPr>
            </w:pPr>
          </w:p>
        </w:tc>
        <w:tc>
          <w:tcPr>
            <w:tcW w:w="387" w:type="pct"/>
            <w:vMerge w:val="restart"/>
            <w:vAlign w:val="center"/>
          </w:tcPr>
          <w:p w14:paraId="39ECE01C">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其中</w:t>
            </w:r>
          </w:p>
        </w:tc>
        <w:tc>
          <w:tcPr>
            <w:tcW w:w="892" w:type="pct"/>
            <w:vAlign w:val="center"/>
          </w:tcPr>
          <w:p w14:paraId="7AD0E18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苯 3%</w:t>
            </w:r>
          </w:p>
        </w:tc>
        <w:tc>
          <w:tcPr>
            <w:tcW w:w="699" w:type="pct"/>
            <w:vAlign w:val="center"/>
          </w:tcPr>
          <w:p w14:paraId="656CA73A">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0.684</w:t>
            </w:r>
          </w:p>
        </w:tc>
      </w:tr>
      <w:tr w14:paraId="614C99E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44" w:hRule="atLeast"/>
        </w:trPr>
        <w:tc>
          <w:tcPr>
            <w:tcW w:w="340" w:type="pct"/>
            <w:vMerge w:val="continue"/>
            <w:vAlign w:val="center"/>
          </w:tcPr>
          <w:p w14:paraId="253A24B0">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392AE48C">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501DEBAB">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11F70759">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63C6D1CB">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1598977F">
            <w:pPr>
              <w:pStyle w:val="60"/>
              <w:adjustRightInd w:val="0"/>
              <w:snapToGrid w:val="0"/>
              <w:rPr>
                <w:rFonts w:hint="default" w:ascii="Times New Roman" w:hAnsi="Times New Roman" w:eastAsia="宋体" w:cs="Times New Roman"/>
                <w:sz w:val="21"/>
                <w:u w:val="single"/>
                <w:lang w:eastAsia="en-US"/>
              </w:rPr>
            </w:pPr>
          </w:p>
        </w:tc>
        <w:tc>
          <w:tcPr>
            <w:tcW w:w="387" w:type="pct"/>
            <w:vMerge w:val="continue"/>
            <w:vAlign w:val="center"/>
          </w:tcPr>
          <w:p w14:paraId="75A49231">
            <w:pPr>
              <w:pStyle w:val="60"/>
              <w:adjustRightInd w:val="0"/>
              <w:snapToGrid w:val="0"/>
              <w:rPr>
                <w:rFonts w:hint="default" w:ascii="Times New Roman" w:hAnsi="Times New Roman" w:eastAsia="宋体" w:cs="Times New Roman"/>
                <w:sz w:val="21"/>
                <w:u w:val="single"/>
                <w:lang w:eastAsia="en-US"/>
              </w:rPr>
            </w:pPr>
          </w:p>
        </w:tc>
        <w:tc>
          <w:tcPr>
            <w:tcW w:w="892" w:type="pct"/>
            <w:vAlign w:val="center"/>
          </w:tcPr>
          <w:p w14:paraId="43CD8060">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甲苯 3%</w:t>
            </w:r>
          </w:p>
        </w:tc>
        <w:tc>
          <w:tcPr>
            <w:tcW w:w="699" w:type="pct"/>
            <w:vAlign w:val="center"/>
          </w:tcPr>
          <w:p w14:paraId="0E3996EC">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0.684</w:t>
            </w:r>
          </w:p>
        </w:tc>
      </w:tr>
      <w:tr w14:paraId="407F16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340" w:type="pct"/>
            <w:vMerge w:val="continue"/>
            <w:vAlign w:val="center"/>
          </w:tcPr>
          <w:p w14:paraId="0BBE0D7B">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1BE2A11D">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7B1EE27B">
            <w:pPr>
              <w:pStyle w:val="60"/>
              <w:adjustRightInd w:val="0"/>
              <w:snapToGrid w:val="0"/>
              <w:rPr>
                <w:rFonts w:hint="default" w:ascii="Times New Roman" w:hAnsi="Times New Roman" w:eastAsia="宋体" w:cs="Times New Roman"/>
                <w:sz w:val="21"/>
                <w:u w:val="single"/>
                <w:lang w:eastAsia="en-US"/>
              </w:rPr>
            </w:pPr>
          </w:p>
        </w:tc>
        <w:tc>
          <w:tcPr>
            <w:tcW w:w="528" w:type="pct"/>
            <w:vMerge w:val="continue"/>
            <w:vAlign w:val="center"/>
          </w:tcPr>
          <w:p w14:paraId="2BACC2DB">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24E897A6">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41C57641">
            <w:pPr>
              <w:pStyle w:val="60"/>
              <w:adjustRightInd w:val="0"/>
              <w:snapToGrid w:val="0"/>
              <w:rPr>
                <w:rFonts w:hint="default" w:ascii="Times New Roman" w:hAnsi="Times New Roman" w:eastAsia="宋体" w:cs="Times New Roman"/>
                <w:sz w:val="21"/>
                <w:u w:val="single"/>
                <w:lang w:eastAsia="en-US"/>
              </w:rPr>
            </w:pPr>
          </w:p>
        </w:tc>
        <w:tc>
          <w:tcPr>
            <w:tcW w:w="387" w:type="pct"/>
            <w:vMerge w:val="continue"/>
            <w:vAlign w:val="center"/>
          </w:tcPr>
          <w:p w14:paraId="13899E8E">
            <w:pPr>
              <w:pStyle w:val="60"/>
              <w:adjustRightInd w:val="0"/>
              <w:snapToGrid w:val="0"/>
              <w:rPr>
                <w:rFonts w:hint="default" w:ascii="Times New Roman" w:hAnsi="Times New Roman" w:eastAsia="宋体" w:cs="Times New Roman"/>
                <w:sz w:val="21"/>
                <w:u w:val="single"/>
                <w:lang w:eastAsia="en-US"/>
              </w:rPr>
            </w:pPr>
          </w:p>
        </w:tc>
        <w:tc>
          <w:tcPr>
            <w:tcW w:w="892" w:type="pct"/>
            <w:vAlign w:val="center"/>
          </w:tcPr>
          <w:p w14:paraId="63FFFEC0">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二甲苯 3%</w:t>
            </w:r>
          </w:p>
        </w:tc>
        <w:tc>
          <w:tcPr>
            <w:tcW w:w="699" w:type="pct"/>
            <w:vAlign w:val="center"/>
          </w:tcPr>
          <w:p w14:paraId="0BB3398F">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0.684</w:t>
            </w:r>
          </w:p>
        </w:tc>
      </w:tr>
      <w:tr w14:paraId="67012F4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28" w:hRule="atLeast"/>
        </w:trPr>
        <w:tc>
          <w:tcPr>
            <w:tcW w:w="340" w:type="pct"/>
            <w:vMerge w:val="continue"/>
            <w:vAlign w:val="center"/>
          </w:tcPr>
          <w:p w14:paraId="5EACECFD">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restart"/>
            <w:vAlign w:val="center"/>
          </w:tcPr>
          <w:p w14:paraId="11627AF1">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综合利用线及原料暂存间</w:t>
            </w:r>
          </w:p>
        </w:tc>
        <w:tc>
          <w:tcPr>
            <w:tcW w:w="405" w:type="pct"/>
            <w:vMerge w:val="continue"/>
            <w:vAlign w:val="center"/>
          </w:tcPr>
          <w:p w14:paraId="744B01DF">
            <w:pPr>
              <w:autoSpaceDE w:val="0"/>
              <w:autoSpaceDN w:val="0"/>
              <w:adjustRightInd w:val="0"/>
              <w:snapToGrid w:val="0"/>
              <w:jc w:val="center"/>
              <w:rPr>
                <w:rFonts w:hint="default" w:ascii="Times New Roman" w:hAnsi="Times New Roman" w:eastAsia="宋体" w:cs="Times New Roman"/>
                <w:kern w:val="0"/>
                <w:sz w:val="2"/>
                <w:szCs w:val="2"/>
                <w:u w:val="single"/>
                <w:lang w:eastAsia="zh-CN"/>
              </w:rPr>
            </w:pPr>
          </w:p>
        </w:tc>
        <w:tc>
          <w:tcPr>
            <w:tcW w:w="528" w:type="pct"/>
            <w:vMerge w:val="restart"/>
            <w:vAlign w:val="center"/>
          </w:tcPr>
          <w:p w14:paraId="3852ABB9">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5%（1.5t/a）</w:t>
            </w:r>
          </w:p>
        </w:tc>
        <w:tc>
          <w:tcPr>
            <w:tcW w:w="582" w:type="pct"/>
            <w:vMerge w:val="restart"/>
            <w:vAlign w:val="center"/>
          </w:tcPr>
          <w:p w14:paraId="49C20656">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100%</w:t>
            </w:r>
          </w:p>
        </w:tc>
        <w:tc>
          <w:tcPr>
            <w:tcW w:w="639" w:type="pct"/>
            <w:vMerge w:val="restart"/>
            <w:vAlign w:val="center"/>
          </w:tcPr>
          <w:p w14:paraId="72E424D2">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1.5t/a</w:t>
            </w:r>
          </w:p>
        </w:tc>
        <w:tc>
          <w:tcPr>
            <w:tcW w:w="1275" w:type="pct"/>
            <w:gridSpan w:val="2"/>
            <w:vAlign w:val="center"/>
          </w:tcPr>
          <w:p w14:paraId="285AF78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VOCs 100%</w:t>
            </w:r>
          </w:p>
        </w:tc>
        <w:tc>
          <w:tcPr>
            <w:tcW w:w="699" w:type="pct"/>
            <w:vAlign w:val="center"/>
          </w:tcPr>
          <w:p w14:paraId="6873001E">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1.5</w:t>
            </w:r>
          </w:p>
        </w:tc>
      </w:tr>
      <w:tr w14:paraId="4F472F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6" w:hRule="atLeast"/>
        </w:trPr>
        <w:tc>
          <w:tcPr>
            <w:tcW w:w="340" w:type="pct"/>
            <w:vMerge w:val="continue"/>
            <w:vAlign w:val="center"/>
          </w:tcPr>
          <w:p w14:paraId="43CAAB94">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2702AB89">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50945FFC">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741E7382">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01DF9C12">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669D9A9D">
            <w:pPr>
              <w:pStyle w:val="60"/>
              <w:adjustRightInd w:val="0"/>
              <w:snapToGrid w:val="0"/>
              <w:rPr>
                <w:rFonts w:hint="default" w:ascii="Times New Roman" w:hAnsi="Times New Roman" w:eastAsia="宋体" w:cs="Times New Roman"/>
                <w:sz w:val="21"/>
                <w:u w:val="single"/>
                <w:lang w:eastAsia="en-US"/>
              </w:rPr>
            </w:pPr>
          </w:p>
        </w:tc>
        <w:tc>
          <w:tcPr>
            <w:tcW w:w="387" w:type="pct"/>
            <w:vMerge w:val="restart"/>
            <w:vAlign w:val="center"/>
          </w:tcPr>
          <w:p w14:paraId="75E0985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其中</w:t>
            </w:r>
          </w:p>
        </w:tc>
        <w:tc>
          <w:tcPr>
            <w:tcW w:w="892" w:type="pct"/>
            <w:vAlign w:val="center"/>
          </w:tcPr>
          <w:p w14:paraId="7626AD73">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苯 3%</w:t>
            </w:r>
          </w:p>
        </w:tc>
        <w:tc>
          <w:tcPr>
            <w:tcW w:w="699" w:type="pct"/>
            <w:vAlign w:val="center"/>
          </w:tcPr>
          <w:p w14:paraId="16436100">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0.045</w:t>
            </w:r>
          </w:p>
        </w:tc>
      </w:tr>
      <w:tr w14:paraId="545F4B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20" w:hRule="atLeast"/>
        </w:trPr>
        <w:tc>
          <w:tcPr>
            <w:tcW w:w="340" w:type="pct"/>
            <w:vMerge w:val="continue"/>
            <w:vAlign w:val="center"/>
          </w:tcPr>
          <w:p w14:paraId="1B6343A4">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7C3EDA7E">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3E528D1D">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6C3FED78">
            <w:pPr>
              <w:pStyle w:val="60"/>
              <w:adjustRightInd w:val="0"/>
              <w:snapToGrid w:val="0"/>
              <w:rPr>
                <w:rFonts w:hint="default" w:ascii="Times New Roman" w:hAnsi="Times New Roman" w:eastAsia="宋体" w:cs="Times New Roman"/>
                <w:sz w:val="21"/>
                <w:u w:val="single"/>
                <w:lang w:eastAsia="en-US"/>
              </w:rPr>
            </w:pPr>
          </w:p>
        </w:tc>
        <w:tc>
          <w:tcPr>
            <w:tcW w:w="582" w:type="pct"/>
            <w:vMerge w:val="continue"/>
            <w:vAlign w:val="center"/>
          </w:tcPr>
          <w:p w14:paraId="69ADB5C1">
            <w:pPr>
              <w:pStyle w:val="60"/>
              <w:adjustRightInd w:val="0"/>
              <w:snapToGrid w:val="0"/>
              <w:rPr>
                <w:rFonts w:hint="default" w:ascii="Times New Roman" w:hAnsi="Times New Roman" w:eastAsia="宋体" w:cs="Times New Roman"/>
                <w:sz w:val="21"/>
                <w:u w:val="single"/>
                <w:lang w:eastAsia="en-US"/>
              </w:rPr>
            </w:pPr>
          </w:p>
        </w:tc>
        <w:tc>
          <w:tcPr>
            <w:tcW w:w="639" w:type="pct"/>
            <w:vMerge w:val="continue"/>
            <w:vAlign w:val="center"/>
          </w:tcPr>
          <w:p w14:paraId="421ED212">
            <w:pPr>
              <w:pStyle w:val="60"/>
              <w:adjustRightInd w:val="0"/>
              <w:snapToGrid w:val="0"/>
              <w:rPr>
                <w:rFonts w:hint="default" w:ascii="Times New Roman" w:hAnsi="Times New Roman" w:eastAsia="宋体" w:cs="Times New Roman"/>
                <w:sz w:val="21"/>
                <w:u w:val="single"/>
                <w:lang w:eastAsia="en-US"/>
              </w:rPr>
            </w:pPr>
          </w:p>
        </w:tc>
        <w:tc>
          <w:tcPr>
            <w:tcW w:w="387" w:type="pct"/>
            <w:vMerge w:val="continue"/>
            <w:vAlign w:val="center"/>
          </w:tcPr>
          <w:p w14:paraId="161509B2">
            <w:pPr>
              <w:pStyle w:val="60"/>
              <w:adjustRightInd w:val="0"/>
              <w:snapToGrid w:val="0"/>
              <w:rPr>
                <w:rFonts w:hint="default" w:ascii="Times New Roman" w:hAnsi="Times New Roman" w:eastAsia="宋体" w:cs="Times New Roman"/>
                <w:sz w:val="21"/>
                <w:u w:val="single"/>
                <w:lang w:eastAsia="en-US"/>
              </w:rPr>
            </w:pPr>
          </w:p>
        </w:tc>
        <w:tc>
          <w:tcPr>
            <w:tcW w:w="892" w:type="pct"/>
            <w:vAlign w:val="center"/>
          </w:tcPr>
          <w:p w14:paraId="492A262D">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甲苯 3%</w:t>
            </w:r>
          </w:p>
        </w:tc>
        <w:tc>
          <w:tcPr>
            <w:tcW w:w="699" w:type="pct"/>
            <w:vAlign w:val="center"/>
          </w:tcPr>
          <w:p w14:paraId="1B0241B3">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0.045</w:t>
            </w:r>
          </w:p>
        </w:tc>
      </w:tr>
      <w:tr w14:paraId="432C7CA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9" w:hRule="atLeast"/>
        </w:trPr>
        <w:tc>
          <w:tcPr>
            <w:tcW w:w="340" w:type="pct"/>
            <w:vMerge w:val="continue"/>
            <w:vAlign w:val="center"/>
          </w:tcPr>
          <w:p w14:paraId="0C83493F">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01DF2420">
            <w:pPr>
              <w:pStyle w:val="60"/>
              <w:adjustRightInd w:val="0"/>
              <w:snapToGrid w:val="0"/>
              <w:rPr>
                <w:rFonts w:hint="default" w:ascii="Times New Roman" w:hAnsi="Times New Roman" w:eastAsia="宋体" w:cs="Times New Roman"/>
                <w:sz w:val="21"/>
                <w:u w:val="single"/>
                <w:lang w:eastAsia="en-US"/>
              </w:rPr>
            </w:pPr>
          </w:p>
        </w:tc>
        <w:tc>
          <w:tcPr>
            <w:tcW w:w="405" w:type="pct"/>
            <w:vMerge w:val="continue"/>
            <w:vAlign w:val="center"/>
          </w:tcPr>
          <w:p w14:paraId="00F8F3BF">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28" w:type="pct"/>
            <w:vMerge w:val="continue"/>
            <w:vAlign w:val="center"/>
          </w:tcPr>
          <w:p w14:paraId="47A235F6">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582" w:type="pct"/>
            <w:vMerge w:val="continue"/>
            <w:vAlign w:val="center"/>
          </w:tcPr>
          <w:p w14:paraId="0C7AD6DB">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639" w:type="pct"/>
            <w:vMerge w:val="continue"/>
            <w:vAlign w:val="center"/>
          </w:tcPr>
          <w:p w14:paraId="0F4494C8">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387" w:type="pct"/>
            <w:vMerge w:val="continue"/>
            <w:vAlign w:val="center"/>
          </w:tcPr>
          <w:p w14:paraId="7992B363">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c>
          <w:tcPr>
            <w:tcW w:w="892" w:type="pct"/>
            <w:vAlign w:val="center"/>
          </w:tcPr>
          <w:p w14:paraId="198808DE">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r>
              <w:rPr>
                <w:rFonts w:hint="default" w:ascii="Times New Roman" w:hAnsi="Times New Roman" w:eastAsia="宋体" w:cs="Times New Roman"/>
                <w:kern w:val="0"/>
                <w:sz w:val="21"/>
                <w:u w:val="single"/>
                <w:lang w:eastAsia="zh-CN"/>
              </w:rPr>
              <w:t>二甲苯 3%</w:t>
            </w:r>
          </w:p>
        </w:tc>
        <w:tc>
          <w:tcPr>
            <w:tcW w:w="699" w:type="pct"/>
            <w:vAlign w:val="center"/>
          </w:tcPr>
          <w:p w14:paraId="02F4008C">
            <w:pPr>
              <w:autoSpaceDE w:val="0"/>
              <w:autoSpaceDN w:val="0"/>
              <w:adjustRightInd w:val="0"/>
              <w:snapToGrid w:val="0"/>
              <w:jc w:val="center"/>
              <w:rPr>
                <w:rFonts w:hint="default" w:ascii="Times New Roman" w:hAnsi="Times New Roman" w:eastAsia="宋体" w:cs="Times New Roman"/>
                <w:kern w:val="0"/>
                <w:sz w:val="22"/>
                <w:u w:val="single"/>
                <w:lang w:eastAsia="en-US"/>
              </w:rPr>
            </w:pPr>
            <w:r>
              <w:rPr>
                <w:rFonts w:hint="default" w:ascii="Times New Roman" w:hAnsi="Times New Roman" w:eastAsia="宋体" w:cs="Times New Roman"/>
                <w:kern w:val="0"/>
                <w:sz w:val="21"/>
                <w:u w:val="single"/>
                <w:lang w:eastAsia="zh-CN"/>
              </w:rPr>
              <w:t>0.045</w:t>
            </w:r>
          </w:p>
        </w:tc>
      </w:tr>
      <w:tr w14:paraId="7F700ED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73" w:hRule="atLeast"/>
        </w:trPr>
        <w:tc>
          <w:tcPr>
            <w:tcW w:w="868" w:type="pct"/>
            <w:gridSpan w:val="2"/>
            <w:vAlign w:val="center"/>
          </w:tcPr>
          <w:p w14:paraId="1D975D8A">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合计</w:t>
            </w:r>
          </w:p>
        </w:tc>
        <w:tc>
          <w:tcPr>
            <w:tcW w:w="405" w:type="pct"/>
            <w:vAlign w:val="center"/>
          </w:tcPr>
          <w:p w14:paraId="15335D28">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40t/a</w:t>
            </w:r>
          </w:p>
        </w:tc>
        <w:tc>
          <w:tcPr>
            <w:tcW w:w="528" w:type="pct"/>
            <w:vAlign w:val="center"/>
          </w:tcPr>
          <w:p w14:paraId="1E7FC568">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w:t>
            </w:r>
          </w:p>
        </w:tc>
        <w:tc>
          <w:tcPr>
            <w:tcW w:w="582" w:type="pct"/>
            <w:vAlign w:val="center"/>
          </w:tcPr>
          <w:p w14:paraId="0119C0E9">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w:t>
            </w:r>
          </w:p>
        </w:tc>
        <w:tc>
          <w:tcPr>
            <w:tcW w:w="639" w:type="pct"/>
            <w:vAlign w:val="center"/>
          </w:tcPr>
          <w:p w14:paraId="44B813FE">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32.4t/a</w:t>
            </w:r>
          </w:p>
        </w:tc>
        <w:tc>
          <w:tcPr>
            <w:tcW w:w="387" w:type="pct"/>
            <w:vAlign w:val="center"/>
          </w:tcPr>
          <w:p w14:paraId="66BBE690">
            <w:pPr>
              <w:pStyle w:val="60"/>
              <w:adjustRightInd w:val="0"/>
              <w:snapToGrid w:val="0"/>
              <w:rPr>
                <w:rFonts w:hint="default" w:ascii="Times New Roman" w:hAnsi="Times New Roman" w:eastAsia="宋体" w:cs="Times New Roman"/>
                <w:b/>
                <w:bCs/>
                <w:sz w:val="21"/>
                <w:u w:val="single"/>
                <w:lang w:eastAsia="zh-CN"/>
              </w:rPr>
            </w:pPr>
            <w:r>
              <w:rPr>
                <w:rFonts w:hint="default" w:ascii="Times New Roman" w:hAnsi="Times New Roman" w:eastAsia="宋体" w:cs="Times New Roman"/>
                <w:b/>
                <w:bCs/>
                <w:sz w:val="21"/>
                <w:u w:val="single"/>
                <w:lang w:eastAsia="zh-CN"/>
              </w:rPr>
              <w:t>/</w:t>
            </w:r>
          </w:p>
        </w:tc>
        <w:tc>
          <w:tcPr>
            <w:tcW w:w="892" w:type="pct"/>
            <w:vAlign w:val="center"/>
          </w:tcPr>
          <w:p w14:paraId="401BF3CE">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zh-CN"/>
              </w:rPr>
              <w:t>/</w:t>
            </w:r>
          </w:p>
        </w:tc>
        <w:tc>
          <w:tcPr>
            <w:tcW w:w="699" w:type="pct"/>
            <w:vAlign w:val="center"/>
          </w:tcPr>
          <w:p w14:paraId="27549D20">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32.4</w:t>
            </w:r>
          </w:p>
        </w:tc>
      </w:tr>
    </w:tbl>
    <w:p w14:paraId="0F64DA69">
      <w:pPr>
        <w:pStyle w:val="48"/>
        <w:keepNext w:val="0"/>
        <w:keepLines w:val="0"/>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由上表统计可知，项目</w:t>
      </w:r>
      <w:r>
        <w:rPr>
          <w:rFonts w:hint="default" w:ascii="Times New Roman" w:hAnsi="Times New Roman" w:eastAsia="宋体" w:cs="Times New Roman"/>
          <w:sz w:val="24"/>
          <w:szCs w:val="21"/>
          <w:u w:val="single"/>
          <w:lang w:eastAsia="zh-CN"/>
        </w:rPr>
        <w:t>中</w:t>
      </w:r>
      <w:r>
        <w:rPr>
          <w:rFonts w:hint="default" w:ascii="Times New Roman" w:hAnsi="Times New Roman" w:eastAsia="宋体" w:cs="Times New Roman"/>
          <w:sz w:val="24"/>
          <w:szCs w:val="21"/>
          <w:u w:val="single"/>
        </w:rPr>
        <w:t>残留物挥发VOCs的总产生量为32.4t/a，其中苯0.972t/a、甲苯0.972t/a、二甲苯0.972t/a。</w:t>
      </w:r>
    </w:p>
    <w:p w14:paraId="535AE719">
      <w:pPr>
        <w:keepNext w:val="0"/>
        <w:keepLines w:val="0"/>
        <w:pageBreakBefore w:val="0"/>
        <w:widowControl w:val="0"/>
        <w:tabs>
          <w:tab w:val="left" w:pos="1021"/>
        </w:tabs>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4"/>
          <w:u w:val="single"/>
          <w:lang w:val="en-US" w:eastAsia="zh-CN"/>
        </w:rPr>
        <w:t>本项目</w:t>
      </w:r>
      <w:r>
        <w:rPr>
          <w:rFonts w:hint="default" w:ascii="Times New Roman" w:hAnsi="Times New Roman" w:eastAsia="宋体" w:cs="Times New Roman"/>
          <w:sz w:val="24"/>
          <w:szCs w:val="24"/>
          <w:u w:val="single"/>
        </w:rPr>
        <w:t>扩建部分危险废物进场</w:t>
      </w:r>
      <w:r>
        <w:rPr>
          <w:rFonts w:hint="default" w:ascii="Times New Roman" w:hAnsi="Times New Roman" w:eastAsia="宋体" w:cs="Times New Roman"/>
          <w:sz w:val="24"/>
          <w:szCs w:val="24"/>
          <w:u w:val="single"/>
          <w:lang w:val="en-US" w:eastAsia="zh-CN"/>
        </w:rPr>
        <w:t>卸料、</w:t>
      </w:r>
      <w:r>
        <w:rPr>
          <w:rFonts w:hint="default" w:ascii="Times New Roman" w:hAnsi="Times New Roman" w:eastAsia="宋体" w:cs="Times New Roman"/>
          <w:sz w:val="24"/>
          <w:szCs w:val="24"/>
          <w:u w:val="single"/>
        </w:rPr>
        <w:t>分拣、预处理、暂存</w:t>
      </w:r>
      <w:r>
        <w:rPr>
          <w:rFonts w:hint="default" w:ascii="Times New Roman" w:hAnsi="Times New Roman" w:eastAsia="宋体" w:cs="Times New Roman"/>
          <w:sz w:val="24"/>
          <w:szCs w:val="24"/>
          <w:u w:val="single"/>
          <w:lang w:val="en-US" w:eastAsia="zh-CN"/>
        </w:rPr>
        <w:t>均在危险危废综合处置车间（A#栋）的危险废物再生利用区内进行。</w:t>
      </w:r>
      <w:r>
        <w:rPr>
          <w:rFonts w:hint="default" w:ascii="Times New Roman" w:hAnsi="Times New Roman" w:eastAsia="宋体" w:cs="Times New Roman"/>
          <w:sz w:val="24"/>
          <w:szCs w:val="21"/>
          <w:u w:val="single"/>
        </w:rPr>
        <w:t>本项目拟将</w:t>
      </w:r>
      <w:r>
        <w:rPr>
          <w:rFonts w:hint="default" w:ascii="Times New Roman" w:hAnsi="Times New Roman" w:eastAsia="宋体" w:cs="Times New Roman"/>
          <w:sz w:val="24"/>
          <w:szCs w:val="24"/>
          <w:u w:val="single"/>
          <w:lang w:val="en-US" w:eastAsia="zh-CN"/>
        </w:rPr>
        <w:t>危险废物再生利用区的</w:t>
      </w:r>
      <w:r>
        <w:rPr>
          <w:rFonts w:hint="default" w:ascii="Times New Roman" w:hAnsi="Times New Roman" w:eastAsia="宋体" w:cs="Times New Roman"/>
          <w:sz w:val="24"/>
          <w:szCs w:val="21"/>
          <w:u w:val="single"/>
        </w:rPr>
        <w:t>危险废物的</w:t>
      </w:r>
      <w:r>
        <w:rPr>
          <w:rFonts w:hint="default" w:ascii="Times New Roman" w:hAnsi="Times New Roman" w:eastAsia="宋体" w:cs="Times New Roman"/>
          <w:sz w:val="24"/>
          <w:szCs w:val="21"/>
          <w:u w:val="single"/>
          <w:lang w:val="en-US" w:eastAsia="zh-CN"/>
        </w:rPr>
        <w:t>贮存区、</w:t>
      </w:r>
      <w:r>
        <w:rPr>
          <w:rFonts w:hint="default" w:ascii="Times New Roman" w:hAnsi="Times New Roman" w:eastAsia="宋体" w:cs="Times New Roman"/>
          <w:sz w:val="24"/>
          <w:szCs w:val="21"/>
          <w:u w:val="single"/>
        </w:rPr>
        <w:t>预处理区（倒残液区）</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进料区（含输送带）</w:t>
      </w:r>
      <w:r>
        <w:rPr>
          <w:rFonts w:hint="default" w:ascii="Times New Roman" w:hAnsi="Times New Roman" w:eastAsia="宋体" w:cs="Times New Roman"/>
          <w:sz w:val="24"/>
          <w:szCs w:val="21"/>
          <w:u w:val="single"/>
        </w:rPr>
        <w:t>、综合利用区（布设3条生产线）</w:t>
      </w:r>
      <w:r>
        <w:rPr>
          <w:rFonts w:hint="default" w:ascii="Times New Roman" w:hAnsi="Times New Roman" w:eastAsia="宋体" w:cs="Times New Roman"/>
          <w:sz w:val="24"/>
          <w:szCs w:val="21"/>
          <w:u w:val="single"/>
          <w:lang w:val="en-US" w:eastAsia="zh-CN"/>
        </w:rPr>
        <w:t>合围连通的区域全部进行密闭并配套风机进行负压抽吸，对产生的废气进行收集</w:t>
      </w: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其中3条生产线封闭并利用自带的废气收集管道收集废气，</w:t>
      </w:r>
      <w:r>
        <w:rPr>
          <w:rFonts w:hint="default" w:ascii="Times New Roman" w:hAnsi="Times New Roman" w:eastAsia="宋体" w:cs="Times New Roman"/>
          <w:sz w:val="24"/>
          <w:szCs w:val="21"/>
          <w:u w:val="single"/>
        </w:rPr>
        <w:t>将上述区域产生的VOCs收集后</w:t>
      </w:r>
      <w:r>
        <w:rPr>
          <w:rFonts w:hint="default" w:ascii="Times New Roman" w:hAnsi="Times New Roman" w:eastAsia="宋体" w:cs="Times New Roman"/>
          <w:sz w:val="24"/>
          <w:szCs w:val="21"/>
          <w:u w:val="single"/>
          <w:lang w:val="en-US" w:eastAsia="zh-CN"/>
        </w:rPr>
        <w:t>汇入车间的废气收集主管道</w:t>
      </w:r>
      <w:r>
        <w:rPr>
          <w:rFonts w:hint="default" w:ascii="Times New Roman" w:hAnsi="Times New Roman" w:eastAsia="宋体" w:cs="Times New Roman"/>
          <w:sz w:val="24"/>
          <w:szCs w:val="21"/>
          <w:u w:val="single"/>
        </w:rPr>
        <w:t>，引入一套RCO催化燃烧装置处理后通过15m高排气筒（DA001）排放。</w:t>
      </w:r>
    </w:p>
    <w:p w14:paraId="21425660">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由上表可知，废塑料包装容器、废金属包装容器及废金属机油滤芯在去残、残液暂存、原料暂存以及综合利用过程中VOCs产生量约为32.4t/a（项目距年运行330天，2班制，每班8h，年运行5280h），则产生速率为6.14kg/h。采用负压抽风收集（集气风量</w:t>
      </w:r>
      <w:r>
        <w:rPr>
          <w:rFonts w:hint="default" w:ascii="Times New Roman" w:hAnsi="Times New Roman" w:eastAsia="宋体" w:cs="Times New Roman"/>
          <w:sz w:val="24"/>
          <w:szCs w:val="21"/>
          <w:u w:val="single"/>
          <w:lang w:val="en-US" w:eastAsia="zh-CN"/>
        </w:rPr>
        <w:t>2</w:t>
      </w:r>
      <w:r>
        <w:rPr>
          <w:rFonts w:hint="default" w:ascii="Times New Roman" w:hAnsi="Times New Roman" w:eastAsia="宋体" w:cs="Times New Roman"/>
          <w:sz w:val="24"/>
          <w:szCs w:val="21"/>
          <w:u w:val="single"/>
        </w:rPr>
        <w:t>0000m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/h，收集效率计为95%</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换气次数60次/h</w:t>
      </w:r>
      <w:r>
        <w:rPr>
          <w:rFonts w:hint="default" w:ascii="Times New Roman" w:hAnsi="Times New Roman" w:eastAsia="宋体" w:cs="Times New Roman"/>
          <w:sz w:val="24"/>
          <w:szCs w:val="21"/>
          <w:u w:val="single"/>
        </w:rPr>
        <w:t>），收集后由一套RCO催化燃烧装置（处理效率计95%</w:t>
      </w:r>
      <w:r>
        <w:rPr>
          <w:rFonts w:hint="default" w:ascii="Times New Roman" w:hAnsi="Times New Roman" w:eastAsia="宋体" w:cs="Times New Roman"/>
          <w:sz w:val="24"/>
          <w:szCs w:val="21"/>
          <w:u w:val="single"/>
          <w:lang w:eastAsia="zh-CN"/>
        </w:rPr>
        <w:t>，RCO之前需加装强制冷凝装置用于去除废气中的水雾</w:t>
      </w:r>
      <w:r>
        <w:rPr>
          <w:rFonts w:hint="default" w:ascii="Times New Roman" w:hAnsi="Times New Roman" w:eastAsia="宋体" w:cs="Times New Roman"/>
          <w:sz w:val="24"/>
          <w:szCs w:val="21"/>
          <w:u w:val="single"/>
        </w:rPr>
        <w:t>）处理，最后通过15m高排气筒（DA001）排放，则项目危险废物综合利用区的VOCs有组织排放量为1.54t/a（0.29kg/h），排放浓度为4.9mg/m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，其中苯、甲苯和二甲苯的有组织排放量均为0.0462t/a（0.0087kg/h）、排放浓度均为0.15mg/m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w:t>
      </w:r>
    </w:p>
    <w:p w14:paraId="1D9FC1EC">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VOCs无组织排放量为1.62t/a（0.31kg/h），其中苯、甲苯和二甲苯的无组织排放量均为0.0486t/a（0.0093kg/h）。</w:t>
      </w:r>
    </w:p>
    <w:p w14:paraId="0B4067D2">
      <w:pPr>
        <w:pStyle w:val="48"/>
        <w:spacing w:before="0" w:line="360" w:lineRule="auto"/>
        <w:ind w:firstLine="482"/>
        <w:rPr>
          <w:rFonts w:hint="default" w:ascii="Times New Roman" w:hAnsi="Times New Roman" w:eastAsia="宋体" w:cs="Times New Roman"/>
          <w:b/>
          <w:bCs/>
          <w:sz w:val="24"/>
          <w:szCs w:val="21"/>
          <w:u w:val="single"/>
        </w:rPr>
      </w:pPr>
      <w:r>
        <w:rPr>
          <w:rFonts w:hint="default" w:ascii="Times New Roman" w:hAnsi="Times New Roman" w:eastAsia="宋体" w:cs="Times New Roman"/>
          <w:b/>
          <w:bCs/>
          <w:sz w:val="24"/>
          <w:szCs w:val="21"/>
          <w:u w:val="single"/>
        </w:rPr>
        <w:t>②污水处理站恶臭</w:t>
      </w:r>
    </w:p>
    <w:p w14:paraId="3F5FFDA7">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污水处理设施的异味主要是恶臭，恶臭是大气、水、固体废弃物中的异味通过空气介质，作用于人的嗅觉思维被感知的一种感觉污染。废水处理设施的恶臭来源于厌氧处理单元（厌氧处理单元面积约120m</w:t>
      </w:r>
      <w:r>
        <w:rPr>
          <w:rFonts w:hint="default" w:ascii="Times New Roman" w:hAnsi="Times New Roman" w:eastAsia="宋体" w:cs="Times New Roman"/>
          <w:sz w:val="24"/>
          <w:szCs w:val="21"/>
          <w:u w:val="single"/>
          <w:vertAlign w:val="superscript"/>
        </w:rPr>
        <w:t>2</w:t>
      </w:r>
      <w:r>
        <w:rPr>
          <w:rFonts w:hint="default" w:ascii="Times New Roman" w:hAnsi="Times New Roman" w:eastAsia="宋体" w:cs="Times New Roman"/>
          <w:sz w:val="24"/>
          <w:szCs w:val="21"/>
          <w:u w:val="single"/>
        </w:rPr>
        <w:t>）污水、污泥中有机物的分解、发酵过程中散发的化学物质，主要种类有硫化物、氨气</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臭气浓度</w:t>
      </w:r>
      <w:r>
        <w:rPr>
          <w:rFonts w:hint="default" w:ascii="Times New Roman" w:hAnsi="Times New Roman" w:eastAsia="宋体" w:cs="Times New Roman"/>
          <w:sz w:val="24"/>
          <w:szCs w:val="21"/>
          <w:u w:val="single"/>
        </w:rPr>
        <w:t>等。本评价采用</w:t>
      </w:r>
      <w:r>
        <w:rPr>
          <w:rFonts w:hint="default" w:ascii="Times New Roman" w:hAnsi="Times New Roman" w:eastAsia="宋体" w:cs="Times New Roman"/>
          <w:sz w:val="24"/>
          <w:szCs w:val="21"/>
          <w:u w:val="single"/>
          <w:lang w:val="en-US" w:eastAsia="zh-CN"/>
        </w:rPr>
        <w:t>类比同类型项目的方法</w:t>
      </w:r>
      <w:r>
        <w:rPr>
          <w:rFonts w:hint="default" w:ascii="Times New Roman" w:hAnsi="Times New Roman" w:eastAsia="宋体" w:cs="Times New Roman"/>
          <w:sz w:val="24"/>
          <w:szCs w:val="21"/>
          <w:u w:val="single"/>
        </w:rPr>
        <w:t>确定污水处理站的恶臭产生源强，详见表5.5-</w:t>
      </w:r>
      <w:r>
        <w:rPr>
          <w:rFonts w:hint="default" w:ascii="Times New Roman" w:hAnsi="Times New Roman" w:eastAsia="宋体" w:cs="Times New Roman"/>
          <w:sz w:val="24"/>
          <w:szCs w:val="21"/>
          <w:u w:val="single"/>
          <w:lang w:val="en-US" w:eastAsia="zh-CN"/>
        </w:rPr>
        <w:t>7</w:t>
      </w:r>
      <w:r>
        <w:rPr>
          <w:rFonts w:hint="default" w:ascii="Times New Roman" w:hAnsi="Times New Roman" w:eastAsia="宋体" w:cs="Times New Roman"/>
          <w:sz w:val="24"/>
          <w:szCs w:val="21"/>
          <w:u w:val="single"/>
        </w:rPr>
        <w:t>。</w:t>
      </w:r>
    </w:p>
    <w:p w14:paraId="344A0892">
      <w:pPr>
        <w:pStyle w:val="48"/>
        <w:spacing w:before="0" w:line="360" w:lineRule="auto"/>
        <w:ind w:firstLine="0" w:firstLineChars="0"/>
        <w:jc w:val="center"/>
        <w:rPr>
          <w:rFonts w:hint="default" w:ascii="Times New Roman" w:hAnsi="Times New Roman" w:eastAsia="宋体" w:cs="Times New Roman"/>
          <w:b/>
          <w:bCs/>
          <w:sz w:val="21"/>
          <w:szCs w:val="18"/>
          <w:u w:val="single"/>
        </w:rPr>
      </w:pPr>
      <w:r>
        <w:rPr>
          <w:rFonts w:hint="default" w:ascii="Times New Roman" w:hAnsi="Times New Roman" w:eastAsia="宋体" w:cs="Times New Roman"/>
          <w:b/>
          <w:bCs/>
          <w:sz w:val="21"/>
          <w:szCs w:val="18"/>
          <w:u w:val="single"/>
        </w:rPr>
        <w:t>表5.5-</w:t>
      </w:r>
      <w:r>
        <w:rPr>
          <w:rFonts w:hint="default" w:ascii="Times New Roman" w:hAnsi="Times New Roman" w:eastAsia="宋体" w:cs="Times New Roman"/>
          <w:b/>
          <w:bCs/>
          <w:sz w:val="21"/>
          <w:szCs w:val="18"/>
          <w:u w:val="single"/>
          <w:lang w:val="en-US" w:eastAsia="zh-CN"/>
        </w:rPr>
        <w:t xml:space="preserve">7 </w:t>
      </w:r>
      <w:r>
        <w:rPr>
          <w:rFonts w:hint="default" w:ascii="Times New Roman" w:hAnsi="Times New Roman" w:eastAsia="宋体" w:cs="Times New Roman"/>
          <w:b/>
          <w:bCs/>
          <w:sz w:val="21"/>
          <w:szCs w:val="18"/>
          <w:u w:val="single"/>
        </w:rPr>
        <w:t xml:space="preserve"> 本项目污水处理站源强产生情况</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54"/>
        <w:gridCol w:w="1192"/>
        <w:gridCol w:w="1185"/>
        <w:gridCol w:w="1192"/>
        <w:gridCol w:w="947"/>
        <w:gridCol w:w="952"/>
        <w:gridCol w:w="827"/>
        <w:gridCol w:w="887"/>
      </w:tblGrid>
      <w:tr w14:paraId="1BA4948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2" w:hRule="atLeast"/>
        </w:trPr>
        <w:tc>
          <w:tcPr>
            <w:tcW w:w="692" w:type="pct"/>
            <w:vMerge w:val="restart"/>
            <w:tcBorders>
              <w:bottom w:val="single" w:color="000000" w:sz="4" w:space="0"/>
              <w:right w:val="single" w:color="000000" w:sz="4" w:space="0"/>
            </w:tcBorders>
            <w:vAlign w:val="center"/>
          </w:tcPr>
          <w:p w14:paraId="79BB84B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排放源</w:t>
            </w:r>
          </w:p>
        </w:tc>
        <w:tc>
          <w:tcPr>
            <w:tcW w:w="715" w:type="pct"/>
            <w:vMerge w:val="restart"/>
            <w:tcBorders>
              <w:left w:val="single" w:color="000000" w:sz="4" w:space="0"/>
              <w:bottom w:val="single" w:color="000000" w:sz="4" w:space="0"/>
              <w:right w:val="single" w:color="000000" w:sz="4" w:space="0"/>
            </w:tcBorders>
            <w:vAlign w:val="center"/>
          </w:tcPr>
          <w:p w14:paraId="48E23ED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面积（m</w:t>
            </w:r>
            <w:r>
              <w:rPr>
                <w:rFonts w:hint="default" w:ascii="Times New Roman" w:hAnsi="Times New Roman" w:eastAsia="宋体" w:cs="Times New Roman"/>
                <w:sz w:val="21"/>
                <w:u w:val="single"/>
                <w:vertAlign w:val="superscript"/>
                <w:lang w:eastAsia="en-US"/>
              </w:rPr>
              <w:t>2</w:t>
            </w:r>
            <w:r>
              <w:rPr>
                <w:rFonts w:hint="default" w:ascii="Times New Roman" w:hAnsi="Times New Roman" w:eastAsia="宋体" w:cs="Times New Roman"/>
                <w:sz w:val="21"/>
                <w:u w:val="single"/>
                <w:lang w:eastAsia="en-US"/>
              </w:rPr>
              <w:t>）</w:t>
            </w:r>
          </w:p>
        </w:tc>
        <w:tc>
          <w:tcPr>
            <w:tcW w:w="1426" w:type="pct"/>
            <w:gridSpan w:val="2"/>
            <w:tcBorders>
              <w:left w:val="single" w:color="000000" w:sz="4" w:space="0"/>
              <w:bottom w:val="single" w:color="000000" w:sz="4" w:space="0"/>
              <w:right w:val="single" w:color="000000" w:sz="4" w:space="0"/>
            </w:tcBorders>
            <w:vAlign w:val="center"/>
          </w:tcPr>
          <w:p w14:paraId="320A6B67">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污染物单位面积排放系数</w:t>
            </w:r>
          </w:p>
          <w:p w14:paraId="728FF269">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（mg/m</w:t>
            </w:r>
            <w:r>
              <w:rPr>
                <w:rFonts w:hint="default" w:ascii="Times New Roman" w:hAnsi="Times New Roman" w:eastAsia="宋体" w:cs="Times New Roman"/>
                <w:sz w:val="21"/>
                <w:u w:val="single"/>
                <w:vertAlign w:val="superscript"/>
                <w:lang w:eastAsia="en-US"/>
              </w:rPr>
              <w:t>2</w:t>
            </w:r>
            <w:r>
              <w:rPr>
                <w:rFonts w:hint="default" w:ascii="Times New Roman" w:hAnsi="Times New Roman" w:eastAsia="宋体" w:cs="Times New Roman"/>
                <w:sz w:val="21"/>
                <w:u w:val="single"/>
                <w:lang w:eastAsia="en-US"/>
              </w:rPr>
              <w:t>·s ）</w:t>
            </w:r>
          </w:p>
        </w:tc>
        <w:tc>
          <w:tcPr>
            <w:tcW w:w="1139" w:type="pct"/>
            <w:gridSpan w:val="2"/>
            <w:tcBorders>
              <w:left w:val="single" w:color="000000" w:sz="4" w:space="0"/>
              <w:bottom w:val="single" w:color="000000" w:sz="4" w:space="0"/>
              <w:right w:val="single" w:color="000000" w:sz="4" w:space="0"/>
            </w:tcBorders>
            <w:vAlign w:val="center"/>
          </w:tcPr>
          <w:p w14:paraId="7DB5D91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产生量（kg/h）</w:t>
            </w:r>
          </w:p>
        </w:tc>
        <w:tc>
          <w:tcPr>
            <w:tcW w:w="1028" w:type="pct"/>
            <w:gridSpan w:val="2"/>
            <w:tcBorders>
              <w:left w:val="single" w:color="000000" w:sz="4" w:space="0"/>
              <w:bottom w:val="single" w:color="000000" w:sz="4" w:space="0"/>
            </w:tcBorders>
            <w:vAlign w:val="center"/>
          </w:tcPr>
          <w:p w14:paraId="7A73F93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产生量（t/a）</w:t>
            </w:r>
          </w:p>
        </w:tc>
      </w:tr>
      <w:tr w14:paraId="1C7B978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8" w:hRule="atLeast"/>
        </w:trPr>
        <w:tc>
          <w:tcPr>
            <w:tcW w:w="692" w:type="pct"/>
            <w:vMerge w:val="continue"/>
            <w:tcBorders>
              <w:top w:val="nil"/>
              <w:bottom w:val="single" w:color="000000" w:sz="4" w:space="0"/>
              <w:right w:val="single" w:color="000000" w:sz="4" w:space="0"/>
            </w:tcBorders>
            <w:vAlign w:val="center"/>
          </w:tcPr>
          <w:p w14:paraId="638DBCBB">
            <w:pPr>
              <w:autoSpaceDE w:val="0"/>
              <w:autoSpaceDN w:val="0"/>
              <w:jc w:val="center"/>
              <w:rPr>
                <w:rFonts w:hint="default" w:ascii="Times New Roman" w:hAnsi="Times New Roman" w:eastAsia="宋体" w:cs="Times New Roman"/>
                <w:kern w:val="0"/>
                <w:sz w:val="2"/>
                <w:szCs w:val="2"/>
                <w:u w:val="single"/>
                <w:lang w:eastAsia="en-US"/>
              </w:rPr>
            </w:pPr>
          </w:p>
        </w:tc>
        <w:tc>
          <w:tcPr>
            <w:tcW w:w="715" w:type="pct"/>
            <w:vMerge w:val="continue"/>
            <w:tcBorders>
              <w:top w:val="nil"/>
              <w:left w:val="single" w:color="000000" w:sz="4" w:space="0"/>
              <w:bottom w:val="single" w:color="000000" w:sz="4" w:space="0"/>
              <w:right w:val="single" w:color="000000" w:sz="4" w:space="0"/>
            </w:tcBorders>
            <w:vAlign w:val="center"/>
          </w:tcPr>
          <w:p w14:paraId="5E454A39">
            <w:pPr>
              <w:autoSpaceDE w:val="0"/>
              <w:autoSpaceDN w:val="0"/>
              <w:jc w:val="center"/>
              <w:rPr>
                <w:rFonts w:hint="default" w:ascii="Times New Roman" w:hAnsi="Times New Roman" w:eastAsia="宋体" w:cs="Times New Roman"/>
                <w:kern w:val="0"/>
                <w:sz w:val="2"/>
                <w:szCs w:val="2"/>
                <w:u w:val="single"/>
                <w:lang w:eastAsia="en-US"/>
              </w:rPr>
            </w:pPr>
          </w:p>
        </w:tc>
        <w:tc>
          <w:tcPr>
            <w:tcW w:w="711" w:type="pct"/>
            <w:tcBorders>
              <w:top w:val="single" w:color="000000" w:sz="4" w:space="0"/>
              <w:left w:val="single" w:color="000000" w:sz="4" w:space="0"/>
              <w:bottom w:val="single" w:color="000000" w:sz="4" w:space="0"/>
              <w:right w:val="single" w:color="000000" w:sz="4" w:space="0"/>
            </w:tcBorders>
            <w:vAlign w:val="center"/>
          </w:tcPr>
          <w:p w14:paraId="7BB353A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NH</w:t>
            </w:r>
            <w:r>
              <w:rPr>
                <w:rFonts w:hint="default" w:ascii="Times New Roman" w:hAnsi="Times New Roman" w:eastAsia="宋体" w:cs="Times New Roman"/>
                <w:sz w:val="21"/>
                <w:u w:val="single"/>
                <w:vertAlign w:val="subscript"/>
                <w:lang w:eastAsia="en-US"/>
              </w:rPr>
              <w:t>3</w:t>
            </w:r>
          </w:p>
        </w:tc>
        <w:tc>
          <w:tcPr>
            <w:tcW w:w="715" w:type="pct"/>
            <w:tcBorders>
              <w:top w:val="single" w:color="000000" w:sz="4" w:space="0"/>
              <w:left w:val="single" w:color="000000" w:sz="4" w:space="0"/>
              <w:bottom w:val="single" w:color="000000" w:sz="4" w:space="0"/>
              <w:right w:val="single" w:color="000000" w:sz="4" w:space="0"/>
            </w:tcBorders>
            <w:vAlign w:val="center"/>
          </w:tcPr>
          <w:p w14:paraId="5B51EC2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t>
            </w:r>
            <w:r>
              <w:rPr>
                <w:rFonts w:hint="default" w:ascii="Times New Roman" w:hAnsi="Times New Roman" w:eastAsia="宋体" w:cs="Times New Roman"/>
                <w:sz w:val="21"/>
                <w:u w:val="single"/>
                <w:vertAlign w:val="subscript"/>
                <w:lang w:eastAsia="en-US"/>
              </w:rPr>
              <w:t>2</w:t>
            </w:r>
            <w:r>
              <w:rPr>
                <w:rFonts w:hint="default" w:ascii="Times New Roman" w:hAnsi="Times New Roman" w:eastAsia="宋体" w:cs="Times New Roman"/>
                <w:sz w:val="21"/>
                <w:u w:val="single"/>
                <w:lang w:eastAsia="en-US"/>
              </w:rPr>
              <w:t>S</w:t>
            </w:r>
          </w:p>
        </w:tc>
        <w:tc>
          <w:tcPr>
            <w:tcW w:w="568" w:type="pct"/>
            <w:tcBorders>
              <w:top w:val="single" w:color="000000" w:sz="4" w:space="0"/>
              <w:left w:val="single" w:color="000000" w:sz="4" w:space="0"/>
              <w:bottom w:val="single" w:color="000000" w:sz="4" w:space="0"/>
              <w:right w:val="single" w:color="000000" w:sz="4" w:space="0"/>
            </w:tcBorders>
            <w:vAlign w:val="center"/>
          </w:tcPr>
          <w:p w14:paraId="2B3C5D47">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NH</w:t>
            </w:r>
            <w:r>
              <w:rPr>
                <w:rFonts w:hint="default" w:ascii="Times New Roman" w:hAnsi="Times New Roman" w:eastAsia="宋体" w:cs="Times New Roman"/>
                <w:sz w:val="21"/>
                <w:u w:val="single"/>
                <w:vertAlign w:val="subscript"/>
                <w:lang w:eastAsia="en-US"/>
              </w:rPr>
              <w:t>3</w:t>
            </w:r>
          </w:p>
        </w:tc>
        <w:tc>
          <w:tcPr>
            <w:tcW w:w="571" w:type="pct"/>
            <w:tcBorders>
              <w:top w:val="single" w:color="000000" w:sz="4" w:space="0"/>
              <w:left w:val="single" w:color="000000" w:sz="4" w:space="0"/>
              <w:bottom w:val="single" w:color="000000" w:sz="4" w:space="0"/>
              <w:right w:val="single" w:color="000000" w:sz="4" w:space="0"/>
            </w:tcBorders>
            <w:vAlign w:val="center"/>
          </w:tcPr>
          <w:p w14:paraId="2B895A9C">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t>
            </w:r>
            <w:r>
              <w:rPr>
                <w:rFonts w:hint="default" w:ascii="Times New Roman" w:hAnsi="Times New Roman" w:eastAsia="宋体" w:cs="Times New Roman"/>
                <w:sz w:val="21"/>
                <w:u w:val="single"/>
                <w:vertAlign w:val="subscript"/>
                <w:lang w:eastAsia="en-US"/>
              </w:rPr>
              <w:t>2</w:t>
            </w:r>
            <w:r>
              <w:rPr>
                <w:rFonts w:hint="default" w:ascii="Times New Roman" w:hAnsi="Times New Roman" w:eastAsia="宋体" w:cs="Times New Roman"/>
                <w:sz w:val="21"/>
                <w:u w:val="single"/>
                <w:lang w:eastAsia="en-US"/>
              </w:rPr>
              <w:t>S</w:t>
            </w:r>
          </w:p>
        </w:tc>
        <w:tc>
          <w:tcPr>
            <w:tcW w:w="496" w:type="pct"/>
            <w:tcBorders>
              <w:top w:val="single" w:color="000000" w:sz="4" w:space="0"/>
              <w:left w:val="single" w:color="000000" w:sz="4" w:space="0"/>
              <w:bottom w:val="single" w:color="000000" w:sz="4" w:space="0"/>
              <w:right w:val="single" w:color="000000" w:sz="4" w:space="0"/>
            </w:tcBorders>
            <w:vAlign w:val="center"/>
          </w:tcPr>
          <w:p w14:paraId="6A0DECE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NH</w:t>
            </w:r>
            <w:r>
              <w:rPr>
                <w:rFonts w:hint="default" w:ascii="Times New Roman" w:hAnsi="Times New Roman" w:eastAsia="宋体" w:cs="Times New Roman"/>
                <w:sz w:val="21"/>
                <w:u w:val="single"/>
                <w:vertAlign w:val="subscript"/>
                <w:lang w:eastAsia="en-US"/>
              </w:rPr>
              <w:t>3</w:t>
            </w:r>
          </w:p>
        </w:tc>
        <w:tc>
          <w:tcPr>
            <w:tcW w:w="532" w:type="pct"/>
            <w:tcBorders>
              <w:top w:val="single" w:color="000000" w:sz="4" w:space="0"/>
              <w:left w:val="single" w:color="000000" w:sz="4" w:space="0"/>
              <w:bottom w:val="single" w:color="000000" w:sz="4" w:space="0"/>
            </w:tcBorders>
            <w:vAlign w:val="center"/>
          </w:tcPr>
          <w:p w14:paraId="0C57937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t>
            </w:r>
            <w:r>
              <w:rPr>
                <w:rFonts w:hint="default" w:ascii="Times New Roman" w:hAnsi="Times New Roman" w:eastAsia="宋体" w:cs="Times New Roman"/>
                <w:sz w:val="21"/>
                <w:u w:val="single"/>
                <w:vertAlign w:val="subscript"/>
                <w:lang w:eastAsia="en-US"/>
              </w:rPr>
              <w:t>2</w:t>
            </w:r>
            <w:r>
              <w:rPr>
                <w:rFonts w:hint="default" w:ascii="Times New Roman" w:hAnsi="Times New Roman" w:eastAsia="宋体" w:cs="Times New Roman"/>
                <w:sz w:val="21"/>
                <w:u w:val="single"/>
                <w:lang w:eastAsia="en-US"/>
              </w:rPr>
              <w:t>S</w:t>
            </w:r>
          </w:p>
        </w:tc>
      </w:tr>
      <w:tr w14:paraId="5588945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692" w:type="pct"/>
            <w:tcBorders>
              <w:top w:val="single" w:color="000000" w:sz="4" w:space="0"/>
              <w:right w:val="single" w:color="000000" w:sz="4" w:space="0"/>
            </w:tcBorders>
            <w:vAlign w:val="center"/>
          </w:tcPr>
          <w:p w14:paraId="5FE17A6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污水处理站</w:t>
            </w:r>
          </w:p>
        </w:tc>
        <w:tc>
          <w:tcPr>
            <w:tcW w:w="715" w:type="pct"/>
            <w:tcBorders>
              <w:top w:val="single" w:color="000000" w:sz="4" w:space="0"/>
              <w:left w:val="single" w:color="000000" w:sz="4" w:space="0"/>
              <w:right w:val="single" w:color="000000" w:sz="4" w:space="0"/>
            </w:tcBorders>
            <w:vAlign w:val="center"/>
          </w:tcPr>
          <w:p w14:paraId="4E57E54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120</w:t>
            </w:r>
          </w:p>
        </w:tc>
        <w:tc>
          <w:tcPr>
            <w:tcW w:w="711" w:type="pct"/>
            <w:tcBorders>
              <w:top w:val="single" w:color="000000" w:sz="4" w:space="0"/>
              <w:left w:val="single" w:color="000000" w:sz="4" w:space="0"/>
              <w:right w:val="single" w:color="000000" w:sz="4" w:space="0"/>
            </w:tcBorders>
            <w:vAlign w:val="center"/>
          </w:tcPr>
          <w:p w14:paraId="4637E69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1.52E-02</w:t>
            </w:r>
          </w:p>
        </w:tc>
        <w:tc>
          <w:tcPr>
            <w:tcW w:w="715" w:type="pct"/>
            <w:tcBorders>
              <w:top w:val="single" w:color="000000" w:sz="4" w:space="0"/>
              <w:left w:val="single" w:color="000000" w:sz="4" w:space="0"/>
              <w:right w:val="single" w:color="000000" w:sz="4" w:space="0"/>
            </w:tcBorders>
            <w:vAlign w:val="center"/>
          </w:tcPr>
          <w:p w14:paraId="7DCCD44A">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4.60E-04</w:t>
            </w:r>
          </w:p>
        </w:tc>
        <w:tc>
          <w:tcPr>
            <w:tcW w:w="568" w:type="pct"/>
            <w:tcBorders>
              <w:top w:val="single" w:color="000000" w:sz="4" w:space="0"/>
              <w:left w:val="single" w:color="000000" w:sz="4" w:space="0"/>
              <w:right w:val="single" w:color="000000" w:sz="4" w:space="0"/>
            </w:tcBorders>
            <w:vAlign w:val="center"/>
          </w:tcPr>
          <w:p w14:paraId="4DCC363D">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0.0033</w:t>
            </w:r>
          </w:p>
        </w:tc>
        <w:tc>
          <w:tcPr>
            <w:tcW w:w="571" w:type="pct"/>
            <w:tcBorders>
              <w:top w:val="single" w:color="000000" w:sz="4" w:space="0"/>
              <w:left w:val="single" w:color="000000" w:sz="4" w:space="0"/>
              <w:right w:val="single" w:color="000000" w:sz="4" w:space="0"/>
            </w:tcBorders>
            <w:vAlign w:val="center"/>
          </w:tcPr>
          <w:p w14:paraId="7DC2E4CB">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0.00001</w:t>
            </w:r>
          </w:p>
        </w:tc>
        <w:tc>
          <w:tcPr>
            <w:tcW w:w="496" w:type="pct"/>
            <w:tcBorders>
              <w:top w:val="single" w:color="000000" w:sz="4" w:space="0"/>
              <w:left w:val="single" w:color="000000" w:sz="4" w:space="0"/>
              <w:right w:val="single" w:color="000000" w:sz="4" w:space="0"/>
            </w:tcBorders>
            <w:vAlign w:val="center"/>
          </w:tcPr>
          <w:p w14:paraId="2C552104">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0.0261</w:t>
            </w:r>
          </w:p>
        </w:tc>
        <w:tc>
          <w:tcPr>
            <w:tcW w:w="532" w:type="pct"/>
            <w:tcBorders>
              <w:top w:val="single" w:color="000000" w:sz="4" w:space="0"/>
              <w:left w:val="single" w:color="000000" w:sz="4" w:space="0"/>
            </w:tcBorders>
            <w:vAlign w:val="center"/>
          </w:tcPr>
          <w:p w14:paraId="475DD679">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0.00008</w:t>
            </w:r>
          </w:p>
        </w:tc>
      </w:tr>
    </w:tbl>
    <w:p w14:paraId="2E942F2E">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本项目污水处理设施主要构筑物均采用加盖</w:t>
      </w:r>
      <w:r>
        <w:rPr>
          <w:rFonts w:hint="default" w:ascii="Times New Roman" w:hAnsi="Times New Roman" w:eastAsia="宋体" w:cs="Times New Roman"/>
          <w:sz w:val="24"/>
          <w:szCs w:val="21"/>
          <w:u w:val="single"/>
          <w:lang w:val="en-US" w:eastAsia="zh-CN"/>
        </w:rPr>
        <w:t>密闭</w:t>
      </w:r>
      <w:r>
        <w:rPr>
          <w:rFonts w:hint="default" w:ascii="Times New Roman" w:hAnsi="Times New Roman" w:eastAsia="宋体" w:cs="Times New Roman"/>
          <w:sz w:val="24"/>
          <w:szCs w:val="21"/>
          <w:u w:val="single"/>
        </w:rPr>
        <w:t>处理，且污水处理站区为开放环境，项目污水处理站NH</w:t>
      </w:r>
      <w:r>
        <w:rPr>
          <w:rFonts w:hint="default" w:ascii="Times New Roman" w:hAnsi="Times New Roman" w:eastAsia="宋体" w:cs="Times New Roman"/>
          <w:sz w:val="24"/>
          <w:szCs w:val="21"/>
          <w:u w:val="single"/>
          <w:vertAlign w:val="subscript"/>
        </w:rPr>
        <w:t>3</w:t>
      </w:r>
      <w:r>
        <w:rPr>
          <w:rFonts w:hint="default" w:ascii="Times New Roman" w:hAnsi="Times New Roman" w:eastAsia="宋体" w:cs="Times New Roman"/>
          <w:sz w:val="24"/>
          <w:szCs w:val="21"/>
          <w:u w:val="single"/>
        </w:rPr>
        <w:t>的产生源强为0.0060kg/h（0.0238t/a），H</w:t>
      </w:r>
      <w:r>
        <w:rPr>
          <w:rFonts w:hint="default" w:ascii="Times New Roman" w:hAnsi="Times New Roman" w:eastAsia="宋体" w:cs="Times New Roman"/>
          <w:sz w:val="24"/>
          <w:szCs w:val="21"/>
          <w:u w:val="single"/>
          <w:vertAlign w:val="subscript"/>
        </w:rPr>
        <w:t>2</w:t>
      </w:r>
      <w:r>
        <w:rPr>
          <w:rFonts w:hint="default" w:ascii="Times New Roman" w:hAnsi="Times New Roman" w:eastAsia="宋体" w:cs="Times New Roman"/>
          <w:sz w:val="24"/>
          <w:szCs w:val="21"/>
          <w:u w:val="single"/>
        </w:rPr>
        <w:t>S的产生源强为0.00018kg/h（0.0007t/a）</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臭气浓度为15（无量纲）</w:t>
      </w:r>
      <w:r>
        <w:rPr>
          <w:rFonts w:hint="default" w:ascii="Times New Roman" w:hAnsi="Times New Roman" w:eastAsia="宋体" w:cs="Times New Roman"/>
          <w:sz w:val="24"/>
          <w:szCs w:val="21"/>
          <w:u w:val="single"/>
        </w:rPr>
        <w:t>，此部分恶臭气体产生量较少，拟直接以无组织形式排放。</w:t>
      </w:r>
    </w:p>
    <w:p w14:paraId="18683B60">
      <w:pPr>
        <w:pStyle w:val="48"/>
        <w:spacing w:before="0" w:line="360" w:lineRule="auto"/>
        <w:ind w:firstLine="482"/>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项目扩建部分的废气排放情况汇总见下表：</w:t>
      </w:r>
    </w:p>
    <w:p w14:paraId="700B8D4D">
      <w:pPr>
        <w:pStyle w:val="48"/>
        <w:spacing w:line="360" w:lineRule="auto"/>
        <w:rPr>
          <w:rFonts w:hint="default" w:ascii="Times New Roman" w:hAnsi="Times New Roman" w:eastAsia="宋体" w:cs="Times New Roman"/>
          <w:sz w:val="24"/>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204BB6CA">
      <w:pPr>
        <w:pStyle w:val="48"/>
        <w:spacing w:line="360" w:lineRule="auto"/>
        <w:ind w:firstLine="0" w:firstLineChars="0"/>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表5.5-</w:t>
      </w:r>
      <w:r>
        <w:rPr>
          <w:rFonts w:hint="default" w:ascii="Times New Roman" w:hAnsi="Times New Roman" w:eastAsia="宋体" w:cs="Times New Roman"/>
          <w:b/>
          <w:bCs/>
          <w:sz w:val="21"/>
          <w:szCs w:val="18"/>
          <w:lang w:val="en-US" w:eastAsia="zh-CN"/>
        </w:rPr>
        <w:t>8</w:t>
      </w:r>
      <w:r>
        <w:rPr>
          <w:rFonts w:hint="default" w:ascii="Times New Roman" w:hAnsi="Times New Roman" w:eastAsia="宋体" w:cs="Times New Roman"/>
          <w:b/>
          <w:bCs/>
          <w:sz w:val="21"/>
          <w:szCs w:val="18"/>
        </w:rPr>
        <w:t xml:space="preserve">  扩建部分的废气产排情况一览表</w:t>
      </w:r>
    </w:p>
    <w:tbl>
      <w:tblPr>
        <w:tblStyle w:val="59"/>
        <w:tblW w:w="5029"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861"/>
        <w:gridCol w:w="1878"/>
        <w:gridCol w:w="1151"/>
        <w:gridCol w:w="1019"/>
        <w:gridCol w:w="935"/>
        <w:gridCol w:w="1664"/>
        <w:gridCol w:w="1028"/>
        <w:gridCol w:w="859"/>
        <w:gridCol w:w="957"/>
        <w:gridCol w:w="1278"/>
        <w:gridCol w:w="729"/>
        <w:gridCol w:w="710"/>
      </w:tblGrid>
      <w:tr w14:paraId="3DE58ED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restart"/>
            <w:vAlign w:val="center"/>
          </w:tcPr>
          <w:p w14:paraId="0F06D37B">
            <w:pPr>
              <w:pStyle w:val="60"/>
              <w:adjustRightInd w:val="0"/>
              <w:snapToGrid w:val="0"/>
              <w:rPr>
                <w:rFonts w:hint="default" w:ascii="Times New Roman" w:hAnsi="Times New Roman" w:eastAsia="宋体" w:cs="Times New Roman"/>
                <w:b/>
                <w:bCs/>
                <w:sz w:val="21"/>
                <w:lang w:eastAsia="en-US"/>
              </w:rPr>
            </w:pPr>
            <w:bookmarkStart w:id="293" w:name="_Hlk129375827"/>
            <w:r>
              <w:rPr>
                <w:rFonts w:hint="default" w:ascii="Times New Roman" w:hAnsi="Times New Roman" w:eastAsia="宋体" w:cs="Times New Roman"/>
                <w:b/>
                <w:bCs/>
                <w:sz w:val="21"/>
                <w:lang w:eastAsia="zh-CN"/>
              </w:rPr>
              <w:t>产生位置</w:t>
            </w:r>
          </w:p>
        </w:tc>
        <w:tc>
          <w:tcPr>
            <w:tcW w:w="667" w:type="pct"/>
            <w:vMerge w:val="restart"/>
            <w:vAlign w:val="center"/>
          </w:tcPr>
          <w:p w14:paraId="228FE965">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产生工序</w:t>
            </w:r>
          </w:p>
        </w:tc>
        <w:tc>
          <w:tcPr>
            <w:tcW w:w="409" w:type="pct"/>
            <w:vMerge w:val="restart"/>
            <w:vAlign w:val="center"/>
          </w:tcPr>
          <w:p w14:paraId="430F92D4">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废气种类</w:t>
            </w:r>
          </w:p>
        </w:tc>
        <w:tc>
          <w:tcPr>
            <w:tcW w:w="694" w:type="pct"/>
            <w:gridSpan w:val="2"/>
            <w:vAlign w:val="center"/>
          </w:tcPr>
          <w:p w14:paraId="621B213F">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废气处理前</w:t>
            </w:r>
          </w:p>
        </w:tc>
        <w:tc>
          <w:tcPr>
            <w:tcW w:w="591" w:type="pct"/>
            <w:vMerge w:val="restart"/>
            <w:vAlign w:val="center"/>
          </w:tcPr>
          <w:p w14:paraId="6C6F7E38">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处理措施</w:t>
            </w:r>
          </w:p>
        </w:tc>
        <w:tc>
          <w:tcPr>
            <w:tcW w:w="365" w:type="pct"/>
            <w:vMerge w:val="restart"/>
            <w:vAlign w:val="center"/>
          </w:tcPr>
          <w:p w14:paraId="7F0DBA52">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zh-CN"/>
              </w:rPr>
              <w:t>集气</w:t>
            </w:r>
            <w:r>
              <w:rPr>
                <w:rFonts w:hint="default" w:ascii="Times New Roman" w:hAnsi="Times New Roman" w:eastAsia="宋体" w:cs="Times New Roman"/>
                <w:b/>
                <w:bCs/>
                <w:sz w:val="21"/>
                <w:lang w:eastAsia="en-US"/>
              </w:rPr>
              <w:t>风量</w:t>
            </w:r>
          </w:p>
          <w:p w14:paraId="61E64ABD">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（m</w:t>
            </w:r>
            <w:r>
              <w:rPr>
                <w:rFonts w:hint="default" w:ascii="Times New Roman" w:hAnsi="Times New Roman" w:eastAsia="宋体" w:cs="Times New Roman"/>
                <w:b/>
                <w:bCs/>
                <w:sz w:val="21"/>
                <w:vertAlign w:val="superscript"/>
                <w:lang w:eastAsia="en-US"/>
              </w:rPr>
              <w:t>3</w:t>
            </w:r>
            <w:r>
              <w:rPr>
                <w:rFonts w:hint="default" w:ascii="Times New Roman" w:hAnsi="Times New Roman" w:eastAsia="宋体" w:cs="Times New Roman"/>
                <w:b/>
                <w:bCs/>
                <w:sz w:val="21"/>
                <w:lang w:eastAsia="en-US"/>
              </w:rPr>
              <w:t>/h）</w:t>
            </w:r>
          </w:p>
        </w:tc>
        <w:tc>
          <w:tcPr>
            <w:tcW w:w="1099" w:type="pct"/>
            <w:gridSpan w:val="3"/>
            <w:vAlign w:val="center"/>
          </w:tcPr>
          <w:p w14:paraId="4AF1F502">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废气处理后</w:t>
            </w:r>
          </w:p>
        </w:tc>
        <w:tc>
          <w:tcPr>
            <w:tcW w:w="259" w:type="pct"/>
            <w:vMerge w:val="restart"/>
            <w:vAlign w:val="center"/>
          </w:tcPr>
          <w:p w14:paraId="5EDD2E9E">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zh-CN"/>
              </w:rPr>
              <w:t>排放方式</w:t>
            </w:r>
          </w:p>
        </w:tc>
        <w:tc>
          <w:tcPr>
            <w:tcW w:w="252" w:type="pct"/>
            <w:vMerge w:val="restart"/>
            <w:vAlign w:val="center"/>
          </w:tcPr>
          <w:p w14:paraId="7C0F4399">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年运行时间</w:t>
            </w:r>
          </w:p>
          <w:p w14:paraId="0E5214FF">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（h）</w:t>
            </w:r>
          </w:p>
        </w:tc>
      </w:tr>
      <w:tr w14:paraId="2CF032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continue"/>
            <w:vAlign w:val="center"/>
          </w:tcPr>
          <w:p w14:paraId="0306A1E7">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667" w:type="pct"/>
            <w:vMerge w:val="continue"/>
            <w:vAlign w:val="center"/>
          </w:tcPr>
          <w:p w14:paraId="59A701CB">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409" w:type="pct"/>
            <w:vMerge w:val="continue"/>
            <w:vAlign w:val="center"/>
          </w:tcPr>
          <w:p w14:paraId="7F36D753">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362" w:type="pct"/>
            <w:vAlign w:val="center"/>
          </w:tcPr>
          <w:p w14:paraId="7D59CDCF">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产生量</w:t>
            </w:r>
          </w:p>
          <w:p w14:paraId="6F2745A7">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（t/a）</w:t>
            </w:r>
          </w:p>
        </w:tc>
        <w:tc>
          <w:tcPr>
            <w:tcW w:w="332" w:type="pct"/>
            <w:vAlign w:val="center"/>
          </w:tcPr>
          <w:p w14:paraId="7021BB6B">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产生速率</w:t>
            </w:r>
          </w:p>
          <w:p w14:paraId="7FB902D8">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（kg/h）</w:t>
            </w:r>
          </w:p>
        </w:tc>
        <w:tc>
          <w:tcPr>
            <w:tcW w:w="591" w:type="pct"/>
            <w:vMerge w:val="continue"/>
            <w:vAlign w:val="center"/>
          </w:tcPr>
          <w:p w14:paraId="2A735BF1">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365" w:type="pct"/>
            <w:vMerge w:val="continue"/>
            <w:vAlign w:val="center"/>
          </w:tcPr>
          <w:p w14:paraId="4BD52278">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305" w:type="pct"/>
            <w:vAlign w:val="center"/>
          </w:tcPr>
          <w:p w14:paraId="465F05D0">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排放量</w:t>
            </w:r>
          </w:p>
          <w:p w14:paraId="47FD3DB7">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（t/a）</w:t>
            </w:r>
          </w:p>
        </w:tc>
        <w:tc>
          <w:tcPr>
            <w:tcW w:w="340" w:type="pct"/>
            <w:vAlign w:val="center"/>
          </w:tcPr>
          <w:p w14:paraId="68700282">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排放速率</w:t>
            </w:r>
          </w:p>
          <w:p w14:paraId="0EEA4809">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（kg/h）</w:t>
            </w:r>
          </w:p>
        </w:tc>
        <w:tc>
          <w:tcPr>
            <w:tcW w:w="454" w:type="pct"/>
            <w:vAlign w:val="center"/>
          </w:tcPr>
          <w:p w14:paraId="107EE063">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排放浓度</w:t>
            </w:r>
          </w:p>
          <w:p w14:paraId="0F7C4D96">
            <w:pPr>
              <w:pStyle w:val="60"/>
              <w:adjustRightInd w:val="0"/>
              <w:snapToGrid w:val="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（mg/m</w:t>
            </w:r>
            <w:r>
              <w:rPr>
                <w:rFonts w:hint="default" w:ascii="Times New Roman" w:hAnsi="Times New Roman" w:eastAsia="宋体" w:cs="Times New Roman"/>
                <w:b/>
                <w:bCs/>
                <w:sz w:val="21"/>
                <w:vertAlign w:val="superscript"/>
                <w:lang w:eastAsia="en-US"/>
              </w:rPr>
              <w:t>3</w:t>
            </w:r>
            <w:r>
              <w:rPr>
                <w:rFonts w:hint="default" w:ascii="Times New Roman" w:hAnsi="Times New Roman" w:eastAsia="宋体" w:cs="Times New Roman"/>
                <w:b/>
                <w:bCs/>
                <w:sz w:val="21"/>
                <w:lang w:eastAsia="en-US"/>
              </w:rPr>
              <w:t>）</w:t>
            </w:r>
          </w:p>
        </w:tc>
        <w:tc>
          <w:tcPr>
            <w:tcW w:w="259" w:type="pct"/>
            <w:vMerge w:val="continue"/>
            <w:vAlign w:val="center"/>
          </w:tcPr>
          <w:p w14:paraId="77DBB81A">
            <w:pPr>
              <w:autoSpaceDE w:val="0"/>
              <w:autoSpaceDN w:val="0"/>
              <w:adjustRightInd w:val="0"/>
              <w:snapToGrid w:val="0"/>
              <w:jc w:val="center"/>
              <w:rPr>
                <w:rFonts w:hint="default" w:ascii="Times New Roman" w:hAnsi="Times New Roman" w:eastAsia="宋体" w:cs="Times New Roman"/>
                <w:kern w:val="0"/>
                <w:sz w:val="2"/>
                <w:szCs w:val="2"/>
                <w:lang w:eastAsia="en-US"/>
              </w:rPr>
            </w:pPr>
          </w:p>
        </w:tc>
        <w:tc>
          <w:tcPr>
            <w:tcW w:w="252" w:type="pct"/>
            <w:vMerge w:val="continue"/>
            <w:vAlign w:val="center"/>
          </w:tcPr>
          <w:p w14:paraId="3A5C8718">
            <w:pPr>
              <w:autoSpaceDE w:val="0"/>
              <w:autoSpaceDN w:val="0"/>
              <w:adjustRightInd w:val="0"/>
              <w:snapToGrid w:val="0"/>
              <w:jc w:val="center"/>
              <w:rPr>
                <w:rFonts w:hint="default" w:ascii="Times New Roman" w:hAnsi="Times New Roman" w:eastAsia="宋体" w:cs="Times New Roman"/>
                <w:kern w:val="0"/>
                <w:sz w:val="2"/>
                <w:szCs w:val="2"/>
                <w:lang w:eastAsia="en-US"/>
              </w:rPr>
            </w:pPr>
          </w:p>
        </w:tc>
      </w:tr>
      <w:tr w14:paraId="4E0A040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restart"/>
            <w:vAlign w:val="center"/>
          </w:tcPr>
          <w:p w14:paraId="47E50EA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危废综合利用区</w:t>
            </w:r>
          </w:p>
        </w:tc>
        <w:tc>
          <w:tcPr>
            <w:tcW w:w="667" w:type="pct"/>
            <w:vMerge w:val="restart"/>
            <w:vAlign w:val="center"/>
          </w:tcPr>
          <w:p w14:paraId="4195F37A">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预处理区（倒残液区）</w:t>
            </w:r>
            <w:r>
              <w:rPr>
                <w:rFonts w:hint="default" w:ascii="Times New Roman" w:hAnsi="Times New Roman" w:eastAsia="宋体" w:cs="Times New Roman"/>
                <w:sz w:val="21"/>
                <w:lang w:val="en-US" w:eastAsia="zh-CN"/>
              </w:rPr>
              <w:t>+</w:t>
            </w:r>
            <w:r>
              <w:rPr>
                <w:rFonts w:hint="default" w:ascii="Times New Roman" w:hAnsi="Times New Roman" w:eastAsia="宋体" w:cs="Times New Roman"/>
                <w:sz w:val="21"/>
                <w:lang w:eastAsia="zh-CN"/>
              </w:rPr>
              <w:t>综合利用生产线</w:t>
            </w:r>
          </w:p>
        </w:tc>
        <w:tc>
          <w:tcPr>
            <w:tcW w:w="409" w:type="pct"/>
            <w:vMerge w:val="restart"/>
            <w:vAlign w:val="center"/>
          </w:tcPr>
          <w:p w14:paraId="71CD5E3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VOCs</w:t>
            </w:r>
          </w:p>
        </w:tc>
        <w:tc>
          <w:tcPr>
            <w:tcW w:w="362" w:type="pct"/>
            <w:vMerge w:val="restart"/>
            <w:vAlign w:val="center"/>
          </w:tcPr>
          <w:p w14:paraId="6DB4B76C">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32.4</w:t>
            </w:r>
          </w:p>
        </w:tc>
        <w:tc>
          <w:tcPr>
            <w:tcW w:w="332" w:type="pct"/>
            <w:vMerge w:val="restart"/>
            <w:vAlign w:val="center"/>
          </w:tcPr>
          <w:p w14:paraId="459D015D">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6.14</w:t>
            </w:r>
          </w:p>
        </w:tc>
        <w:tc>
          <w:tcPr>
            <w:tcW w:w="591" w:type="pct"/>
            <w:vMerge w:val="restart"/>
            <w:vAlign w:val="center"/>
          </w:tcPr>
          <w:p w14:paraId="38910651">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收集（收集效率95%）</w:t>
            </w:r>
            <w:r>
              <w:rPr>
                <w:rFonts w:hint="default" w:ascii="Times New Roman" w:hAnsi="Times New Roman" w:eastAsia="宋体" w:cs="Times New Roman"/>
                <w:sz w:val="21"/>
                <w:lang w:val="en-US" w:eastAsia="zh-CN"/>
              </w:rPr>
              <w:t>+</w:t>
            </w:r>
            <w:r>
              <w:rPr>
                <w:rFonts w:hint="default" w:ascii="Times New Roman" w:hAnsi="Times New Roman" w:eastAsia="宋体" w:cs="Times New Roman"/>
                <w:sz w:val="21"/>
                <w:lang w:eastAsia="zh-CN"/>
              </w:rPr>
              <w:t>RCO催化燃烧装置（处理效率95%）+15m高排气筒（DA001）排放</w:t>
            </w:r>
          </w:p>
        </w:tc>
        <w:tc>
          <w:tcPr>
            <w:tcW w:w="365" w:type="pct"/>
            <w:vMerge w:val="restart"/>
            <w:vAlign w:val="center"/>
          </w:tcPr>
          <w:p w14:paraId="4AF56ED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val="en-US" w:eastAsia="zh-CN"/>
              </w:rPr>
              <w:t>2</w:t>
            </w:r>
            <w:r>
              <w:rPr>
                <w:rFonts w:hint="default" w:ascii="Times New Roman" w:hAnsi="Times New Roman" w:eastAsia="宋体" w:cs="Times New Roman"/>
                <w:sz w:val="21"/>
                <w:lang w:eastAsia="en-US"/>
              </w:rPr>
              <w:t>0000</w:t>
            </w:r>
          </w:p>
        </w:tc>
        <w:tc>
          <w:tcPr>
            <w:tcW w:w="305" w:type="pct"/>
            <w:vAlign w:val="center"/>
          </w:tcPr>
          <w:p w14:paraId="3CC7B171">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lang w:eastAsia="en-US"/>
              </w:rPr>
              <w:t>1.54</w:t>
            </w:r>
          </w:p>
        </w:tc>
        <w:tc>
          <w:tcPr>
            <w:tcW w:w="340" w:type="pct"/>
            <w:vAlign w:val="center"/>
          </w:tcPr>
          <w:p w14:paraId="52F797D4">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0.29</w:t>
            </w:r>
          </w:p>
        </w:tc>
        <w:tc>
          <w:tcPr>
            <w:tcW w:w="454" w:type="pct"/>
            <w:vAlign w:val="center"/>
          </w:tcPr>
          <w:p w14:paraId="148B19CD">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4.9</w:t>
            </w:r>
          </w:p>
        </w:tc>
        <w:tc>
          <w:tcPr>
            <w:tcW w:w="259" w:type="pct"/>
            <w:vAlign w:val="center"/>
          </w:tcPr>
          <w:p w14:paraId="6EE63770">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有组织排放</w:t>
            </w:r>
          </w:p>
        </w:tc>
        <w:tc>
          <w:tcPr>
            <w:tcW w:w="252" w:type="pct"/>
            <w:vMerge w:val="restart"/>
            <w:vAlign w:val="center"/>
          </w:tcPr>
          <w:p w14:paraId="78E7033F">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5280</w:t>
            </w:r>
          </w:p>
        </w:tc>
      </w:tr>
      <w:tr w14:paraId="768027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continue"/>
            <w:vAlign w:val="center"/>
          </w:tcPr>
          <w:p w14:paraId="170C4B7D">
            <w:pPr>
              <w:pStyle w:val="60"/>
              <w:adjustRightInd w:val="0"/>
              <w:snapToGrid w:val="0"/>
              <w:rPr>
                <w:rFonts w:hint="default" w:ascii="Times New Roman" w:hAnsi="Times New Roman" w:eastAsia="宋体" w:cs="Times New Roman"/>
                <w:sz w:val="21"/>
                <w:lang w:eastAsia="en-US"/>
              </w:rPr>
            </w:pPr>
          </w:p>
        </w:tc>
        <w:tc>
          <w:tcPr>
            <w:tcW w:w="667" w:type="pct"/>
            <w:vMerge w:val="continue"/>
            <w:vAlign w:val="center"/>
          </w:tcPr>
          <w:p w14:paraId="0DE4CC5F">
            <w:pPr>
              <w:pStyle w:val="60"/>
              <w:adjustRightInd w:val="0"/>
              <w:snapToGrid w:val="0"/>
              <w:rPr>
                <w:rFonts w:hint="default" w:ascii="Times New Roman" w:hAnsi="Times New Roman" w:eastAsia="宋体" w:cs="Times New Roman"/>
                <w:sz w:val="21"/>
                <w:lang w:eastAsia="en-US"/>
              </w:rPr>
            </w:pPr>
          </w:p>
        </w:tc>
        <w:tc>
          <w:tcPr>
            <w:tcW w:w="409" w:type="pct"/>
            <w:vMerge w:val="continue"/>
            <w:vAlign w:val="center"/>
          </w:tcPr>
          <w:p w14:paraId="3DCE402E">
            <w:pPr>
              <w:pStyle w:val="60"/>
              <w:adjustRightInd w:val="0"/>
              <w:snapToGrid w:val="0"/>
              <w:rPr>
                <w:rFonts w:hint="default" w:ascii="Times New Roman" w:hAnsi="Times New Roman" w:eastAsia="宋体" w:cs="Times New Roman"/>
                <w:sz w:val="21"/>
                <w:lang w:eastAsia="en-US"/>
              </w:rPr>
            </w:pPr>
          </w:p>
        </w:tc>
        <w:tc>
          <w:tcPr>
            <w:tcW w:w="362" w:type="pct"/>
            <w:vMerge w:val="continue"/>
            <w:vAlign w:val="center"/>
          </w:tcPr>
          <w:p w14:paraId="1ED913D8">
            <w:pPr>
              <w:pStyle w:val="60"/>
              <w:adjustRightInd w:val="0"/>
              <w:snapToGrid w:val="0"/>
              <w:rPr>
                <w:rFonts w:hint="default" w:ascii="Times New Roman" w:hAnsi="Times New Roman" w:eastAsia="宋体" w:cs="Times New Roman"/>
                <w:sz w:val="21"/>
                <w:lang w:eastAsia="en-US"/>
              </w:rPr>
            </w:pPr>
          </w:p>
        </w:tc>
        <w:tc>
          <w:tcPr>
            <w:tcW w:w="332" w:type="pct"/>
            <w:vMerge w:val="continue"/>
            <w:vAlign w:val="center"/>
          </w:tcPr>
          <w:p w14:paraId="26658D35">
            <w:pPr>
              <w:pStyle w:val="60"/>
              <w:adjustRightInd w:val="0"/>
              <w:snapToGrid w:val="0"/>
              <w:rPr>
                <w:rFonts w:hint="default" w:ascii="Times New Roman" w:hAnsi="Times New Roman" w:eastAsia="宋体" w:cs="Times New Roman"/>
                <w:sz w:val="21"/>
                <w:lang w:eastAsia="en-US"/>
              </w:rPr>
            </w:pPr>
          </w:p>
        </w:tc>
        <w:tc>
          <w:tcPr>
            <w:tcW w:w="591" w:type="pct"/>
            <w:vMerge w:val="continue"/>
            <w:vAlign w:val="center"/>
          </w:tcPr>
          <w:p w14:paraId="76C8D74D">
            <w:pPr>
              <w:pStyle w:val="60"/>
              <w:adjustRightInd w:val="0"/>
              <w:snapToGrid w:val="0"/>
              <w:rPr>
                <w:rFonts w:hint="default" w:ascii="Times New Roman" w:hAnsi="Times New Roman" w:eastAsia="宋体" w:cs="Times New Roman"/>
                <w:sz w:val="21"/>
                <w:lang w:eastAsia="en-US"/>
              </w:rPr>
            </w:pPr>
          </w:p>
        </w:tc>
        <w:tc>
          <w:tcPr>
            <w:tcW w:w="365" w:type="pct"/>
            <w:vMerge w:val="continue"/>
            <w:vAlign w:val="center"/>
          </w:tcPr>
          <w:p w14:paraId="73C8167C">
            <w:pPr>
              <w:pStyle w:val="60"/>
              <w:adjustRightInd w:val="0"/>
              <w:snapToGrid w:val="0"/>
              <w:rPr>
                <w:rFonts w:hint="default" w:ascii="Times New Roman" w:hAnsi="Times New Roman" w:eastAsia="宋体" w:cs="Times New Roman"/>
                <w:sz w:val="21"/>
                <w:lang w:eastAsia="en-US"/>
              </w:rPr>
            </w:pPr>
          </w:p>
        </w:tc>
        <w:tc>
          <w:tcPr>
            <w:tcW w:w="305" w:type="pct"/>
            <w:vAlign w:val="center"/>
          </w:tcPr>
          <w:p w14:paraId="5B0A99D4">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lang w:eastAsia="en-US"/>
              </w:rPr>
              <w:t>1.62</w:t>
            </w:r>
          </w:p>
        </w:tc>
        <w:tc>
          <w:tcPr>
            <w:tcW w:w="340" w:type="pct"/>
            <w:vAlign w:val="center"/>
          </w:tcPr>
          <w:p w14:paraId="1A3D7B88">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lang w:eastAsia="en-US"/>
              </w:rPr>
              <w:t>0.31</w:t>
            </w:r>
          </w:p>
        </w:tc>
        <w:tc>
          <w:tcPr>
            <w:tcW w:w="454" w:type="pct"/>
            <w:vAlign w:val="center"/>
          </w:tcPr>
          <w:p w14:paraId="391F7561">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w:t>
            </w:r>
          </w:p>
        </w:tc>
        <w:tc>
          <w:tcPr>
            <w:tcW w:w="259" w:type="pct"/>
            <w:vAlign w:val="center"/>
          </w:tcPr>
          <w:p w14:paraId="1263547E">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无组织排放</w:t>
            </w:r>
          </w:p>
        </w:tc>
        <w:tc>
          <w:tcPr>
            <w:tcW w:w="252" w:type="pct"/>
            <w:vMerge w:val="continue"/>
            <w:vAlign w:val="center"/>
          </w:tcPr>
          <w:p w14:paraId="106EB8C6">
            <w:pPr>
              <w:pStyle w:val="60"/>
              <w:adjustRightInd w:val="0"/>
              <w:snapToGrid w:val="0"/>
              <w:rPr>
                <w:rFonts w:hint="default" w:ascii="Times New Roman" w:hAnsi="Times New Roman" w:eastAsia="宋体" w:cs="Times New Roman"/>
                <w:sz w:val="21"/>
                <w:lang w:eastAsia="en-US"/>
              </w:rPr>
            </w:pPr>
          </w:p>
        </w:tc>
      </w:tr>
      <w:tr w14:paraId="40DFEB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continue"/>
            <w:vAlign w:val="center"/>
          </w:tcPr>
          <w:p w14:paraId="7BFB38B4">
            <w:pPr>
              <w:pStyle w:val="60"/>
              <w:adjustRightInd w:val="0"/>
              <w:snapToGrid w:val="0"/>
              <w:rPr>
                <w:rFonts w:hint="default" w:ascii="Times New Roman" w:hAnsi="Times New Roman" w:eastAsia="宋体" w:cs="Times New Roman"/>
                <w:sz w:val="21"/>
                <w:lang w:eastAsia="en-US"/>
              </w:rPr>
            </w:pPr>
          </w:p>
        </w:tc>
        <w:tc>
          <w:tcPr>
            <w:tcW w:w="667" w:type="pct"/>
            <w:vMerge w:val="continue"/>
            <w:vAlign w:val="center"/>
          </w:tcPr>
          <w:p w14:paraId="1FF41373">
            <w:pPr>
              <w:pStyle w:val="60"/>
              <w:adjustRightInd w:val="0"/>
              <w:snapToGrid w:val="0"/>
              <w:rPr>
                <w:rFonts w:hint="default" w:ascii="Times New Roman" w:hAnsi="Times New Roman" w:eastAsia="宋体" w:cs="Times New Roman"/>
                <w:sz w:val="21"/>
                <w:lang w:eastAsia="en-US"/>
              </w:rPr>
            </w:pPr>
          </w:p>
        </w:tc>
        <w:tc>
          <w:tcPr>
            <w:tcW w:w="409" w:type="pct"/>
            <w:vMerge w:val="restart"/>
            <w:vAlign w:val="center"/>
          </w:tcPr>
          <w:p w14:paraId="7B0385A9">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苯</w:t>
            </w:r>
          </w:p>
        </w:tc>
        <w:tc>
          <w:tcPr>
            <w:tcW w:w="362" w:type="pct"/>
            <w:vMerge w:val="restart"/>
            <w:vAlign w:val="center"/>
          </w:tcPr>
          <w:p w14:paraId="1608AC07">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0.972</w:t>
            </w:r>
          </w:p>
        </w:tc>
        <w:tc>
          <w:tcPr>
            <w:tcW w:w="332" w:type="pct"/>
            <w:vMerge w:val="restart"/>
            <w:vAlign w:val="center"/>
          </w:tcPr>
          <w:p w14:paraId="332F7FD4">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0.184</w:t>
            </w:r>
          </w:p>
        </w:tc>
        <w:tc>
          <w:tcPr>
            <w:tcW w:w="591" w:type="pct"/>
            <w:vMerge w:val="continue"/>
            <w:vAlign w:val="center"/>
          </w:tcPr>
          <w:p w14:paraId="3920BC03">
            <w:pPr>
              <w:pStyle w:val="60"/>
              <w:adjustRightInd w:val="0"/>
              <w:snapToGrid w:val="0"/>
              <w:rPr>
                <w:rFonts w:hint="default" w:ascii="Times New Roman" w:hAnsi="Times New Roman" w:eastAsia="宋体" w:cs="Times New Roman"/>
                <w:sz w:val="21"/>
                <w:lang w:eastAsia="en-US"/>
              </w:rPr>
            </w:pPr>
          </w:p>
        </w:tc>
        <w:tc>
          <w:tcPr>
            <w:tcW w:w="365" w:type="pct"/>
            <w:vMerge w:val="continue"/>
            <w:vAlign w:val="center"/>
          </w:tcPr>
          <w:p w14:paraId="0A48DD19">
            <w:pPr>
              <w:pStyle w:val="60"/>
              <w:adjustRightInd w:val="0"/>
              <w:snapToGrid w:val="0"/>
              <w:rPr>
                <w:rFonts w:hint="default" w:ascii="Times New Roman" w:hAnsi="Times New Roman" w:eastAsia="宋体" w:cs="Times New Roman"/>
                <w:sz w:val="21"/>
                <w:lang w:eastAsia="en-US"/>
              </w:rPr>
            </w:pPr>
          </w:p>
        </w:tc>
        <w:tc>
          <w:tcPr>
            <w:tcW w:w="305" w:type="pct"/>
            <w:vAlign w:val="center"/>
          </w:tcPr>
          <w:p w14:paraId="647812BE">
            <w:pPr>
              <w:pStyle w:val="60"/>
              <w:adjustRightInd w:val="0"/>
              <w:snapToGrid w:val="0"/>
              <w:rPr>
                <w:rFonts w:hint="default" w:ascii="Times New Roman" w:hAnsi="Times New Roman" w:eastAsia="宋体" w:cs="Times New Roman"/>
                <w:lang w:eastAsia="zh-CN"/>
              </w:rPr>
            </w:pPr>
            <w:r>
              <w:rPr>
                <w:rFonts w:hint="default" w:ascii="Times New Roman" w:hAnsi="Times New Roman" w:eastAsia="宋体" w:cs="Times New Roman"/>
                <w:lang w:eastAsia="zh-CN"/>
              </w:rPr>
              <w:t>0.0462</w:t>
            </w:r>
          </w:p>
        </w:tc>
        <w:tc>
          <w:tcPr>
            <w:tcW w:w="340" w:type="pct"/>
            <w:vAlign w:val="center"/>
          </w:tcPr>
          <w:p w14:paraId="3A0FD43B">
            <w:pPr>
              <w:pStyle w:val="60"/>
              <w:adjustRightInd w:val="0"/>
              <w:snapToGrid w:val="0"/>
              <w:rPr>
                <w:rFonts w:hint="default" w:ascii="Times New Roman" w:hAnsi="Times New Roman" w:eastAsia="宋体" w:cs="Times New Roman"/>
                <w:lang w:eastAsia="zh-CN"/>
              </w:rPr>
            </w:pPr>
            <w:r>
              <w:rPr>
                <w:rFonts w:hint="default" w:ascii="Times New Roman" w:hAnsi="Times New Roman" w:eastAsia="宋体" w:cs="Times New Roman"/>
                <w:lang w:eastAsia="zh-CN"/>
              </w:rPr>
              <w:t>0.0087</w:t>
            </w:r>
          </w:p>
        </w:tc>
        <w:tc>
          <w:tcPr>
            <w:tcW w:w="454" w:type="pct"/>
            <w:vAlign w:val="center"/>
          </w:tcPr>
          <w:p w14:paraId="741ECD94">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0.15</w:t>
            </w:r>
          </w:p>
        </w:tc>
        <w:tc>
          <w:tcPr>
            <w:tcW w:w="259" w:type="pct"/>
            <w:vAlign w:val="center"/>
          </w:tcPr>
          <w:p w14:paraId="08EE7BC0">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有组织排放</w:t>
            </w:r>
          </w:p>
        </w:tc>
        <w:tc>
          <w:tcPr>
            <w:tcW w:w="252" w:type="pct"/>
            <w:vMerge w:val="continue"/>
            <w:vAlign w:val="center"/>
          </w:tcPr>
          <w:p w14:paraId="323B0FE1">
            <w:pPr>
              <w:pStyle w:val="60"/>
              <w:adjustRightInd w:val="0"/>
              <w:snapToGrid w:val="0"/>
              <w:rPr>
                <w:rFonts w:hint="default" w:ascii="Times New Roman" w:hAnsi="Times New Roman" w:eastAsia="宋体" w:cs="Times New Roman"/>
                <w:sz w:val="21"/>
                <w:lang w:eastAsia="en-US"/>
              </w:rPr>
            </w:pPr>
          </w:p>
        </w:tc>
      </w:tr>
      <w:tr w14:paraId="3185AD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continue"/>
            <w:vAlign w:val="center"/>
          </w:tcPr>
          <w:p w14:paraId="630F58D8">
            <w:pPr>
              <w:pStyle w:val="60"/>
              <w:adjustRightInd w:val="0"/>
              <w:snapToGrid w:val="0"/>
              <w:rPr>
                <w:rFonts w:hint="default" w:ascii="Times New Roman" w:hAnsi="Times New Roman" w:eastAsia="宋体" w:cs="Times New Roman"/>
                <w:sz w:val="21"/>
                <w:lang w:eastAsia="en-US"/>
              </w:rPr>
            </w:pPr>
          </w:p>
        </w:tc>
        <w:tc>
          <w:tcPr>
            <w:tcW w:w="667" w:type="pct"/>
            <w:vMerge w:val="continue"/>
            <w:vAlign w:val="center"/>
          </w:tcPr>
          <w:p w14:paraId="6785D672">
            <w:pPr>
              <w:pStyle w:val="60"/>
              <w:adjustRightInd w:val="0"/>
              <w:snapToGrid w:val="0"/>
              <w:rPr>
                <w:rFonts w:hint="default" w:ascii="Times New Roman" w:hAnsi="Times New Roman" w:eastAsia="宋体" w:cs="Times New Roman"/>
                <w:sz w:val="21"/>
                <w:lang w:eastAsia="en-US"/>
              </w:rPr>
            </w:pPr>
          </w:p>
        </w:tc>
        <w:tc>
          <w:tcPr>
            <w:tcW w:w="409" w:type="pct"/>
            <w:vMerge w:val="continue"/>
            <w:vAlign w:val="center"/>
          </w:tcPr>
          <w:p w14:paraId="07CB64DA">
            <w:pPr>
              <w:pStyle w:val="60"/>
              <w:adjustRightInd w:val="0"/>
              <w:snapToGrid w:val="0"/>
              <w:rPr>
                <w:rFonts w:hint="default" w:ascii="Times New Roman" w:hAnsi="Times New Roman" w:eastAsia="宋体" w:cs="Times New Roman"/>
                <w:sz w:val="21"/>
                <w:lang w:eastAsia="en-US"/>
              </w:rPr>
            </w:pPr>
          </w:p>
        </w:tc>
        <w:tc>
          <w:tcPr>
            <w:tcW w:w="362" w:type="pct"/>
            <w:vMerge w:val="continue"/>
            <w:vAlign w:val="center"/>
          </w:tcPr>
          <w:p w14:paraId="19530AAD">
            <w:pPr>
              <w:pStyle w:val="60"/>
              <w:adjustRightInd w:val="0"/>
              <w:snapToGrid w:val="0"/>
              <w:rPr>
                <w:rFonts w:hint="default" w:ascii="Times New Roman" w:hAnsi="Times New Roman" w:eastAsia="宋体" w:cs="Times New Roman"/>
                <w:sz w:val="21"/>
                <w:lang w:eastAsia="en-US"/>
              </w:rPr>
            </w:pPr>
          </w:p>
        </w:tc>
        <w:tc>
          <w:tcPr>
            <w:tcW w:w="332" w:type="pct"/>
            <w:vMerge w:val="continue"/>
            <w:vAlign w:val="center"/>
          </w:tcPr>
          <w:p w14:paraId="11E2F800">
            <w:pPr>
              <w:pStyle w:val="60"/>
              <w:adjustRightInd w:val="0"/>
              <w:snapToGrid w:val="0"/>
              <w:rPr>
                <w:rFonts w:hint="default" w:ascii="Times New Roman" w:hAnsi="Times New Roman" w:eastAsia="宋体" w:cs="Times New Roman"/>
                <w:sz w:val="21"/>
                <w:lang w:eastAsia="en-US"/>
              </w:rPr>
            </w:pPr>
          </w:p>
        </w:tc>
        <w:tc>
          <w:tcPr>
            <w:tcW w:w="591" w:type="pct"/>
            <w:vMerge w:val="continue"/>
            <w:vAlign w:val="center"/>
          </w:tcPr>
          <w:p w14:paraId="084BCC96">
            <w:pPr>
              <w:pStyle w:val="60"/>
              <w:adjustRightInd w:val="0"/>
              <w:snapToGrid w:val="0"/>
              <w:rPr>
                <w:rFonts w:hint="default" w:ascii="Times New Roman" w:hAnsi="Times New Roman" w:eastAsia="宋体" w:cs="Times New Roman"/>
                <w:sz w:val="21"/>
                <w:lang w:eastAsia="en-US"/>
              </w:rPr>
            </w:pPr>
          </w:p>
        </w:tc>
        <w:tc>
          <w:tcPr>
            <w:tcW w:w="365" w:type="pct"/>
            <w:vMerge w:val="continue"/>
            <w:vAlign w:val="center"/>
          </w:tcPr>
          <w:p w14:paraId="67B81A02">
            <w:pPr>
              <w:pStyle w:val="60"/>
              <w:adjustRightInd w:val="0"/>
              <w:snapToGrid w:val="0"/>
              <w:rPr>
                <w:rFonts w:hint="default" w:ascii="Times New Roman" w:hAnsi="Times New Roman" w:eastAsia="宋体" w:cs="Times New Roman"/>
                <w:sz w:val="21"/>
                <w:lang w:eastAsia="en-US"/>
              </w:rPr>
            </w:pPr>
          </w:p>
        </w:tc>
        <w:tc>
          <w:tcPr>
            <w:tcW w:w="305" w:type="pct"/>
            <w:vAlign w:val="center"/>
          </w:tcPr>
          <w:p w14:paraId="67DDD933">
            <w:pPr>
              <w:pStyle w:val="60"/>
              <w:adjustRightInd w:val="0"/>
              <w:snapToGrid w:val="0"/>
              <w:rPr>
                <w:rFonts w:hint="default" w:ascii="Times New Roman" w:hAnsi="Times New Roman" w:eastAsia="宋体" w:cs="Times New Roman"/>
                <w:lang w:eastAsia="zh-CN"/>
              </w:rPr>
            </w:pPr>
            <w:r>
              <w:rPr>
                <w:rFonts w:hint="default" w:ascii="Times New Roman" w:hAnsi="Times New Roman" w:eastAsia="宋体" w:cs="Times New Roman"/>
                <w:lang w:eastAsia="zh-CN"/>
              </w:rPr>
              <w:t>0.0486</w:t>
            </w:r>
          </w:p>
        </w:tc>
        <w:tc>
          <w:tcPr>
            <w:tcW w:w="340" w:type="pct"/>
            <w:vAlign w:val="center"/>
          </w:tcPr>
          <w:p w14:paraId="1C650F50">
            <w:pPr>
              <w:pStyle w:val="60"/>
              <w:adjustRightInd w:val="0"/>
              <w:snapToGrid w:val="0"/>
              <w:rPr>
                <w:rFonts w:hint="default" w:ascii="Times New Roman" w:hAnsi="Times New Roman" w:eastAsia="宋体" w:cs="Times New Roman"/>
                <w:lang w:eastAsia="zh-CN"/>
              </w:rPr>
            </w:pPr>
            <w:r>
              <w:rPr>
                <w:rFonts w:hint="default" w:ascii="Times New Roman" w:hAnsi="Times New Roman" w:eastAsia="宋体" w:cs="Times New Roman"/>
                <w:lang w:eastAsia="zh-CN"/>
              </w:rPr>
              <w:t>0.0093</w:t>
            </w:r>
          </w:p>
        </w:tc>
        <w:tc>
          <w:tcPr>
            <w:tcW w:w="454" w:type="pct"/>
            <w:vAlign w:val="center"/>
          </w:tcPr>
          <w:p w14:paraId="3EA78492">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w:t>
            </w:r>
          </w:p>
        </w:tc>
        <w:tc>
          <w:tcPr>
            <w:tcW w:w="259" w:type="pct"/>
            <w:vAlign w:val="center"/>
          </w:tcPr>
          <w:p w14:paraId="7EE7D399">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无组织排放</w:t>
            </w:r>
          </w:p>
        </w:tc>
        <w:tc>
          <w:tcPr>
            <w:tcW w:w="252" w:type="pct"/>
            <w:vMerge w:val="continue"/>
            <w:vAlign w:val="center"/>
          </w:tcPr>
          <w:p w14:paraId="29ED2282">
            <w:pPr>
              <w:pStyle w:val="60"/>
              <w:adjustRightInd w:val="0"/>
              <w:snapToGrid w:val="0"/>
              <w:rPr>
                <w:rFonts w:hint="default" w:ascii="Times New Roman" w:hAnsi="Times New Roman" w:eastAsia="宋体" w:cs="Times New Roman"/>
                <w:sz w:val="21"/>
                <w:lang w:eastAsia="en-US"/>
              </w:rPr>
            </w:pPr>
          </w:p>
        </w:tc>
      </w:tr>
      <w:tr w14:paraId="605C80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continue"/>
            <w:vAlign w:val="center"/>
          </w:tcPr>
          <w:p w14:paraId="2B394727">
            <w:pPr>
              <w:pStyle w:val="60"/>
              <w:adjustRightInd w:val="0"/>
              <w:snapToGrid w:val="0"/>
              <w:rPr>
                <w:rFonts w:hint="default" w:ascii="Times New Roman" w:hAnsi="Times New Roman" w:eastAsia="宋体" w:cs="Times New Roman"/>
                <w:sz w:val="21"/>
                <w:lang w:eastAsia="en-US"/>
              </w:rPr>
            </w:pPr>
          </w:p>
        </w:tc>
        <w:tc>
          <w:tcPr>
            <w:tcW w:w="667" w:type="pct"/>
            <w:vMerge w:val="continue"/>
            <w:vAlign w:val="center"/>
          </w:tcPr>
          <w:p w14:paraId="7A9376A1">
            <w:pPr>
              <w:pStyle w:val="60"/>
              <w:adjustRightInd w:val="0"/>
              <w:snapToGrid w:val="0"/>
              <w:rPr>
                <w:rFonts w:hint="default" w:ascii="Times New Roman" w:hAnsi="Times New Roman" w:eastAsia="宋体" w:cs="Times New Roman"/>
                <w:sz w:val="21"/>
                <w:lang w:eastAsia="en-US"/>
              </w:rPr>
            </w:pPr>
          </w:p>
        </w:tc>
        <w:tc>
          <w:tcPr>
            <w:tcW w:w="409" w:type="pct"/>
            <w:vMerge w:val="restart"/>
            <w:vAlign w:val="center"/>
          </w:tcPr>
          <w:p w14:paraId="6014544D">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甲苯</w:t>
            </w:r>
          </w:p>
        </w:tc>
        <w:tc>
          <w:tcPr>
            <w:tcW w:w="362" w:type="pct"/>
            <w:vMerge w:val="restart"/>
            <w:vAlign w:val="center"/>
          </w:tcPr>
          <w:p w14:paraId="6209C7B6">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0.972</w:t>
            </w:r>
          </w:p>
        </w:tc>
        <w:tc>
          <w:tcPr>
            <w:tcW w:w="332" w:type="pct"/>
            <w:vMerge w:val="restart"/>
            <w:vAlign w:val="center"/>
          </w:tcPr>
          <w:p w14:paraId="7F40D29F">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0.184</w:t>
            </w:r>
          </w:p>
        </w:tc>
        <w:tc>
          <w:tcPr>
            <w:tcW w:w="591" w:type="pct"/>
            <w:vMerge w:val="continue"/>
            <w:vAlign w:val="center"/>
          </w:tcPr>
          <w:p w14:paraId="14F362DE">
            <w:pPr>
              <w:pStyle w:val="60"/>
              <w:adjustRightInd w:val="0"/>
              <w:snapToGrid w:val="0"/>
              <w:rPr>
                <w:rFonts w:hint="default" w:ascii="Times New Roman" w:hAnsi="Times New Roman" w:eastAsia="宋体" w:cs="Times New Roman"/>
                <w:sz w:val="21"/>
                <w:lang w:eastAsia="en-US"/>
              </w:rPr>
            </w:pPr>
          </w:p>
        </w:tc>
        <w:tc>
          <w:tcPr>
            <w:tcW w:w="365" w:type="pct"/>
            <w:vMerge w:val="continue"/>
            <w:vAlign w:val="center"/>
          </w:tcPr>
          <w:p w14:paraId="33DEAF3B">
            <w:pPr>
              <w:pStyle w:val="60"/>
              <w:adjustRightInd w:val="0"/>
              <w:snapToGrid w:val="0"/>
              <w:rPr>
                <w:rFonts w:hint="default" w:ascii="Times New Roman" w:hAnsi="Times New Roman" w:eastAsia="宋体" w:cs="Times New Roman"/>
                <w:sz w:val="21"/>
                <w:lang w:eastAsia="en-US"/>
              </w:rPr>
            </w:pPr>
          </w:p>
        </w:tc>
        <w:tc>
          <w:tcPr>
            <w:tcW w:w="305" w:type="pct"/>
            <w:vAlign w:val="center"/>
          </w:tcPr>
          <w:p w14:paraId="24C144B5">
            <w:pPr>
              <w:pStyle w:val="60"/>
              <w:adjustRightInd w:val="0"/>
              <w:snapToGrid w:val="0"/>
              <w:rPr>
                <w:rFonts w:hint="default" w:ascii="Times New Roman" w:hAnsi="Times New Roman" w:eastAsia="宋体" w:cs="Times New Roman"/>
                <w:lang w:eastAsia="en-US"/>
              </w:rPr>
            </w:pPr>
            <w:r>
              <w:rPr>
                <w:rFonts w:hint="default" w:ascii="Times New Roman" w:hAnsi="Times New Roman" w:eastAsia="宋体" w:cs="Times New Roman"/>
                <w:lang w:eastAsia="zh-CN"/>
              </w:rPr>
              <w:t>0.0462</w:t>
            </w:r>
          </w:p>
        </w:tc>
        <w:tc>
          <w:tcPr>
            <w:tcW w:w="340" w:type="pct"/>
            <w:vAlign w:val="center"/>
          </w:tcPr>
          <w:p w14:paraId="130EF04B">
            <w:pPr>
              <w:pStyle w:val="60"/>
              <w:adjustRightInd w:val="0"/>
              <w:snapToGrid w:val="0"/>
              <w:rPr>
                <w:rFonts w:hint="default" w:ascii="Times New Roman" w:hAnsi="Times New Roman" w:eastAsia="宋体" w:cs="Times New Roman"/>
                <w:lang w:eastAsia="en-US"/>
              </w:rPr>
            </w:pPr>
            <w:r>
              <w:rPr>
                <w:rFonts w:hint="default" w:ascii="Times New Roman" w:hAnsi="Times New Roman" w:eastAsia="宋体" w:cs="Times New Roman"/>
                <w:lang w:eastAsia="zh-CN"/>
              </w:rPr>
              <w:t>0.0087</w:t>
            </w:r>
          </w:p>
        </w:tc>
        <w:tc>
          <w:tcPr>
            <w:tcW w:w="454" w:type="pct"/>
            <w:vAlign w:val="center"/>
          </w:tcPr>
          <w:p w14:paraId="4E9DE15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0.15</w:t>
            </w:r>
          </w:p>
        </w:tc>
        <w:tc>
          <w:tcPr>
            <w:tcW w:w="259" w:type="pct"/>
            <w:vAlign w:val="center"/>
          </w:tcPr>
          <w:p w14:paraId="56984F2A">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有组织排放</w:t>
            </w:r>
          </w:p>
        </w:tc>
        <w:tc>
          <w:tcPr>
            <w:tcW w:w="252" w:type="pct"/>
            <w:vMerge w:val="continue"/>
            <w:vAlign w:val="center"/>
          </w:tcPr>
          <w:p w14:paraId="75C12960">
            <w:pPr>
              <w:pStyle w:val="60"/>
              <w:adjustRightInd w:val="0"/>
              <w:snapToGrid w:val="0"/>
              <w:rPr>
                <w:rFonts w:hint="default" w:ascii="Times New Roman" w:hAnsi="Times New Roman" w:eastAsia="宋体" w:cs="Times New Roman"/>
                <w:sz w:val="21"/>
                <w:lang w:eastAsia="en-US"/>
              </w:rPr>
            </w:pPr>
          </w:p>
        </w:tc>
      </w:tr>
      <w:tr w14:paraId="0167C91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continue"/>
            <w:vAlign w:val="center"/>
          </w:tcPr>
          <w:p w14:paraId="39BC4AA1">
            <w:pPr>
              <w:pStyle w:val="60"/>
              <w:adjustRightInd w:val="0"/>
              <w:snapToGrid w:val="0"/>
              <w:rPr>
                <w:rFonts w:hint="default" w:ascii="Times New Roman" w:hAnsi="Times New Roman" w:eastAsia="宋体" w:cs="Times New Roman"/>
                <w:sz w:val="21"/>
                <w:lang w:eastAsia="en-US"/>
              </w:rPr>
            </w:pPr>
          </w:p>
        </w:tc>
        <w:tc>
          <w:tcPr>
            <w:tcW w:w="667" w:type="pct"/>
            <w:vMerge w:val="continue"/>
            <w:vAlign w:val="center"/>
          </w:tcPr>
          <w:p w14:paraId="1B8FEB7E">
            <w:pPr>
              <w:pStyle w:val="60"/>
              <w:adjustRightInd w:val="0"/>
              <w:snapToGrid w:val="0"/>
              <w:rPr>
                <w:rFonts w:hint="default" w:ascii="Times New Roman" w:hAnsi="Times New Roman" w:eastAsia="宋体" w:cs="Times New Roman"/>
                <w:sz w:val="21"/>
                <w:lang w:eastAsia="en-US"/>
              </w:rPr>
            </w:pPr>
          </w:p>
        </w:tc>
        <w:tc>
          <w:tcPr>
            <w:tcW w:w="409" w:type="pct"/>
            <w:vMerge w:val="continue"/>
            <w:vAlign w:val="center"/>
          </w:tcPr>
          <w:p w14:paraId="70FBAC4C">
            <w:pPr>
              <w:pStyle w:val="60"/>
              <w:adjustRightInd w:val="0"/>
              <w:snapToGrid w:val="0"/>
              <w:rPr>
                <w:rFonts w:hint="default" w:ascii="Times New Roman" w:hAnsi="Times New Roman" w:eastAsia="宋体" w:cs="Times New Roman"/>
                <w:sz w:val="21"/>
                <w:lang w:eastAsia="en-US"/>
              </w:rPr>
            </w:pPr>
          </w:p>
        </w:tc>
        <w:tc>
          <w:tcPr>
            <w:tcW w:w="362" w:type="pct"/>
            <w:vMerge w:val="continue"/>
            <w:vAlign w:val="center"/>
          </w:tcPr>
          <w:p w14:paraId="2074F8C7">
            <w:pPr>
              <w:pStyle w:val="60"/>
              <w:adjustRightInd w:val="0"/>
              <w:snapToGrid w:val="0"/>
              <w:rPr>
                <w:rFonts w:hint="default" w:ascii="Times New Roman" w:hAnsi="Times New Roman" w:eastAsia="宋体" w:cs="Times New Roman"/>
                <w:sz w:val="21"/>
                <w:lang w:eastAsia="en-US"/>
              </w:rPr>
            </w:pPr>
          </w:p>
        </w:tc>
        <w:tc>
          <w:tcPr>
            <w:tcW w:w="332" w:type="pct"/>
            <w:vMerge w:val="continue"/>
            <w:vAlign w:val="center"/>
          </w:tcPr>
          <w:p w14:paraId="349D6992">
            <w:pPr>
              <w:pStyle w:val="60"/>
              <w:adjustRightInd w:val="0"/>
              <w:snapToGrid w:val="0"/>
              <w:rPr>
                <w:rFonts w:hint="default" w:ascii="Times New Roman" w:hAnsi="Times New Roman" w:eastAsia="宋体" w:cs="Times New Roman"/>
                <w:sz w:val="21"/>
                <w:lang w:eastAsia="en-US"/>
              </w:rPr>
            </w:pPr>
          </w:p>
        </w:tc>
        <w:tc>
          <w:tcPr>
            <w:tcW w:w="591" w:type="pct"/>
            <w:vMerge w:val="continue"/>
            <w:vAlign w:val="center"/>
          </w:tcPr>
          <w:p w14:paraId="67687604">
            <w:pPr>
              <w:pStyle w:val="60"/>
              <w:adjustRightInd w:val="0"/>
              <w:snapToGrid w:val="0"/>
              <w:rPr>
                <w:rFonts w:hint="default" w:ascii="Times New Roman" w:hAnsi="Times New Roman" w:eastAsia="宋体" w:cs="Times New Roman"/>
                <w:sz w:val="21"/>
                <w:lang w:eastAsia="en-US"/>
              </w:rPr>
            </w:pPr>
          </w:p>
        </w:tc>
        <w:tc>
          <w:tcPr>
            <w:tcW w:w="365" w:type="pct"/>
            <w:vMerge w:val="continue"/>
            <w:vAlign w:val="center"/>
          </w:tcPr>
          <w:p w14:paraId="44DB8EC6">
            <w:pPr>
              <w:pStyle w:val="60"/>
              <w:adjustRightInd w:val="0"/>
              <w:snapToGrid w:val="0"/>
              <w:rPr>
                <w:rFonts w:hint="default" w:ascii="Times New Roman" w:hAnsi="Times New Roman" w:eastAsia="宋体" w:cs="Times New Roman"/>
                <w:sz w:val="21"/>
                <w:lang w:eastAsia="en-US"/>
              </w:rPr>
            </w:pPr>
          </w:p>
        </w:tc>
        <w:tc>
          <w:tcPr>
            <w:tcW w:w="305" w:type="pct"/>
            <w:vAlign w:val="center"/>
          </w:tcPr>
          <w:p w14:paraId="5C83351E">
            <w:pPr>
              <w:pStyle w:val="60"/>
              <w:adjustRightInd w:val="0"/>
              <w:snapToGrid w:val="0"/>
              <w:rPr>
                <w:rFonts w:hint="default" w:ascii="Times New Roman" w:hAnsi="Times New Roman" w:eastAsia="宋体" w:cs="Times New Roman"/>
                <w:lang w:eastAsia="en-US"/>
              </w:rPr>
            </w:pPr>
            <w:r>
              <w:rPr>
                <w:rFonts w:hint="default" w:ascii="Times New Roman" w:hAnsi="Times New Roman" w:eastAsia="宋体" w:cs="Times New Roman"/>
                <w:lang w:eastAsia="zh-CN"/>
              </w:rPr>
              <w:t>0.0486</w:t>
            </w:r>
          </w:p>
        </w:tc>
        <w:tc>
          <w:tcPr>
            <w:tcW w:w="340" w:type="pct"/>
            <w:vAlign w:val="center"/>
          </w:tcPr>
          <w:p w14:paraId="610ECC69">
            <w:pPr>
              <w:pStyle w:val="60"/>
              <w:adjustRightInd w:val="0"/>
              <w:snapToGrid w:val="0"/>
              <w:rPr>
                <w:rFonts w:hint="default" w:ascii="Times New Roman" w:hAnsi="Times New Roman" w:eastAsia="宋体" w:cs="Times New Roman"/>
                <w:lang w:eastAsia="en-US"/>
              </w:rPr>
            </w:pPr>
            <w:r>
              <w:rPr>
                <w:rFonts w:hint="default" w:ascii="Times New Roman" w:hAnsi="Times New Roman" w:eastAsia="宋体" w:cs="Times New Roman"/>
                <w:lang w:eastAsia="zh-CN"/>
              </w:rPr>
              <w:t>0.0093</w:t>
            </w:r>
          </w:p>
        </w:tc>
        <w:tc>
          <w:tcPr>
            <w:tcW w:w="454" w:type="pct"/>
            <w:vAlign w:val="center"/>
          </w:tcPr>
          <w:p w14:paraId="46485FE1">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w:t>
            </w:r>
          </w:p>
        </w:tc>
        <w:tc>
          <w:tcPr>
            <w:tcW w:w="259" w:type="pct"/>
            <w:vAlign w:val="center"/>
          </w:tcPr>
          <w:p w14:paraId="2B670D5A">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无组织排放</w:t>
            </w:r>
          </w:p>
        </w:tc>
        <w:tc>
          <w:tcPr>
            <w:tcW w:w="252" w:type="pct"/>
            <w:vMerge w:val="continue"/>
            <w:vAlign w:val="center"/>
          </w:tcPr>
          <w:p w14:paraId="77665EAE">
            <w:pPr>
              <w:pStyle w:val="60"/>
              <w:adjustRightInd w:val="0"/>
              <w:snapToGrid w:val="0"/>
              <w:rPr>
                <w:rFonts w:hint="default" w:ascii="Times New Roman" w:hAnsi="Times New Roman" w:eastAsia="宋体" w:cs="Times New Roman"/>
                <w:sz w:val="21"/>
                <w:lang w:eastAsia="en-US"/>
              </w:rPr>
            </w:pPr>
          </w:p>
        </w:tc>
      </w:tr>
      <w:tr w14:paraId="6E05E8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 w:hRule="atLeast"/>
        </w:trPr>
        <w:tc>
          <w:tcPr>
            <w:tcW w:w="661" w:type="pct"/>
            <w:vMerge w:val="continue"/>
            <w:vAlign w:val="center"/>
          </w:tcPr>
          <w:p w14:paraId="13A04A01">
            <w:pPr>
              <w:pStyle w:val="60"/>
              <w:adjustRightInd w:val="0"/>
              <w:snapToGrid w:val="0"/>
              <w:rPr>
                <w:rFonts w:hint="default" w:ascii="Times New Roman" w:hAnsi="Times New Roman" w:eastAsia="宋体" w:cs="Times New Roman"/>
                <w:sz w:val="21"/>
                <w:lang w:eastAsia="en-US"/>
              </w:rPr>
            </w:pPr>
          </w:p>
        </w:tc>
        <w:tc>
          <w:tcPr>
            <w:tcW w:w="667" w:type="pct"/>
            <w:vMerge w:val="continue"/>
            <w:vAlign w:val="center"/>
          </w:tcPr>
          <w:p w14:paraId="0694F40C">
            <w:pPr>
              <w:pStyle w:val="60"/>
              <w:adjustRightInd w:val="0"/>
              <w:snapToGrid w:val="0"/>
              <w:rPr>
                <w:rFonts w:hint="default" w:ascii="Times New Roman" w:hAnsi="Times New Roman" w:eastAsia="宋体" w:cs="Times New Roman"/>
                <w:sz w:val="21"/>
                <w:lang w:eastAsia="en-US"/>
              </w:rPr>
            </w:pPr>
          </w:p>
        </w:tc>
        <w:tc>
          <w:tcPr>
            <w:tcW w:w="409" w:type="pct"/>
            <w:vMerge w:val="restart"/>
            <w:vAlign w:val="center"/>
          </w:tcPr>
          <w:p w14:paraId="02EE07F4">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二甲苯</w:t>
            </w:r>
          </w:p>
        </w:tc>
        <w:tc>
          <w:tcPr>
            <w:tcW w:w="362" w:type="pct"/>
            <w:vMerge w:val="restart"/>
            <w:vAlign w:val="center"/>
          </w:tcPr>
          <w:p w14:paraId="4F825EF0">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0.972</w:t>
            </w:r>
          </w:p>
        </w:tc>
        <w:tc>
          <w:tcPr>
            <w:tcW w:w="332" w:type="pct"/>
            <w:vMerge w:val="restart"/>
            <w:vAlign w:val="center"/>
          </w:tcPr>
          <w:p w14:paraId="679F4D32">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0.184</w:t>
            </w:r>
          </w:p>
        </w:tc>
        <w:tc>
          <w:tcPr>
            <w:tcW w:w="591" w:type="pct"/>
            <w:vMerge w:val="continue"/>
            <w:vAlign w:val="center"/>
          </w:tcPr>
          <w:p w14:paraId="48219A11">
            <w:pPr>
              <w:pStyle w:val="60"/>
              <w:adjustRightInd w:val="0"/>
              <w:snapToGrid w:val="0"/>
              <w:rPr>
                <w:rFonts w:hint="default" w:ascii="Times New Roman" w:hAnsi="Times New Roman" w:eastAsia="宋体" w:cs="Times New Roman"/>
                <w:sz w:val="21"/>
                <w:lang w:eastAsia="en-US"/>
              </w:rPr>
            </w:pPr>
          </w:p>
        </w:tc>
        <w:tc>
          <w:tcPr>
            <w:tcW w:w="365" w:type="pct"/>
            <w:vMerge w:val="continue"/>
            <w:vAlign w:val="center"/>
          </w:tcPr>
          <w:p w14:paraId="254C12E2">
            <w:pPr>
              <w:pStyle w:val="60"/>
              <w:adjustRightInd w:val="0"/>
              <w:snapToGrid w:val="0"/>
              <w:rPr>
                <w:rFonts w:hint="default" w:ascii="Times New Roman" w:hAnsi="Times New Roman" w:eastAsia="宋体" w:cs="Times New Roman"/>
                <w:sz w:val="21"/>
                <w:lang w:eastAsia="en-US"/>
              </w:rPr>
            </w:pPr>
          </w:p>
        </w:tc>
        <w:tc>
          <w:tcPr>
            <w:tcW w:w="305" w:type="pct"/>
            <w:vAlign w:val="center"/>
          </w:tcPr>
          <w:p w14:paraId="08A87A24">
            <w:pPr>
              <w:pStyle w:val="60"/>
              <w:adjustRightInd w:val="0"/>
              <w:snapToGrid w:val="0"/>
              <w:rPr>
                <w:rFonts w:hint="default" w:ascii="Times New Roman" w:hAnsi="Times New Roman" w:eastAsia="宋体" w:cs="Times New Roman"/>
                <w:lang w:eastAsia="en-US"/>
              </w:rPr>
            </w:pPr>
            <w:r>
              <w:rPr>
                <w:rFonts w:hint="default" w:ascii="Times New Roman" w:hAnsi="Times New Roman" w:eastAsia="宋体" w:cs="Times New Roman"/>
                <w:lang w:eastAsia="zh-CN"/>
              </w:rPr>
              <w:t>0.0462</w:t>
            </w:r>
          </w:p>
        </w:tc>
        <w:tc>
          <w:tcPr>
            <w:tcW w:w="340" w:type="pct"/>
            <w:vAlign w:val="center"/>
          </w:tcPr>
          <w:p w14:paraId="752401F3">
            <w:pPr>
              <w:pStyle w:val="60"/>
              <w:adjustRightInd w:val="0"/>
              <w:snapToGrid w:val="0"/>
              <w:rPr>
                <w:rFonts w:hint="default" w:ascii="Times New Roman" w:hAnsi="Times New Roman" w:eastAsia="宋体" w:cs="Times New Roman"/>
                <w:lang w:eastAsia="en-US"/>
              </w:rPr>
            </w:pPr>
            <w:r>
              <w:rPr>
                <w:rFonts w:hint="default" w:ascii="Times New Roman" w:hAnsi="Times New Roman" w:eastAsia="宋体" w:cs="Times New Roman"/>
                <w:lang w:eastAsia="zh-CN"/>
              </w:rPr>
              <w:t>0.0087</w:t>
            </w:r>
          </w:p>
        </w:tc>
        <w:tc>
          <w:tcPr>
            <w:tcW w:w="454" w:type="pct"/>
            <w:vAlign w:val="center"/>
          </w:tcPr>
          <w:p w14:paraId="504AE80F">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0.15</w:t>
            </w:r>
          </w:p>
        </w:tc>
        <w:tc>
          <w:tcPr>
            <w:tcW w:w="259" w:type="pct"/>
            <w:vAlign w:val="center"/>
          </w:tcPr>
          <w:p w14:paraId="2A4BED92">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有组织排放</w:t>
            </w:r>
          </w:p>
        </w:tc>
        <w:tc>
          <w:tcPr>
            <w:tcW w:w="252" w:type="pct"/>
            <w:vMerge w:val="continue"/>
            <w:vAlign w:val="center"/>
          </w:tcPr>
          <w:p w14:paraId="49B8BE4F">
            <w:pPr>
              <w:pStyle w:val="60"/>
              <w:adjustRightInd w:val="0"/>
              <w:snapToGrid w:val="0"/>
              <w:rPr>
                <w:rFonts w:hint="default" w:ascii="Times New Roman" w:hAnsi="Times New Roman" w:eastAsia="宋体" w:cs="Times New Roman"/>
                <w:sz w:val="21"/>
                <w:lang w:eastAsia="en-US"/>
              </w:rPr>
            </w:pPr>
          </w:p>
        </w:tc>
      </w:tr>
      <w:tr w14:paraId="68325F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continue"/>
            <w:vAlign w:val="center"/>
          </w:tcPr>
          <w:p w14:paraId="33D83DFF">
            <w:pPr>
              <w:pStyle w:val="60"/>
              <w:adjustRightInd w:val="0"/>
              <w:snapToGrid w:val="0"/>
              <w:rPr>
                <w:rFonts w:hint="default" w:ascii="Times New Roman" w:hAnsi="Times New Roman" w:eastAsia="宋体" w:cs="Times New Roman"/>
                <w:sz w:val="21"/>
                <w:lang w:eastAsia="en-US"/>
              </w:rPr>
            </w:pPr>
          </w:p>
        </w:tc>
        <w:tc>
          <w:tcPr>
            <w:tcW w:w="667" w:type="pct"/>
            <w:vMerge w:val="continue"/>
            <w:vAlign w:val="center"/>
          </w:tcPr>
          <w:p w14:paraId="6E64ACC9">
            <w:pPr>
              <w:pStyle w:val="60"/>
              <w:adjustRightInd w:val="0"/>
              <w:snapToGrid w:val="0"/>
              <w:rPr>
                <w:rFonts w:hint="default" w:ascii="Times New Roman" w:hAnsi="Times New Roman" w:eastAsia="宋体" w:cs="Times New Roman"/>
                <w:sz w:val="21"/>
                <w:lang w:eastAsia="en-US"/>
              </w:rPr>
            </w:pPr>
          </w:p>
        </w:tc>
        <w:tc>
          <w:tcPr>
            <w:tcW w:w="409" w:type="pct"/>
            <w:vMerge w:val="continue"/>
            <w:vAlign w:val="center"/>
          </w:tcPr>
          <w:p w14:paraId="1392FBE0">
            <w:pPr>
              <w:pStyle w:val="60"/>
              <w:adjustRightInd w:val="0"/>
              <w:snapToGrid w:val="0"/>
              <w:rPr>
                <w:rFonts w:hint="default" w:ascii="Times New Roman" w:hAnsi="Times New Roman" w:eastAsia="宋体" w:cs="Times New Roman"/>
                <w:sz w:val="21"/>
                <w:lang w:eastAsia="en-US"/>
              </w:rPr>
            </w:pPr>
          </w:p>
        </w:tc>
        <w:tc>
          <w:tcPr>
            <w:tcW w:w="362" w:type="pct"/>
            <w:vMerge w:val="continue"/>
            <w:vAlign w:val="center"/>
          </w:tcPr>
          <w:p w14:paraId="5DDB8891">
            <w:pPr>
              <w:pStyle w:val="60"/>
              <w:adjustRightInd w:val="0"/>
              <w:snapToGrid w:val="0"/>
              <w:rPr>
                <w:rFonts w:hint="default" w:ascii="Times New Roman" w:hAnsi="Times New Roman" w:eastAsia="宋体" w:cs="Times New Roman"/>
                <w:sz w:val="21"/>
                <w:lang w:eastAsia="en-US"/>
              </w:rPr>
            </w:pPr>
          </w:p>
        </w:tc>
        <w:tc>
          <w:tcPr>
            <w:tcW w:w="332" w:type="pct"/>
            <w:vMerge w:val="continue"/>
            <w:vAlign w:val="center"/>
          </w:tcPr>
          <w:p w14:paraId="54D9E342">
            <w:pPr>
              <w:pStyle w:val="60"/>
              <w:adjustRightInd w:val="0"/>
              <w:snapToGrid w:val="0"/>
              <w:rPr>
                <w:rFonts w:hint="default" w:ascii="Times New Roman" w:hAnsi="Times New Roman" w:eastAsia="宋体" w:cs="Times New Roman"/>
                <w:sz w:val="21"/>
                <w:lang w:eastAsia="en-US"/>
              </w:rPr>
            </w:pPr>
          </w:p>
        </w:tc>
        <w:tc>
          <w:tcPr>
            <w:tcW w:w="591" w:type="pct"/>
            <w:vMerge w:val="continue"/>
            <w:vAlign w:val="center"/>
          </w:tcPr>
          <w:p w14:paraId="6D3503A5">
            <w:pPr>
              <w:pStyle w:val="60"/>
              <w:adjustRightInd w:val="0"/>
              <w:snapToGrid w:val="0"/>
              <w:rPr>
                <w:rFonts w:hint="default" w:ascii="Times New Roman" w:hAnsi="Times New Roman" w:eastAsia="宋体" w:cs="Times New Roman"/>
                <w:sz w:val="21"/>
                <w:lang w:eastAsia="en-US"/>
              </w:rPr>
            </w:pPr>
          </w:p>
        </w:tc>
        <w:tc>
          <w:tcPr>
            <w:tcW w:w="365" w:type="pct"/>
            <w:vMerge w:val="continue"/>
            <w:vAlign w:val="center"/>
          </w:tcPr>
          <w:p w14:paraId="69552CDC">
            <w:pPr>
              <w:pStyle w:val="60"/>
              <w:adjustRightInd w:val="0"/>
              <w:snapToGrid w:val="0"/>
              <w:rPr>
                <w:rFonts w:hint="default" w:ascii="Times New Roman" w:hAnsi="Times New Roman" w:eastAsia="宋体" w:cs="Times New Roman"/>
                <w:sz w:val="21"/>
                <w:lang w:eastAsia="en-US"/>
              </w:rPr>
            </w:pPr>
          </w:p>
        </w:tc>
        <w:tc>
          <w:tcPr>
            <w:tcW w:w="305" w:type="pct"/>
            <w:vAlign w:val="center"/>
          </w:tcPr>
          <w:p w14:paraId="2A0E66C4">
            <w:pPr>
              <w:pStyle w:val="60"/>
              <w:adjustRightInd w:val="0"/>
              <w:snapToGrid w:val="0"/>
              <w:rPr>
                <w:rFonts w:hint="default" w:ascii="Times New Roman" w:hAnsi="Times New Roman" w:eastAsia="宋体" w:cs="Times New Roman"/>
                <w:lang w:eastAsia="en-US"/>
              </w:rPr>
            </w:pPr>
            <w:r>
              <w:rPr>
                <w:rFonts w:hint="default" w:ascii="Times New Roman" w:hAnsi="Times New Roman" w:eastAsia="宋体" w:cs="Times New Roman"/>
                <w:lang w:eastAsia="zh-CN"/>
              </w:rPr>
              <w:t>0.0486</w:t>
            </w:r>
          </w:p>
        </w:tc>
        <w:tc>
          <w:tcPr>
            <w:tcW w:w="340" w:type="pct"/>
            <w:vAlign w:val="center"/>
          </w:tcPr>
          <w:p w14:paraId="369A985F">
            <w:pPr>
              <w:pStyle w:val="60"/>
              <w:adjustRightInd w:val="0"/>
              <w:snapToGrid w:val="0"/>
              <w:rPr>
                <w:rFonts w:hint="default" w:ascii="Times New Roman" w:hAnsi="Times New Roman" w:eastAsia="宋体" w:cs="Times New Roman"/>
                <w:lang w:eastAsia="en-US"/>
              </w:rPr>
            </w:pPr>
            <w:r>
              <w:rPr>
                <w:rFonts w:hint="default" w:ascii="Times New Roman" w:hAnsi="Times New Roman" w:eastAsia="宋体" w:cs="Times New Roman"/>
                <w:lang w:eastAsia="zh-CN"/>
              </w:rPr>
              <w:t>0.0093</w:t>
            </w:r>
          </w:p>
        </w:tc>
        <w:tc>
          <w:tcPr>
            <w:tcW w:w="454" w:type="pct"/>
            <w:vAlign w:val="center"/>
          </w:tcPr>
          <w:p w14:paraId="6B264EAC">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w:t>
            </w:r>
          </w:p>
        </w:tc>
        <w:tc>
          <w:tcPr>
            <w:tcW w:w="259" w:type="pct"/>
            <w:vAlign w:val="center"/>
          </w:tcPr>
          <w:p w14:paraId="5061E5FD">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无组织排放</w:t>
            </w:r>
          </w:p>
        </w:tc>
        <w:tc>
          <w:tcPr>
            <w:tcW w:w="252" w:type="pct"/>
            <w:vMerge w:val="continue"/>
            <w:vAlign w:val="center"/>
          </w:tcPr>
          <w:p w14:paraId="5D231D30">
            <w:pPr>
              <w:pStyle w:val="60"/>
              <w:adjustRightInd w:val="0"/>
              <w:snapToGrid w:val="0"/>
              <w:rPr>
                <w:rFonts w:hint="default" w:ascii="Times New Roman" w:hAnsi="Times New Roman" w:eastAsia="宋体" w:cs="Times New Roman"/>
                <w:sz w:val="21"/>
                <w:lang w:eastAsia="en-US"/>
              </w:rPr>
            </w:pPr>
          </w:p>
        </w:tc>
      </w:tr>
      <w:tr w14:paraId="7A07FA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restart"/>
            <w:vAlign w:val="center"/>
          </w:tcPr>
          <w:p w14:paraId="689D9DD5">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污水处理站</w:t>
            </w:r>
          </w:p>
        </w:tc>
        <w:tc>
          <w:tcPr>
            <w:tcW w:w="667" w:type="pct"/>
            <w:vMerge w:val="restart"/>
            <w:vAlign w:val="center"/>
          </w:tcPr>
          <w:p w14:paraId="4F09BA4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厌氧处理单元</w:t>
            </w:r>
          </w:p>
        </w:tc>
        <w:tc>
          <w:tcPr>
            <w:tcW w:w="409" w:type="pct"/>
            <w:vAlign w:val="center"/>
          </w:tcPr>
          <w:p w14:paraId="72AD5D0C">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NH</w:t>
            </w:r>
            <w:r>
              <w:rPr>
                <w:rFonts w:hint="default" w:ascii="Times New Roman" w:hAnsi="Times New Roman" w:eastAsia="宋体" w:cs="Times New Roman"/>
                <w:sz w:val="21"/>
                <w:vertAlign w:val="subscript"/>
                <w:lang w:eastAsia="zh-CN"/>
              </w:rPr>
              <w:t>3</w:t>
            </w:r>
          </w:p>
        </w:tc>
        <w:tc>
          <w:tcPr>
            <w:tcW w:w="362" w:type="pct"/>
            <w:vAlign w:val="center"/>
          </w:tcPr>
          <w:p w14:paraId="18CAAEB7">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0.0261</w:t>
            </w:r>
          </w:p>
        </w:tc>
        <w:tc>
          <w:tcPr>
            <w:tcW w:w="332" w:type="pct"/>
            <w:vAlign w:val="center"/>
          </w:tcPr>
          <w:p w14:paraId="2739FC6A">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0.0066</w:t>
            </w:r>
          </w:p>
        </w:tc>
        <w:tc>
          <w:tcPr>
            <w:tcW w:w="591" w:type="pct"/>
            <w:vMerge w:val="restart"/>
            <w:vAlign w:val="center"/>
          </w:tcPr>
          <w:p w14:paraId="61033BA7">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无组织排放</w:t>
            </w:r>
          </w:p>
        </w:tc>
        <w:tc>
          <w:tcPr>
            <w:tcW w:w="365" w:type="pct"/>
            <w:vMerge w:val="restart"/>
            <w:vAlign w:val="center"/>
          </w:tcPr>
          <w:p w14:paraId="2B512CD6">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w:t>
            </w:r>
          </w:p>
        </w:tc>
        <w:tc>
          <w:tcPr>
            <w:tcW w:w="305" w:type="pct"/>
            <w:vAlign w:val="center"/>
          </w:tcPr>
          <w:p w14:paraId="0E3036EB">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0.0261</w:t>
            </w:r>
          </w:p>
        </w:tc>
        <w:tc>
          <w:tcPr>
            <w:tcW w:w="340" w:type="pct"/>
            <w:vAlign w:val="center"/>
          </w:tcPr>
          <w:p w14:paraId="2859E4B8">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0.0066</w:t>
            </w:r>
          </w:p>
        </w:tc>
        <w:tc>
          <w:tcPr>
            <w:tcW w:w="454" w:type="pct"/>
            <w:vAlign w:val="center"/>
          </w:tcPr>
          <w:p w14:paraId="406876CA">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w:t>
            </w:r>
          </w:p>
        </w:tc>
        <w:tc>
          <w:tcPr>
            <w:tcW w:w="259" w:type="pct"/>
            <w:vMerge w:val="restart"/>
            <w:vAlign w:val="center"/>
          </w:tcPr>
          <w:p w14:paraId="0C5102B7">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无组织排放</w:t>
            </w:r>
          </w:p>
        </w:tc>
        <w:tc>
          <w:tcPr>
            <w:tcW w:w="252" w:type="pct"/>
            <w:vMerge w:val="restart"/>
            <w:vAlign w:val="center"/>
          </w:tcPr>
          <w:p w14:paraId="6F0A01C3">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5280</w:t>
            </w:r>
          </w:p>
        </w:tc>
      </w:tr>
      <w:tr w14:paraId="64BDD5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continue"/>
            <w:vAlign w:val="center"/>
          </w:tcPr>
          <w:p w14:paraId="41547516">
            <w:pPr>
              <w:pStyle w:val="60"/>
              <w:adjustRightInd w:val="0"/>
              <w:snapToGrid w:val="0"/>
              <w:rPr>
                <w:rFonts w:hint="default" w:ascii="Times New Roman" w:hAnsi="Times New Roman" w:eastAsia="宋体" w:cs="Times New Roman"/>
                <w:sz w:val="21"/>
                <w:lang w:eastAsia="en-US"/>
              </w:rPr>
            </w:pPr>
          </w:p>
        </w:tc>
        <w:tc>
          <w:tcPr>
            <w:tcW w:w="667" w:type="pct"/>
            <w:vMerge w:val="continue"/>
            <w:vAlign w:val="center"/>
          </w:tcPr>
          <w:p w14:paraId="2E67B922">
            <w:pPr>
              <w:pStyle w:val="60"/>
              <w:adjustRightInd w:val="0"/>
              <w:snapToGrid w:val="0"/>
              <w:rPr>
                <w:rFonts w:hint="default" w:ascii="Times New Roman" w:hAnsi="Times New Roman" w:eastAsia="宋体" w:cs="Times New Roman"/>
                <w:sz w:val="21"/>
                <w:lang w:eastAsia="en-US"/>
              </w:rPr>
            </w:pPr>
          </w:p>
        </w:tc>
        <w:tc>
          <w:tcPr>
            <w:tcW w:w="409" w:type="pct"/>
            <w:vAlign w:val="center"/>
          </w:tcPr>
          <w:p w14:paraId="3C63529F">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H</w:t>
            </w:r>
            <w:r>
              <w:rPr>
                <w:rFonts w:hint="default" w:ascii="Times New Roman" w:hAnsi="Times New Roman" w:eastAsia="宋体" w:cs="Times New Roman"/>
                <w:sz w:val="21"/>
                <w:vertAlign w:val="subscript"/>
                <w:lang w:eastAsia="zh-CN"/>
              </w:rPr>
              <w:t>2</w:t>
            </w:r>
            <w:r>
              <w:rPr>
                <w:rFonts w:hint="default" w:ascii="Times New Roman" w:hAnsi="Times New Roman" w:eastAsia="宋体" w:cs="Times New Roman"/>
                <w:sz w:val="21"/>
                <w:lang w:eastAsia="zh-CN"/>
              </w:rPr>
              <w:t>S</w:t>
            </w:r>
          </w:p>
        </w:tc>
        <w:tc>
          <w:tcPr>
            <w:tcW w:w="362" w:type="pct"/>
            <w:vAlign w:val="center"/>
          </w:tcPr>
          <w:p w14:paraId="46F91D6C">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0.0008</w:t>
            </w:r>
          </w:p>
        </w:tc>
        <w:tc>
          <w:tcPr>
            <w:tcW w:w="332" w:type="pct"/>
            <w:vAlign w:val="center"/>
          </w:tcPr>
          <w:p w14:paraId="4D840FFD">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0.0002</w:t>
            </w:r>
          </w:p>
        </w:tc>
        <w:tc>
          <w:tcPr>
            <w:tcW w:w="591" w:type="pct"/>
            <w:vMerge w:val="continue"/>
            <w:vAlign w:val="center"/>
          </w:tcPr>
          <w:p w14:paraId="16505C27">
            <w:pPr>
              <w:pStyle w:val="60"/>
              <w:adjustRightInd w:val="0"/>
              <w:snapToGrid w:val="0"/>
              <w:rPr>
                <w:rFonts w:hint="default" w:ascii="Times New Roman" w:hAnsi="Times New Roman" w:eastAsia="宋体" w:cs="Times New Roman"/>
                <w:sz w:val="21"/>
                <w:lang w:eastAsia="en-US"/>
              </w:rPr>
            </w:pPr>
          </w:p>
        </w:tc>
        <w:tc>
          <w:tcPr>
            <w:tcW w:w="365" w:type="pct"/>
            <w:vMerge w:val="continue"/>
            <w:vAlign w:val="center"/>
          </w:tcPr>
          <w:p w14:paraId="01BF013C">
            <w:pPr>
              <w:pStyle w:val="60"/>
              <w:adjustRightInd w:val="0"/>
              <w:snapToGrid w:val="0"/>
              <w:rPr>
                <w:rFonts w:hint="default" w:ascii="Times New Roman" w:hAnsi="Times New Roman" w:eastAsia="宋体" w:cs="Times New Roman"/>
                <w:sz w:val="21"/>
                <w:lang w:eastAsia="en-US"/>
              </w:rPr>
            </w:pPr>
          </w:p>
        </w:tc>
        <w:tc>
          <w:tcPr>
            <w:tcW w:w="305" w:type="pct"/>
            <w:vAlign w:val="center"/>
          </w:tcPr>
          <w:p w14:paraId="1CBC70E2">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0.0008</w:t>
            </w:r>
          </w:p>
        </w:tc>
        <w:tc>
          <w:tcPr>
            <w:tcW w:w="340" w:type="pct"/>
            <w:vAlign w:val="center"/>
          </w:tcPr>
          <w:p w14:paraId="6F7C00BA">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0.0002</w:t>
            </w:r>
          </w:p>
        </w:tc>
        <w:tc>
          <w:tcPr>
            <w:tcW w:w="454" w:type="pct"/>
            <w:vAlign w:val="center"/>
          </w:tcPr>
          <w:p w14:paraId="06C95801">
            <w:pPr>
              <w:pStyle w:val="60"/>
              <w:adjustRightInd w:val="0"/>
              <w:snapToGrid w:val="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w:t>
            </w:r>
          </w:p>
        </w:tc>
        <w:tc>
          <w:tcPr>
            <w:tcW w:w="259" w:type="pct"/>
            <w:vMerge w:val="continue"/>
            <w:vAlign w:val="center"/>
          </w:tcPr>
          <w:p w14:paraId="6F5D83FB">
            <w:pPr>
              <w:pStyle w:val="60"/>
              <w:adjustRightInd w:val="0"/>
              <w:snapToGrid w:val="0"/>
              <w:rPr>
                <w:rFonts w:hint="default" w:ascii="Times New Roman" w:hAnsi="Times New Roman" w:eastAsia="宋体" w:cs="Times New Roman"/>
                <w:sz w:val="21"/>
                <w:lang w:eastAsia="en-US"/>
              </w:rPr>
            </w:pPr>
          </w:p>
        </w:tc>
        <w:tc>
          <w:tcPr>
            <w:tcW w:w="252" w:type="pct"/>
            <w:vMerge w:val="continue"/>
            <w:vAlign w:val="center"/>
          </w:tcPr>
          <w:p w14:paraId="0D9A9B44">
            <w:pPr>
              <w:pStyle w:val="60"/>
              <w:adjustRightInd w:val="0"/>
              <w:snapToGrid w:val="0"/>
              <w:rPr>
                <w:rFonts w:hint="default" w:ascii="Times New Roman" w:hAnsi="Times New Roman" w:eastAsia="宋体" w:cs="Times New Roman"/>
                <w:sz w:val="21"/>
                <w:lang w:eastAsia="en-US"/>
              </w:rPr>
            </w:pPr>
          </w:p>
        </w:tc>
      </w:tr>
      <w:tr w14:paraId="4BD942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61" w:type="pct"/>
            <w:vMerge w:val="continue"/>
            <w:vAlign w:val="center"/>
          </w:tcPr>
          <w:p w14:paraId="310D0830">
            <w:pPr>
              <w:pStyle w:val="60"/>
              <w:adjustRightInd w:val="0"/>
              <w:snapToGrid w:val="0"/>
              <w:rPr>
                <w:rFonts w:hint="default" w:ascii="Times New Roman" w:hAnsi="Times New Roman" w:eastAsia="宋体" w:cs="Times New Roman"/>
                <w:sz w:val="21"/>
                <w:lang w:eastAsia="en-US"/>
              </w:rPr>
            </w:pPr>
          </w:p>
        </w:tc>
        <w:tc>
          <w:tcPr>
            <w:tcW w:w="667" w:type="pct"/>
            <w:vAlign w:val="center"/>
          </w:tcPr>
          <w:p w14:paraId="4D7B8BC0">
            <w:pPr>
              <w:pStyle w:val="60"/>
              <w:adjustRightInd w:val="0"/>
              <w:snapToGrid w:val="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409" w:type="pct"/>
            <w:vAlign w:val="center"/>
          </w:tcPr>
          <w:p w14:paraId="28C6D330">
            <w:pPr>
              <w:pStyle w:val="60"/>
              <w:adjustRightInd w:val="0"/>
              <w:snapToGrid w:val="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臭气浓度</w:t>
            </w:r>
          </w:p>
        </w:tc>
        <w:tc>
          <w:tcPr>
            <w:tcW w:w="694" w:type="pct"/>
            <w:gridSpan w:val="2"/>
            <w:vAlign w:val="center"/>
          </w:tcPr>
          <w:p w14:paraId="2B397043">
            <w:pPr>
              <w:pStyle w:val="60"/>
              <w:adjustRightInd w:val="0"/>
              <w:snapToGrid w:val="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15（无量纲）</w:t>
            </w:r>
          </w:p>
        </w:tc>
        <w:tc>
          <w:tcPr>
            <w:tcW w:w="591" w:type="pct"/>
            <w:vMerge w:val="continue"/>
            <w:vAlign w:val="center"/>
          </w:tcPr>
          <w:p w14:paraId="367DFA74">
            <w:pPr>
              <w:pStyle w:val="60"/>
              <w:adjustRightInd w:val="0"/>
              <w:snapToGrid w:val="0"/>
              <w:rPr>
                <w:rFonts w:hint="default" w:ascii="Times New Roman" w:hAnsi="Times New Roman" w:eastAsia="宋体" w:cs="Times New Roman"/>
                <w:sz w:val="21"/>
                <w:lang w:eastAsia="en-US"/>
              </w:rPr>
            </w:pPr>
          </w:p>
        </w:tc>
        <w:tc>
          <w:tcPr>
            <w:tcW w:w="365" w:type="pct"/>
            <w:vMerge w:val="continue"/>
            <w:vAlign w:val="center"/>
          </w:tcPr>
          <w:p w14:paraId="167A6F66">
            <w:pPr>
              <w:pStyle w:val="60"/>
              <w:adjustRightInd w:val="0"/>
              <w:snapToGrid w:val="0"/>
              <w:rPr>
                <w:rFonts w:hint="default" w:ascii="Times New Roman" w:hAnsi="Times New Roman" w:eastAsia="宋体" w:cs="Times New Roman"/>
                <w:sz w:val="21"/>
                <w:lang w:eastAsia="en-US"/>
              </w:rPr>
            </w:pPr>
          </w:p>
        </w:tc>
        <w:tc>
          <w:tcPr>
            <w:tcW w:w="645" w:type="pct"/>
            <w:gridSpan w:val="2"/>
            <w:vAlign w:val="center"/>
          </w:tcPr>
          <w:p w14:paraId="234634EF">
            <w:pPr>
              <w:pStyle w:val="60"/>
              <w:adjustRightInd w:val="0"/>
              <w:snapToGrid w:val="0"/>
              <w:rPr>
                <w:rFonts w:hint="default" w:ascii="Times New Roman" w:hAnsi="Times New Roman" w:eastAsia="宋体" w:cs="Times New Roman"/>
                <w:sz w:val="21"/>
                <w:lang w:eastAsia="zh-CN"/>
              </w:rPr>
            </w:pPr>
            <w:r>
              <w:rPr>
                <w:rFonts w:hint="default" w:ascii="Times New Roman" w:hAnsi="Times New Roman" w:eastAsia="宋体" w:cs="Times New Roman"/>
                <w:sz w:val="21"/>
                <w:lang w:val="en-US" w:eastAsia="zh-CN"/>
              </w:rPr>
              <w:t>15（无量纲）</w:t>
            </w:r>
          </w:p>
        </w:tc>
        <w:tc>
          <w:tcPr>
            <w:tcW w:w="454" w:type="pct"/>
            <w:vAlign w:val="center"/>
          </w:tcPr>
          <w:p w14:paraId="494F3412">
            <w:pPr>
              <w:pStyle w:val="60"/>
              <w:adjustRightInd w:val="0"/>
              <w:snapToGrid w:val="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w:t>
            </w:r>
          </w:p>
        </w:tc>
        <w:tc>
          <w:tcPr>
            <w:tcW w:w="259" w:type="pct"/>
            <w:vMerge w:val="continue"/>
            <w:vAlign w:val="center"/>
          </w:tcPr>
          <w:p w14:paraId="6D23D87C">
            <w:pPr>
              <w:pStyle w:val="60"/>
              <w:adjustRightInd w:val="0"/>
              <w:snapToGrid w:val="0"/>
              <w:rPr>
                <w:rFonts w:hint="default" w:ascii="Times New Roman" w:hAnsi="Times New Roman" w:eastAsia="宋体" w:cs="Times New Roman"/>
                <w:sz w:val="21"/>
                <w:lang w:eastAsia="en-US"/>
              </w:rPr>
            </w:pPr>
          </w:p>
        </w:tc>
        <w:tc>
          <w:tcPr>
            <w:tcW w:w="252" w:type="pct"/>
            <w:vMerge w:val="continue"/>
            <w:vAlign w:val="center"/>
          </w:tcPr>
          <w:p w14:paraId="702BE593">
            <w:pPr>
              <w:pStyle w:val="60"/>
              <w:adjustRightInd w:val="0"/>
              <w:snapToGrid w:val="0"/>
              <w:rPr>
                <w:rFonts w:hint="default" w:ascii="Times New Roman" w:hAnsi="Times New Roman" w:eastAsia="宋体" w:cs="Times New Roman"/>
                <w:sz w:val="21"/>
                <w:lang w:eastAsia="en-US"/>
              </w:rPr>
            </w:pPr>
          </w:p>
        </w:tc>
      </w:tr>
      <w:bookmarkEnd w:id="293"/>
    </w:tbl>
    <w:p w14:paraId="1AA8C2B8">
      <w:pPr>
        <w:pStyle w:val="48"/>
        <w:spacing w:line="360" w:lineRule="auto"/>
        <w:ind w:firstLine="0" w:firstLineChars="0"/>
        <w:jc w:val="center"/>
        <w:rPr>
          <w:rFonts w:hint="default" w:ascii="Times New Roman" w:hAnsi="Times New Roman" w:eastAsia="宋体" w:cs="Times New Roman"/>
          <w:b/>
          <w:sz w:val="21"/>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521A917C">
      <w:pPr>
        <w:pStyle w:val="5"/>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rPr>
      </w:pPr>
      <w:r>
        <w:rPr>
          <w:rFonts w:hint="default" w:ascii="Times New Roman" w:hAnsi="Times New Roman" w:eastAsia="宋体" w:cs="Times New Roman"/>
          <w:sz w:val="24"/>
        </w:rPr>
        <w:t>5.5.</w:t>
      </w:r>
      <w:r>
        <w:rPr>
          <w:rFonts w:hint="default" w:ascii="Times New Roman" w:hAnsi="Times New Roman" w:eastAsia="宋体" w:cs="Times New Roman"/>
          <w:sz w:val="24"/>
          <w:lang w:val="en-US" w:eastAsia="zh-CN"/>
        </w:rPr>
        <w:t>2.2</w:t>
      </w:r>
      <w:r>
        <w:rPr>
          <w:rFonts w:hint="default" w:ascii="Times New Roman" w:hAnsi="Times New Roman" w:eastAsia="宋体" w:cs="Times New Roman"/>
          <w:color w:val="000000"/>
          <w:sz w:val="24"/>
        </w:rPr>
        <w:t>水污染源源强</w:t>
      </w:r>
    </w:p>
    <w:p w14:paraId="11652447">
      <w:pPr>
        <w:pStyle w:val="48"/>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产生的废水包括生产废水和员工生活污水，生产废水主要来源于废包装桶整形翻新过程产生的清洗废水、废金属包装容器破碎清洗过程清洗废水、废塑料包装物破碎清洗过程清洗废水。根据建设方提供的资料，企业生产场地保洁采用拖把进行清洁，不对场地进行</w:t>
      </w:r>
      <w:r>
        <w:rPr>
          <w:rFonts w:hint="default" w:ascii="Times New Roman" w:hAnsi="Times New Roman" w:eastAsia="宋体" w:cs="Times New Roman"/>
          <w:sz w:val="24"/>
          <w:szCs w:val="21"/>
          <w:lang w:val="en-US" w:eastAsia="zh-CN"/>
        </w:rPr>
        <w:t>冲洗</w:t>
      </w:r>
      <w:r>
        <w:rPr>
          <w:rFonts w:hint="default" w:ascii="Times New Roman" w:hAnsi="Times New Roman" w:eastAsia="宋体" w:cs="Times New Roman"/>
          <w:sz w:val="24"/>
          <w:szCs w:val="21"/>
        </w:rPr>
        <w:t>。</w:t>
      </w:r>
    </w:p>
    <w:p w14:paraId="1A87BC3D">
      <w:pPr>
        <w:pStyle w:val="48"/>
        <w:pageBreakBefore w:val="0"/>
        <w:widowControl w:val="0"/>
        <w:kinsoku/>
        <w:wordWrap/>
        <w:overflowPunct/>
        <w:topLinePunct w:val="0"/>
        <w:autoSpaceDE/>
        <w:autoSpaceDN/>
        <w:bidi w:val="0"/>
        <w:adjustRightInd/>
        <w:snapToGrid/>
        <w:spacing w:before="0" w:line="360" w:lineRule="auto"/>
        <w:ind w:left="0" w:leftChars="0" w:firstLine="0" w:firstLineChars="0"/>
        <w:textAlignment w:val="auto"/>
        <w:rPr>
          <w:rFonts w:hint="default" w:ascii="Times New Roman" w:hAnsi="Times New Roman" w:eastAsia="宋体" w:cs="Times New Roman"/>
          <w:b/>
          <w:bCs/>
          <w:sz w:val="24"/>
          <w:szCs w:val="21"/>
          <w:u w:val="single"/>
        </w:rPr>
      </w:pPr>
      <w:r>
        <w:rPr>
          <w:rFonts w:hint="default" w:ascii="Times New Roman" w:hAnsi="Times New Roman" w:eastAsia="宋体" w:cs="Times New Roman"/>
          <w:b/>
          <w:bCs/>
          <w:sz w:val="24"/>
          <w:szCs w:val="21"/>
          <w:u w:val="single"/>
          <w:lang w:val="en-US" w:eastAsia="zh-CN"/>
        </w:rPr>
        <w:t>一、</w:t>
      </w:r>
      <w:r>
        <w:rPr>
          <w:rFonts w:hint="default" w:ascii="Times New Roman" w:hAnsi="Times New Roman" w:eastAsia="宋体" w:cs="Times New Roman"/>
          <w:b/>
          <w:bCs/>
          <w:sz w:val="24"/>
          <w:szCs w:val="21"/>
          <w:u w:val="single"/>
        </w:rPr>
        <w:t>生产废水</w:t>
      </w:r>
    </w:p>
    <w:p w14:paraId="3DFD7BC5">
      <w:pPr>
        <w:pStyle w:val="48"/>
        <w:pageBreakBefore w:val="0"/>
        <w:widowControl w:val="0"/>
        <w:kinsoku/>
        <w:wordWrap/>
        <w:overflowPunct/>
        <w:topLinePunct w:val="0"/>
        <w:autoSpaceDE/>
        <w:autoSpaceDN/>
        <w:bidi w:val="0"/>
        <w:adjustRightInd/>
        <w:snapToGrid/>
        <w:spacing w:before="0" w:line="360" w:lineRule="auto"/>
        <w:ind w:firstLine="482"/>
        <w:textAlignment w:val="auto"/>
        <w:rPr>
          <w:rFonts w:hint="default" w:ascii="Times New Roman" w:hAnsi="Times New Roman" w:eastAsia="宋体" w:cs="Times New Roman"/>
          <w:b/>
          <w:bCs/>
          <w:sz w:val="24"/>
          <w:szCs w:val="21"/>
          <w:u w:val="single"/>
        </w:rPr>
      </w:pPr>
      <w:r>
        <w:rPr>
          <w:rFonts w:hint="default" w:ascii="Times New Roman" w:hAnsi="Times New Roman" w:eastAsia="宋体" w:cs="Times New Roman"/>
          <w:b/>
          <w:bCs/>
          <w:sz w:val="24"/>
          <w:szCs w:val="21"/>
          <w:u w:val="single"/>
        </w:rPr>
        <w:t>（1）废包装桶整形翻新过程产生的清洗废水</w:t>
      </w:r>
    </w:p>
    <w:p w14:paraId="35C6F379">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本项目需进行整形翻新的包装桶合计2000t/a（其中金属桶1500t/a、IBC塑料吨桶500t/a），废金属桶的净重约为 20kg，废IBC吨桶中净重约为55kg（其中金属框架约为40kg），则项目整形翻新的金属桶约75000个、IBC吨桶约9000个。</w:t>
      </w:r>
    </w:p>
    <w:p w14:paraId="683C348F">
      <w:pPr>
        <w:pStyle w:val="48"/>
        <w:spacing w:before="0" w:line="360" w:lineRule="auto"/>
        <w:rPr>
          <w:rFonts w:hint="default" w:ascii="Times New Roman" w:hAnsi="Times New Roman" w:eastAsia="宋体" w:cs="Times New Roman"/>
          <w:sz w:val="24"/>
          <w:szCs w:val="21"/>
          <w:u w:val="single"/>
          <w:lang w:val="en-US" w:eastAsia="zh-CN"/>
        </w:rPr>
      </w:pPr>
      <w:r>
        <w:rPr>
          <w:rFonts w:hint="default" w:ascii="Times New Roman" w:hAnsi="Times New Roman" w:eastAsia="宋体" w:cs="Times New Roman"/>
          <w:sz w:val="24"/>
          <w:szCs w:val="21"/>
          <w:u w:val="single"/>
          <w:lang w:val="en-US" w:eastAsia="zh-CN"/>
        </w:rPr>
        <w:t>根据项目设备方提供的设备运行参数，该生产线用水段包括3段：撕碎喷淋用水（0.2m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/h）、团粒喷淋用水（0.6m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/h）、清洗喷淋用水（0.3m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/h），合计用水量为1.1m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/h，按每天8h运行计算，则用水量为8.8m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/d、2904m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/a，</w:t>
      </w:r>
      <w:r>
        <w:rPr>
          <w:rFonts w:hint="default" w:ascii="Times New Roman" w:hAnsi="Times New Roman" w:eastAsia="宋体" w:cs="Times New Roman"/>
          <w:sz w:val="24"/>
          <w:szCs w:val="21"/>
          <w:u w:val="single"/>
        </w:rPr>
        <w:t>排污系数取0.8，则项目废包装桶整形翻新清洗废水量为</w:t>
      </w:r>
      <w:r>
        <w:rPr>
          <w:rFonts w:hint="default" w:ascii="Times New Roman" w:hAnsi="Times New Roman" w:eastAsia="宋体" w:cs="Times New Roman"/>
          <w:sz w:val="24"/>
          <w:szCs w:val="21"/>
          <w:u w:val="single"/>
          <w:lang w:val="en-US" w:eastAsia="zh-CN"/>
        </w:rPr>
        <w:t>7.04</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/d（</w:t>
      </w:r>
      <w:r>
        <w:rPr>
          <w:rFonts w:hint="default" w:ascii="Times New Roman" w:hAnsi="Times New Roman" w:eastAsia="宋体" w:cs="Times New Roman"/>
          <w:sz w:val="24"/>
          <w:szCs w:val="21"/>
          <w:u w:val="single"/>
          <w:lang w:val="en-US" w:eastAsia="zh-CN"/>
        </w:rPr>
        <w:t>2323.2</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/a）。</w:t>
      </w:r>
    </w:p>
    <w:p w14:paraId="178F2E26">
      <w:pPr>
        <w:pStyle w:val="48"/>
        <w:spacing w:before="0" w:line="360" w:lineRule="auto"/>
        <w:ind w:firstLine="482"/>
        <w:rPr>
          <w:rFonts w:hint="default" w:ascii="Times New Roman" w:hAnsi="Times New Roman" w:eastAsia="宋体" w:cs="Times New Roman"/>
          <w:b/>
          <w:bCs/>
          <w:sz w:val="24"/>
          <w:szCs w:val="21"/>
          <w:u w:val="single"/>
        </w:rPr>
      </w:pPr>
      <w:r>
        <w:rPr>
          <w:rFonts w:hint="default" w:ascii="Times New Roman" w:hAnsi="Times New Roman" w:eastAsia="宋体" w:cs="Times New Roman"/>
          <w:b/>
          <w:bCs/>
          <w:sz w:val="24"/>
          <w:szCs w:val="21"/>
          <w:u w:val="single"/>
        </w:rPr>
        <w:t>（2）废金属包装容器及废金属机油滤芯破碎清洗过程清洗废水</w:t>
      </w:r>
    </w:p>
    <w:p w14:paraId="07653327">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本项目进行破碎清洗的废金属包装容器及废金属机油滤芯合计13500t/a（其中废金属包装容器8500t/a、废金属机油滤芯5000t/a）。</w:t>
      </w:r>
    </w:p>
    <w:p w14:paraId="679E8437">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lang w:val="en-US" w:eastAsia="zh-CN"/>
        </w:rPr>
        <w:t>根据项目设备方提供的设备运行参数，该生产线用水段包括3段：撕碎喷淋用水（0.2m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/h）、团粒喷淋用水（0.6m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/h）、摩擦滚筒喷淋用水（0.3m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/h），合计用水量为1.1m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/h，按每天8h运行计算，则用水量为8.8m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/d、2904m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/a，</w:t>
      </w:r>
      <w:r>
        <w:rPr>
          <w:rFonts w:hint="default" w:ascii="Times New Roman" w:hAnsi="Times New Roman" w:eastAsia="宋体" w:cs="Times New Roman"/>
          <w:sz w:val="24"/>
          <w:szCs w:val="21"/>
          <w:u w:val="single"/>
        </w:rPr>
        <w:t>排污系数取0.8，则项目废金属包装容器及废金属机油滤芯破碎清洗废水量为</w:t>
      </w:r>
      <w:r>
        <w:rPr>
          <w:rFonts w:hint="default" w:ascii="Times New Roman" w:hAnsi="Times New Roman" w:eastAsia="宋体" w:cs="Times New Roman"/>
          <w:sz w:val="24"/>
          <w:szCs w:val="21"/>
          <w:u w:val="single"/>
          <w:lang w:val="en-US" w:eastAsia="zh-CN"/>
        </w:rPr>
        <w:t>7.04</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/d（</w:t>
      </w:r>
      <w:r>
        <w:rPr>
          <w:rFonts w:hint="default" w:ascii="Times New Roman" w:hAnsi="Times New Roman" w:eastAsia="宋体" w:cs="Times New Roman"/>
          <w:sz w:val="24"/>
          <w:szCs w:val="21"/>
          <w:u w:val="single"/>
          <w:lang w:val="en-US" w:eastAsia="zh-CN"/>
        </w:rPr>
        <w:t>2323.2</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/a）。</w:t>
      </w:r>
    </w:p>
    <w:p w14:paraId="686F2476">
      <w:pPr>
        <w:pStyle w:val="48"/>
        <w:spacing w:before="0" w:line="360" w:lineRule="auto"/>
        <w:ind w:firstLine="482"/>
        <w:rPr>
          <w:rFonts w:hint="default" w:ascii="Times New Roman" w:hAnsi="Times New Roman" w:eastAsia="宋体" w:cs="Times New Roman"/>
          <w:b/>
          <w:bCs/>
          <w:sz w:val="24"/>
          <w:szCs w:val="21"/>
          <w:u w:val="single"/>
        </w:rPr>
      </w:pPr>
      <w:r>
        <w:rPr>
          <w:rFonts w:hint="default" w:ascii="Times New Roman" w:hAnsi="Times New Roman" w:eastAsia="宋体" w:cs="Times New Roman"/>
          <w:b/>
          <w:bCs/>
          <w:sz w:val="24"/>
          <w:szCs w:val="21"/>
          <w:u w:val="single"/>
        </w:rPr>
        <w:t>（3）废塑料包装物破碎清洗过程清洗废水</w:t>
      </w:r>
    </w:p>
    <w:p w14:paraId="72A5159A">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本项目进行破碎清洗的废塑料包装容器合计4500t/a。</w:t>
      </w:r>
    </w:p>
    <w:p w14:paraId="587F9E11">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lang w:val="en-US" w:eastAsia="zh-CN"/>
        </w:rPr>
        <w:t>根据项目设备方提供的设备运行参数，该生产线用水段包括5段：撕碎喷淋用水（0.2m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/h）、破碎喷淋用水（0.2m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/h）、摩擦清洗喷淋用水（0.3m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/h）、分离沉淀用水（0.5m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/h）、脱水喷淋用水（0.1m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/h，脱水机运行时会产生碎末，用水冲洗清洁筛网），合计用水量为1.3m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/h，按每天8h运行计算，则用水量为10.4m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/d、3432m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/a，</w:t>
      </w:r>
      <w:r>
        <w:rPr>
          <w:rFonts w:hint="default" w:ascii="Times New Roman" w:hAnsi="Times New Roman" w:eastAsia="宋体" w:cs="Times New Roman"/>
          <w:sz w:val="24"/>
          <w:szCs w:val="21"/>
          <w:u w:val="single"/>
        </w:rPr>
        <w:t>排污系数取0.8，则项目废塑料包装容器破碎清洗废水量为</w:t>
      </w:r>
      <w:r>
        <w:rPr>
          <w:rFonts w:hint="default" w:ascii="Times New Roman" w:hAnsi="Times New Roman" w:eastAsia="宋体" w:cs="Times New Roman"/>
          <w:sz w:val="24"/>
          <w:szCs w:val="21"/>
          <w:u w:val="single"/>
          <w:lang w:val="en-US" w:eastAsia="zh-CN"/>
        </w:rPr>
        <w:t>8.32</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/d（</w:t>
      </w:r>
      <w:r>
        <w:rPr>
          <w:rFonts w:hint="default" w:ascii="Times New Roman" w:hAnsi="Times New Roman" w:eastAsia="宋体" w:cs="Times New Roman"/>
          <w:sz w:val="24"/>
          <w:szCs w:val="21"/>
          <w:u w:val="single"/>
          <w:lang w:val="en-US" w:eastAsia="zh-CN"/>
        </w:rPr>
        <w:t>2745.6</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/a）。</w:t>
      </w:r>
    </w:p>
    <w:p w14:paraId="5F5D1B96">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lang w:eastAsia="zh-CN"/>
        </w:rPr>
        <w:t>综上所述</w:t>
      </w:r>
      <w:r>
        <w:rPr>
          <w:rFonts w:hint="default" w:ascii="Times New Roman" w:hAnsi="Times New Roman" w:eastAsia="宋体" w:cs="Times New Roman"/>
          <w:sz w:val="24"/>
          <w:szCs w:val="21"/>
          <w:u w:val="single"/>
        </w:rPr>
        <w:t>，项目所设置的3条生产线的各类清洗用水总量为</w:t>
      </w:r>
      <w:r>
        <w:rPr>
          <w:rFonts w:hint="default" w:ascii="Times New Roman" w:hAnsi="Times New Roman" w:eastAsia="宋体" w:cs="Times New Roman"/>
          <w:sz w:val="24"/>
          <w:szCs w:val="21"/>
          <w:u w:val="single"/>
          <w:lang w:val="en-US" w:eastAsia="zh-CN"/>
        </w:rPr>
        <w:t>28</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/d，</w:t>
      </w:r>
      <w:r>
        <w:rPr>
          <w:rFonts w:hint="default" w:ascii="Times New Roman" w:hAnsi="Times New Roman" w:eastAsia="宋体" w:cs="Times New Roman"/>
          <w:sz w:val="24"/>
          <w:szCs w:val="21"/>
          <w:u w:val="single"/>
          <w:lang w:val="en-US" w:eastAsia="zh-CN"/>
        </w:rPr>
        <w:t>9240</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/a，排污系数取0.8，则废水总量为</w:t>
      </w:r>
      <w:r>
        <w:rPr>
          <w:rFonts w:hint="default" w:ascii="Times New Roman" w:hAnsi="Times New Roman" w:eastAsia="宋体" w:cs="Times New Roman"/>
          <w:sz w:val="24"/>
          <w:szCs w:val="21"/>
          <w:u w:val="single"/>
          <w:lang w:val="en-US" w:eastAsia="zh-CN"/>
        </w:rPr>
        <w:t>22.4</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/d（</w:t>
      </w:r>
      <w:r>
        <w:rPr>
          <w:rFonts w:hint="default" w:ascii="Times New Roman" w:hAnsi="Times New Roman" w:eastAsia="宋体" w:cs="Times New Roman"/>
          <w:sz w:val="24"/>
          <w:szCs w:val="21"/>
          <w:u w:val="single"/>
          <w:lang w:val="en-US" w:eastAsia="zh-CN"/>
        </w:rPr>
        <w:t>7392</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/a）。</w:t>
      </w:r>
    </w:p>
    <w:p w14:paraId="3813E5A7">
      <w:pPr>
        <w:pStyle w:val="48"/>
        <w:spacing w:before="0" w:line="360" w:lineRule="auto"/>
        <w:rPr>
          <w:rFonts w:hint="default" w:ascii="Times New Roman" w:hAnsi="Times New Roman" w:eastAsia="宋体" w:cs="Times New Roman"/>
          <w:sz w:val="24"/>
          <w:szCs w:val="21"/>
          <w:u w:val="single"/>
          <w:lang w:val="en-US" w:eastAsia="zh-CN"/>
        </w:rPr>
      </w:pPr>
      <w:r>
        <w:rPr>
          <w:rFonts w:hint="default" w:ascii="Times New Roman" w:hAnsi="Times New Roman" w:eastAsia="宋体" w:cs="Times New Roman"/>
          <w:sz w:val="24"/>
          <w:szCs w:val="21"/>
          <w:u w:val="single"/>
        </w:rPr>
        <w:t>类比同类项目</w:t>
      </w:r>
      <w:r>
        <w:rPr>
          <w:rFonts w:hint="default" w:ascii="Times New Roman" w:hAnsi="Times New Roman" w:eastAsia="宋体" w:cs="Times New Roman"/>
          <w:sz w:val="24"/>
          <w:szCs w:val="21"/>
          <w:u w:val="single"/>
          <w:lang w:val="en-US" w:eastAsia="zh-CN"/>
        </w:rPr>
        <w:t>-通过收集《湖南湘蓝再生资源利用有限公司危险废物资源化综合利用改扩建项目环境影响报告书》中对其现有工程的竣工验收数据，该类比项目设置有废金属包装容器综合利用生产线和废塑料包装容器综合利用生产线，其清洗的危险废物原料及生产工艺与本项目基本一致，具有可比性；该项目现有工程的验收监测数据如下：</w:t>
      </w:r>
    </w:p>
    <w:p w14:paraId="1DA89E6F">
      <w:pPr>
        <w:pStyle w:val="48"/>
        <w:spacing w:before="0" w:line="360" w:lineRule="auto"/>
        <w:ind w:left="0" w:leftChars="0" w:firstLine="0" w:firstLineChars="0"/>
        <w:jc w:val="center"/>
        <w:rPr>
          <w:rFonts w:hint="default" w:ascii="Times New Roman" w:hAnsi="Times New Roman" w:eastAsia="宋体" w:cs="Times New Roman"/>
          <w:b/>
          <w:bCs/>
          <w:sz w:val="21"/>
          <w:szCs w:val="18"/>
          <w:u w:val="single"/>
          <w:lang w:val="en-US" w:eastAsia="zh-CN"/>
        </w:rPr>
      </w:pPr>
      <w:r>
        <w:rPr>
          <w:rFonts w:hint="default" w:ascii="Times New Roman" w:hAnsi="Times New Roman" w:eastAsia="宋体" w:cs="Times New Roman"/>
          <w:b/>
          <w:bCs/>
          <w:sz w:val="21"/>
          <w:szCs w:val="18"/>
          <w:u w:val="single"/>
          <w:lang w:val="en-US" w:eastAsia="zh-CN"/>
        </w:rPr>
        <w:t>表5.5-9  类比项目废水验收监测数据</w:t>
      </w:r>
    </w:p>
    <w:p w14:paraId="1182214D">
      <w:pPr>
        <w:pStyle w:val="48"/>
        <w:spacing w:before="0" w:line="360" w:lineRule="auto"/>
        <w:ind w:left="0" w:leftChars="0" w:firstLine="0" w:firstLineChars="0"/>
        <w:rPr>
          <w:rFonts w:hint="default" w:ascii="Times New Roman" w:hAnsi="Times New Roman" w:eastAsia="宋体" w:cs="Times New Roman"/>
          <w:sz w:val="24"/>
          <w:szCs w:val="21"/>
          <w:u w:val="single"/>
          <w:lang w:val="en-US" w:eastAsia="zh-CN"/>
        </w:rPr>
      </w:pPr>
      <w:r>
        <w:rPr>
          <w:rFonts w:hint="default" w:ascii="Times New Roman" w:hAnsi="Times New Roman" w:eastAsia="宋体" w:cs="Times New Roman"/>
          <w:u w:val="single"/>
        </w:rPr>
        <w:drawing>
          <wp:inline distT="0" distB="0" distL="114300" distR="114300">
            <wp:extent cx="5273040" cy="3004820"/>
            <wp:effectExtent l="0" t="0" r="0" b="1270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37"/>
                    <a:stretch>
                      <a:fillRect/>
                    </a:stretch>
                  </pic:blipFill>
                  <pic:spPr>
                    <a:xfrm>
                      <a:off x="0" y="0"/>
                      <a:ext cx="5273040" cy="3004820"/>
                    </a:xfrm>
                    <a:prstGeom prst="rect">
                      <a:avLst/>
                    </a:prstGeom>
                    <a:noFill/>
                    <a:ln>
                      <a:noFill/>
                    </a:ln>
                  </pic:spPr>
                </pic:pic>
              </a:graphicData>
            </a:graphic>
          </wp:inline>
        </w:drawing>
      </w:r>
    </w:p>
    <w:p w14:paraId="2767C6C5">
      <w:pPr>
        <w:pStyle w:val="48"/>
        <w:spacing w:before="0" w:line="360" w:lineRule="auto"/>
        <w:rPr>
          <w:rFonts w:hint="default" w:ascii="Times New Roman" w:hAnsi="Times New Roman" w:eastAsia="宋体" w:cs="Times New Roman"/>
          <w:sz w:val="24"/>
          <w:szCs w:val="21"/>
          <w:u w:val="single"/>
          <w:lang w:val="en-US" w:eastAsia="zh-CN"/>
        </w:rPr>
      </w:pPr>
      <w:r>
        <w:rPr>
          <w:rFonts w:hint="default" w:ascii="Times New Roman" w:hAnsi="Times New Roman" w:eastAsia="宋体" w:cs="Times New Roman"/>
          <w:sz w:val="24"/>
          <w:szCs w:val="21"/>
          <w:u w:val="single"/>
        </w:rPr>
        <w:t>类比同类项目</w:t>
      </w:r>
      <w:r>
        <w:rPr>
          <w:rFonts w:hint="default" w:ascii="Times New Roman" w:hAnsi="Times New Roman" w:eastAsia="宋体" w:cs="Times New Roman"/>
          <w:sz w:val="24"/>
          <w:szCs w:val="21"/>
          <w:u w:val="single"/>
          <w:lang w:val="en-US" w:eastAsia="zh-CN"/>
        </w:rPr>
        <w:t>-通过收集《湖南腾旺环保科技有限公司废弃包装物及容器综合回收利用改扩建项目》中对废水水质的数据，该类比项目设置有废金属包装容器综合利用生产线和废塑料包装容器综合利用生产线，其清洗的危险废物原料及生产工艺与本项目基本一致，具有可比性；该项目废水数据如下：</w:t>
      </w:r>
    </w:p>
    <w:p w14:paraId="67D8774B">
      <w:pPr>
        <w:pStyle w:val="48"/>
        <w:spacing w:before="0" w:line="360" w:lineRule="auto"/>
        <w:ind w:firstLine="0" w:firstLineChars="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表5.5-</w:t>
      </w:r>
      <w:r>
        <w:rPr>
          <w:rFonts w:hint="default" w:ascii="Times New Roman" w:hAnsi="Times New Roman" w:eastAsia="宋体" w:cs="Times New Roman"/>
          <w:b/>
          <w:bCs/>
          <w:sz w:val="21"/>
          <w:szCs w:val="21"/>
          <w:u w:val="single"/>
          <w:lang w:val="en-US" w:eastAsia="zh-CN"/>
        </w:rPr>
        <w:t xml:space="preserve">10 </w:t>
      </w:r>
      <w:r>
        <w:rPr>
          <w:rFonts w:hint="default" w:ascii="Times New Roman" w:hAnsi="Times New Roman" w:eastAsia="宋体" w:cs="Times New Roman"/>
          <w:b/>
          <w:bCs/>
          <w:sz w:val="21"/>
          <w:szCs w:val="21"/>
          <w:u w:val="single"/>
        </w:rPr>
        <w:t xml:space="preserve"> </w:t>
      </w:r>
      <w:r>
        <w:rPr>
          <w:rFonts w:hint="default" w:ascii="Times New Roman" w:hAnsi="Times New Roman" w:eastAsia="宋体" w:cs="Times New Roman"/>
          <w:b/>
          <w:bCs/>
          <w:sz w:val="21"/>
          <w:szCs w:val="21"/>
          <w:u w:val="single"/>
          <w:lang w:val="en-US" w:eastAsia="zh-CN"/>
        </w:rPr>
        <w:t>类比项目</w:t>
      </w:r>
      <w:r>
        <w:rPr>
          <w:rFonts w:hint="default" w:ascii="Times New Roman" w:hAnsi="Times New Roman" w:eastAsia="宋体" w:cs="Times New Roman"/>
          <w:b/>
          <w:bCs/>
          <w:sz w:val="21"/>
          <w:szCs w:val="21"/>
          <w:u w:val="single"/>
        </w:rPr>
        <w:t>清洗废水产生量及主要污染物浓度一览表</w:t>
      </w:r>
    </w:p>
    <w:tbl>
      <w:tblPr>
        <w:tblStyle w:val="32"/>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98"/>
        <w:gridCol w:w="2444"/>
        <w:gridCol w:w="2199"/>
        <w:gridCol w:w="1878"/>
      </w:tblGrid>
      <w:tr w14:paraId="22C2C4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72" w:type="pct"/>
            <w:tcBorders>
              <w:tl2br w:val="nil"/>
              <w:tr2bl w:val="nil"/>
            </w:tcBorders>
            <w:shd w:val="clear" w:color="auto" w:fill="auto"/>
            <w:vAlign w:val="center"/>
          </w:tcPr>
          <w:p w14:paraId="161A9A1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废水种类</w:t>
            </w:r>
          </w:p>
        </w:tc>
        <w:tc>
          <w:tcPr>
            <w:tcW w:w="1434" w:type="pct"/>
            <w:tcBorders>
              <w:tl2br w:val="nil"/>
              <w:tr2bl w:val="nil"/>
            </w:tcBorders>
            <w:shd w:val="clear" w:color="auto" w:fill="auto"/>
            <w:vAlign w:val="center"/>
          </w:tcPr>
          <w:p w14:paraId="42FA037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产生量（t/a）</w:t>
            </w:r>
          </w:p>
        </w:tc>
        <w:tc>
          <w:tcPr>
            <w:tcW w:w="1290" w:type="pct"/>
            <w:tcBorders>
              <w:tl2br w:val="nil"/>
              <w:tr2bl w:val="nil"/>
            </w:tcBorders>
            <w:shd w:val="clear" w:color="auto" w:fill="auto"/>
            <w:vAlign w:val="center"/>
          </w:tcPr>
          <w:p w14:paraId="087D2D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污染物名称</w:t>
            </w:r>
          </w:p>
        </w:tc>
        <w:tc>
          <w:tcPr>
            <w:tcW w:w="1102" w:type="pct"/>
            <w:tcBorders>
              <w:tl2br w:val="nil"/>
              <w:tr2bl w:val="nil"/>
            </w:tcBorders>
            <w:shd w:val="clear" w:color="auto" w:fill="auto"/>
            <w:vAlign w:val="center"/>
          </w:tcPr>
          <w:p w14:paraId="23099D0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产生浓度（mg/L）</w:t>
            </w:r>
          </w:p>
        </w:tc>
      </w:tr>
      <w:tr w14:paraId="51030E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72" w:type="pct"/>
            <w:vMerge w:val="restart"/>
            <w:tcBorders>
              <w:tl2br w:val="nil"/>
              <w:tr2bl w:val="nil"/>
            </w:tcBorders>
            <w:shd w:val="clear" w:color="auto" w:fill="auto"/>
            <w:vAlign w:val="center"/>
          </w:tcPr>
          <w:p w14:paraId="2FCFDB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综合</w:t>
            </w:r>
            <w:r>
              <w:rPr>
                <w:rFonts w:hint="default" w:ascii="Times New Roman" w:hAnsi="Times New Roman" w:eastAsia="宋体" w:cs="Times New Roman"/>
                <w:color w:val="000000"/>
                <w:kern w:val="0"/>
                <w:szCs w:val="21"/>
                <w:u w:val="single"/>
                <w:lang w:val="en-US" w:eastAsia="zh-CN"/>
              </w:rPr>
              <w:t>清洗</w:t>
            </w:r>
            <w:r>
              <w:rPr>
                <w:rFonts w:hint="default" w:ascii="Times New Roman" w:hAnsi="Times New Roman" w:eastAsia="宋体" w:cs="Times New Roman"/>
                <w:color w:val="000000"/>
                <w:kern w:val="0"/>
                <w:szCs w:val="21"/>
                <w:u w:val="single"/>
              </w:rPr>
              <w:t>废水</w:t>
            </w:r>
          </w:p>
        </w:tc>
        <w:tc>
          <w:tcPr>
            <w:tcW w:w="1434" w:type="pct"/>
            <w:vMerge w:val="restart"/>
            <w:tcBorders>
              <w:tl2br w:val="nil"/>
              <w:tr2bl w:val="nil"/>
            </w:tcBorders>
            <w:shd w:val="clear" w:color="auto" w:fill="auto"/>
            <w:vAlign w:val="center"/>
          </w:tcPr>
          <w:p w14:paraId="0225D5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7392</w:t>
            </w:r>
          </w:p>
        </w:tc>
        <w:tc>
          <w:tcPr>
            <w:tcW w:w="1290" w:type="pct"/>
            <w:tcBorders>
              <w:tl2br w:val="nil"/>
              <w:tr2bl w:val="nil"/>
            </w:tcBorders>
            <w:shd w:val="clear" w:color="auto" w:fill="auto"/>
            <w:vAlign w:val="center"/>
          </w:tcPr>
          <w:p w14:paraId="587F2C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pH（无量纲）</w:t>
            </w:r>
          </w:p>
        </w:tc>
        <w:tc>
          <w:tcPr>
            <w:tcW w:w="1102" w:type="pct"/>
            <w:tcBorders>
              <w:tl2br w:val="nil"/>
              <w:tr2bl w:val="nil"/>
            </w:tcBorders>
            <w:shd w:val="clear" w:color="auto" w:fill="auto"/>
            <w:vAlign w:val="center"/>
          </w:tcPr>
          <w:p w14:paraId="4D1D04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9~10</w:t>
            </w:r>
          </w:p>
        </w:tc>
      </w:tr>
      <w:tr w14:paraId="44C93C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72" w:type="pct"/>
            <w:vMerge w:val="continue"/>
            <w:tcBorders>
              <w:tl2br w:val="nil"/>
              <w:tr2bl w:val="nil"/>
            </w:tcBorders>
            <w:vAlign w:val="center"/>
          </w:tcPr>
          <w:p w14:paraId="201EA96B">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434" w:type="pct"/>
            <w:vMerge w:val="continue"/>
            <w:tcBorders>
              <w:tl2br w:val="nil"/>
              <w:tr2bl w:val="nil"/>
            </w:tcBorders>
            <w:vAlign w:val="center"/>
          </w:tcPr>
          <w:p w14:paraId="0CAF95DF">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290" w:type="pct"/>
            <w:tcBorders>
              <w:tl2br w:val="nil"/>
              <w:tr2bl w:val="nil"/>
            </w:tcBorders>
            <w:shd w:val="clear" w:color="auto" w:fill="auto"/>
            <w:vAlign w:val="center"/>
          </w:tcPr>
          <w:p w14:paraId="2B8C13B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COD</w:t>
            </w:r>
            <w:r>
              <w:rPr>
                <w:rFonts w:hint="default" w:ascii="Times New Roman" w:hAnsi="Times New Roman" w:eastAsia="宋体" w:cs="Times New Roman"/>
                <w:color w:val="000000"/>
                <w:kern w:val="0"/>
                <w:szCs w:val="21"/>
                <w:u w:val="single"/>
                <w:vertAlign w:val="subscript"/>
              </w:rPr>
              <w:t>Cr</w:t>
            </w:r>
          </w:p>
        </w:tc>
        <w:tc>
          <w:tcPr>
            <w:tcW w:w="1102" w:type="pct"/>
            <w:tcBorders>
              <w:tl2br w:val="nil"/>
              <w:tr2bl w:val="nil"/>
            </w:tcBorders>
            <w:shd w:val="clear" w:color="auto" w:fill="auto"/>
            <w:vAlign w:val="center"/>
          </w:tcPr>
          <w:p w14:paraId="4DF533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1407.59</w:t>
            </w:r>
          </w:p>
        </w:tc>
      </w:tr>
      <w:tr w14:paraId="04BBFF1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72" w:type="pct"/>
            <w:vMerge w:val="continue"/>
            <w:tcBorders>
              <w:tl2br w:val="nil"/>
              <w:tr2bl w:val="nil"/>
            </w:tcBorders>
            <w:vAlign w:val="center"/>
          </w:tcPr>
          <w:p w14:paraId="5BB8EA9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434" w:type="pct"/>
            <w:vMerge w:val="continue"/>
            <w:tcBorders>
              <w:tl2br w:val="nil"/>
              <w:tr2bl w:val="nil"/>
            </w:tcBorders>
            <w:vAlign w:val="center"/>
          </w:tcPr>
          <w:p w14:paraId="6E3A97E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290" w:type="pct"/>
            <w:tcBorders>
              <w:tl2br w:val="nil"/>
              <w:tr2bl w:val="nil"/>
            </w:tcBorders>
            <w:shd w:val="clear" w:color="auto" w:fill="auto"/>
            <w:vAlign w:val="center"/>
          </w:tcPr>
          <w:p w14:paraId="32EAF2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BOD</w:t>
            </w:r>
            <w:r>
              <w:rPr>
                <w:rFonts w:hint="default" w:ascii="Times New Roman" w:hAnsi="Times New Roman" w:eastAsia="宋体" w:cs="Times New Roman"/>
                <w:color w:val="000000"/>
                <w:kern w:val="0"/>
                <w:szCs w:val="21"/>
                <w:u w:val="single"/>
                <w:vertAlign w:val="subscript"/>
              </w:rPr>
              <w:t>5</w:t>
            </w:r>
          </w:p>
        </w:tc>
        <w:tc>
          <w:tcPr>
            <w:tcW w:w="1102" w:type="pct"/>
            <w:tcBorders>
              <w:tl2br w:val="nil"/>
              <w:tr2bl w:val="nil"/>
            </w:tcBorders>
            <w:shd w:val="clear" w:color="auto" w:fill="auto"/>
            <w:vAlign w:val="center"/>
          </w:tcPr>
          <w:p w14:paraId="69E39E6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354.8</w:t>
            </w:r>
          </w:p>
        </w:tc>
      </w:tr>
      <w:tr w14:paraId="38457FB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72" w:type="pct"/>
            <w:vMerge w:val="continue"/>
            <w:tcBorders>
              <w:tl2br w:val="nil"/>
              <w:tr2bl w:val="nil"/>
            </w:tcBorders>
            <w:vAlign w:val="center"/>
          </w:tcPr>
          <w:p w14:paraId="0A50EFBF">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434" w:type="pct"/>
            <w:vMerge w:val="continue"/>
            <w:tcBorders>
              <w:tl2br w:val="nil"/>
              <w:tr2bl w:val="nil"/>
            </w:tcBorders>
            <w:vAlign w:val="center"/>
          </w:tcPr>
          <w:p w14:paraId="34732F9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290" w:type="pct"/>
            <w:tcBorders>
              <w:tl2br w:val="nil"/>
              <w:tr2bl w:val="nil"/>
            </w:tcBorders>
            <w:shd w:val="clear" w:color="auto" w:fill="auto"/>
            <w:vAlign w:val="center"/>
          </w:tcPr>
          <w:p w14:paraId="36E5FF6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SS</w:t>
            </w:r>
          </w:p>
        </w:tc>
        <w:tc>
          <w:tcPr>
            <w:tcW w:w="1102" w:type="pct"/>
            <w:tcBorders>
              <w:tl2br w:val="nil"/>
              <w:tr2bl w:val="nil"/>
            </w:tcBorders>
            <w:shd w:val="clear" w:color="auto" w:fill="auto"/>
            <w:vAlign w:val="center"/>
          </w:tcPr>
          <w:p w14:paraId="798F0B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820.63</w:t>
            </w:r>
          </w:p>
        </w:tc>
      </w:tr>
      <w:tr w14:paraId="4609CDB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72" w:type="pct"/>
            <w:vMerge w:val="continue"/>
            <w:tcBorders>
              <w:tl2br w:val="nil"/>
              <w:tr2bl w:val="nil"/>
            </w:tcBorders>
            <w:vAlign w:val="center"/>
          </w:tcPr>
          <w:p w14:paraId="25B3C3FE">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434" w:type="pct"/>
            <w:vMerge w:val="continue"/>
            <w:tcBorders>
              <w:tl2br w:val="nil"/>
              <w:tr2bl w:val="nil"/>
            </w:tcBorders>
            <w:vAlign w:val="center"/>
          </w:tcPr>
          <w:p w14:paraId="64CE0D64">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290" w:type="pct"/>
            <w:tcBorders>
              <w:tl2br w:val="nil"/>
              <w:tr2bl w:val="nil"/>
            </w:tcBorders>
            <w:shd w:val="clear" w:color="auto" w:fill="auto"/>
            <w:vAlign w:val="center"/>
          </w:tcPr>
          <w:p w14:paraId="4AED766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石油类</w:t>
            </w:r>
          </w:p>
        </w:tc>
        <w:tc>
          <w:tcPr>
            <w:tcW w:w="1102" w:type="pct"/>
            <w:tcBorders>
              <w:tl2br w:val="nil"/>
              <w:tr2bl w:val="nil"/>
            </w:tcBorders>
            <w:shd w:val="clear" w:color="auto" w:fill="auto"/>
            <w:vAlign w:val="center"/>
          </w:tcPr>
          <w:p w14:paraId="31E346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119.9</w:t>
            </w:r>
          </w:p>
        </w:tc>
      </w:tr>
      <w:tr w14:paraId="25EDF5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1172" w:type="pct"/>
            <w:vMerge w:val="continue"/>
            <w:tcBorders>
              <w:tl2br w:val="nil"/>
              <w:tr2bl w:val="nil"/>
            </w:tcBorders>
            <w:vAlign w:val="center"/>
          </w:tcPr>
          <w:p w14:paraId="21F52F30">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434" w:type="pct"/>
            <w:vMerge w:val="continue"/>
            <w:tcBorders>
              <w:tl2br w:val="nil"/>
              <w:tr2bl w:val="nil"/>
            </w:tcBorders>
            <w:vAlign w:val="center"/>
          </w:tcPr>
          <w:p w14:paraId="044EDB7E">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290" w:type="pct"/>
            <w:tcBorders>
              <w:tl2br w:val="nil"/>
              <w:tr2bl w:val="nil"/>
            </w:tcBorders>
            <w:shd w:val="clear" w:color="auto" w:fill="auto"/>
            <w:vAlign w:val="center"/>
          </w:tcPr>
          <w:p w14:paraId="302A6A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LAS</w:t>
            </w:r>
          </w:p>
        </w:tc>
        <w:tc>
          <w:tcPr>
            <w:tcW w:w="1102" w:type="pct"/>
            <w:tcBorders>
              <w:tl2br w:val="nil"/>
              <w:tr2bl w:val="nil"/>
            </w:tcBorders>
            <w:shd w:val="clear" w:color="auto" w:fill="auto"/>
            <w:vAlign w:val="center"/>
          </w:tcPr>
          <w:p w14:paraId="4FBE41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39.79</w:t>
            </w:r>
          </w:p>
        </w:tc>
      </w:tr>
    </w:tbl>
    <w:p w14:paraId="2D228775">
      <w:pPr>
        <w:pStyle w:val="48"/>
        <w:spacing w:before="0" w:line="360" w:lineRule="auto"/>
        <w:rPr>
          <w:rFonts w:hint="default" w:ascii="Times New Roman" w:hAnsi="Times New Roman" w:eastAsia="宋体" w:cs="Times New Roman"/>
          <w:sz w:val="24"/>
          <w:szCs w:val="21"/>
          <w:u w:val="single"/>
          <w:lang w:val="en-US" w:eastAsia="zh-CN"/>
        </w:rPr>
      </w:pPr>
    </w:p>
    <w:p w14:paraId="032E29EC">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lang w:val="en-US" w:eastAsia="zh-CN"/>
        </w:rPr>
        <w:t>根据以上类比项目（本次取2个同类项目废水中的浓度最大值）</w:t>
      </w:r>
      <w:r>
        <w:rPr>
          <w:rFonts w:hint="default" w:ascii="Times New Roman" w:hAnsi="Times New Roman" w:eastAsia="宋体" w:cs="Times New Roman"/>
          <w:sz w:val="24"/>
          <w:szCs w:val="21"/>
          <w:u w:val="single"/>
        </w:rPr>
        <w:t>并结合本项目实际，估算本项目各类清洗废水水质情况具体详见下表。</w:t>
      </w:r>
    </w:p>
    <w:p w14:paraId="1E422A3C">
      <w:pPr>
        <w:pStyle w:val="48"/>
        <w:spacing w:before="0" w:line="360" w:lineRule="auto"/>
        <w:ind w:firstLine="0" w:firstLineChars="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表5.5-</w:t>
      </w:r>
      <w:r>
        <w:rPr>
          <w:rFonts w:hint="default" w:ascii="Times New Roman" w:hAnsi="Times New Roman" w:eastAsia="宋体" w:cs="Times New Roman"/>
          <w:b/>
          <w:bCs/>
          <w:sz w:val="21"/>
          <w:szCs w:val="21"/>
          <w:u w:val="single"/>
          <w:lang w:val="en-US" w:eastAsia="zh-CN"/>
        </w:rPr>
        <w:t xml:space="preserve">11 </w:t>
      </w:r>
      <w:r>
        <w:rPr>
          <w:rFonts w:hint="default" w:ascii="Times New Roman" w:hAnsi="Times New Roman" w:eastAsia="宋体" w:cs="Times New Roman"/>
          <w:b/>
          <w:bCs/>
          <w:sz w:val="21"/>
          <w:szCs w:val="21"/>
          <w:u w:val="single"/>
        </w:rPr>
        <w:t xml:space="preserve"> 项目各类清洗废水产生量及主要污染物浓度一览表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576"/>
        <w:gridCol w:w="1924"/>
        <w:gridCol w:w="1733"/>
        <w:gridCol w:w="1480"/>
        <w:gridCol w:w="1809"/>
      </w:tblGrid>
      <w:tr w14:paraId="1DFB374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924" w:type="pct"/>
            <w:tcBorders>
              <w:tl2br w:val="nil"/>
              <w:tr2bl w:val="nil"/>
            </w:tcBorders>
            <w:shd w:val="clear" w:color="auto" w:fill="auto"/>
            <w:vAlign w:val="center"/>
          </w:tcPr>
          <w:p w14:paraId="656E84B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废水种类</w:t>
            </w:r>
          </w:p>
        </w:tc>
        <w:tc>
          <w:tcPr>
            <w:tcW w:w="1128" w:type="pct"/>
            <w:tcBorders>
              <w:tl2br w:val="nil"/>
              <w:tr2bl w:val="nil"/>
            </w:tcBorders>
            <w:shd w:val="clear" w:color="auto" w:fill="auto"/>
            <w:vAlign w:val="center"/>
          </w:tcPr>
          <w:p w14:paraId="2B58FDB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产生量（t/a）</w:t>
            </w:r>
          </w:p>
        </w:tc>
        <w:tc>
          <w:tcPr>
            <w:tcW w:w="1016" w:type="pct"/>
            <w:tcBorders>
              <w:tl2br w:val="nil"/>
              <w:tr2bl w:val="nil"/>
            </w:tcBorders>
            <w:shd w:val="clear" w:color="auto" w:fill="auto"/>
            <w:vAlign w:val="center"/>
          </w:tcPr>
          <w:p w14:paraId="1BB006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污染物名称</w:t>
            </w:r>
          </w:p>
        </w:tc>
        <w:tc>
          <w:tcPr>
            <w:tcW w:w="868" w:type="pct"/>
            <w:tcBorders>
              <w:tl2br w:val="nil"/>
              <w:tr2bl w:val="nil"/>
            </w:tcBorders>
            <w:shd w:val="clear" w:color="auto" w:fill="auto"/>
            <w:vAlign w:val="center"/>
          </w:tcPr>
          <w:p w14:paraId="545D252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产生浓度（mg/L）</w:t>
            </w:r>
          </w:p>
        </w:tc>
        <w:tc>
          <w:tcPr>
            <w:tcW w:w="1061" w:type="pct"/>
            <w:tcBorders>
              <w:tl2br w:val="nil"/>
              <w:tr2bl w:val="nil"/>
            </w:tcBorders>
            <w:shd w:val="clear" w:color="auto" w:fill="auto"/>
            <w:vAlign w:val="center"/>
          </w:tcPr>
          <w:p w14:paraId="2F89B92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000000"/>
                <w:kern w:val="0"/>
                <w:szCs w:val="21"/>
                <w:u w:val="single"/>
              </w:rPr>
            </w:pPr>
            <w:r>
              <w:rPr>
                <w:rFonts w:hint="default" w:ascii="Times New Roman" w:hAnsi="Times New Roman" w:eastAsia="宋体" w:cs="Times New Roman"/>
                <w:b/>
                <w:bCs/>
                <w:color w:val="000000"/>
                <w:kern w:val="0"/>
                <w:szCs w:val="21"/>
                <w:u w:val="single"/>
              </w:rPr>
              <w:t>产生量（t/a）</w:t>
            </w:r>
          </w:p>
        </w:tc>
      </w:tr>
      <w:tr w14:paraId="42F2F8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924" w:type="pct"/>
            <w:vMerge w:val="restart"/>
            <w:tcBorders>
              <w:tl2br w:val="nil"/>
              <w:tr2bl w:val="nil"/>
            </w:tcBorders>
            <w:shd w:val="clear" w:color="auto" w:fill="auto"/>
            <w:vAlign w:val="center"/>
          </w:tcPr>
          <w:p w14:paraId="774601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综合</w:t>
            </w:r>
            <w:r>
              <w:rPr>
                <w:rFonts w:hint="default" w:ascii="Times New Roman" w:hAnsi="Times New Roman" w:eastAsia="宋体" w:cs="Times New Roman"/>
                <w:color w:val="000000"/>
                <w:kern w:val="0"/>
                <w:szCs w:val="21"/>
                <w:u w:val="single"/>
                <w:lang w:val="en-US" w:eastAsia="zh-CN"/>
              </w:rPr>
              <w:t>清洗</w:t>
            </w:r>
            <w:r>
              <w:rPr>
                <w:rFonts w:hint="default" w:ascii="Times New Roman" w:hAnsi="Times New Roman" w:eastAsia="宋体" w:cs="Times New Roman"/>
                <w:color w:val="000000"/>
                <w:kern w:val="0"/>
                <w:szCs w:val="21"/>
                <w:u w:val="single"/>
              </w:rPr>
              <w:t>废水</w:t>
            </w:r>
          </w:p>
        </w:tc>
        <w:tc>
          <w:tcPr>
            <w:tcW w:w="1128" w:type="pct"/>
            <w:vMerge w:val="restart"/>
            <w:tcBorders>
              <w:tl2br w:val="nil"/>
              <w:tr2bl w:val="nil"/>
            </w:tcBorders>
            <w:shd w:val="clear" w:color="auto" w:fill="auto"/>
            <w:vAlign w:val="center"/>
          </w:tcPr>
          <w:p w14:paraId="4563449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7392</w:t>
            </w:r>
          </w:p>
        </w:tc>
        <w:tc>
          <w:tcPr>
            <w:tcW w:w="1016" w:type="pct"/>
            <w:tcBorders>
              <w:tl2br w:val="nil"/>
              <w:tr2bl w:val="nil"/>
            </w:tcBorders>
            <w:shd w:val="clear" w:color="auto" w:fill="auto"/>
            <w:vAlign w:val="center"/>
          </w:tcPr>
          <w:p w14:paraId="1A4A84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pH（无量纲）</w:t>
            </w:r>
          </w:p>
        </w:tc>
        <w:tc>
          <w:tcPr>
            <w:tcW w:w="868" w:type="pct"/>
            <w:tcBorders>
              <w:tl2br w:val="nil"/>
              <w:tr2bl w:val="nil"/>
            </w:tcBorders>
            <w:shd w:val="clear" w:color="auto" w:fill="auto"/>
            <w:vAlign w:val="center"/>
          </w:tcPr>
          <w:p w14:paraId="244245B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9~10</w:t>
            </w:r>
          </w:p>
        </w:tc>
        <w:tc>
          <w:tcPr>
            <w:tcW w:w="1061" w:type="pct"/>
            <w:tcBorders>
              <w:tl2br w:val="nil"/>
              <w:tr2bl w:val="nil"/>
            </w:tcBorders>
            <w:shd w:val="clear" w:color="auto" w:fill="auto"/>
            <w:vAlign w:val="center"/>
          </w:tcPr>
          <w:p w14:paraId="2B6186F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w:t>
            </w:r>
          </w:p>
        </w:tc>
      </w:tr>
      <w:tr w14:paraId="320AF5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924" w:type="pct"/>
            <w:vMerge w:val="continue"/>
            <w:tcBorders>
              <w:tl2br w:val="nil"/>
              <w:tr2bl w:val="nil"/>
            </w:tcBorders>
            <w:vAlign w:val="center"/>
          </w:tcPr>
          <w:p w14:paraId="6E3F1A7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128" w:type="pct"/>
            <w:vMerge w:val="continue"/>
            <w:tcBorders>
              <w:tl2br w:val="nil"/>
              <w:tr2bl w:val="nil"/>
            </w:tcBorders>
            <w:vAlign w:val="center"/>
          </w:tcPr>
          <w:p w14:paraId="5CBFC906">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016" w:type="pct"/>
            <w:tcBorders>
              <w:tl2br w:val="nil"/>
              <w:tr2bl w:val="nil"/>
            </w:tcBorders>
            <w:shd w:val="clear" w:color="auto" w:fill="auto"/>
            <w:vAlign w:val="center"/>
          </w:tcPr>
          <w:p w14:paraId="0B06573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苯</w:t>
            </w:r>
          </w:p>
        </w:tc>
        <w:tc>
          <w:tcPr>
            <w:tcW w:w="868" w:type="pct"/>
            <w:tcBorders>
              <w:tl2br w:val="nil"/>
              <w:tr2bl w:val="nil"/>
            </w:tcBorders>
            <w:shd w:val="clear" w:color="auto" w:fill="auto"/>
            <w:vAlign w:val="center"/>
          </w:tcPr>
          <w:p w14:paraId="4A0613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eastAsia="zh-CN"/>
              </w:rPr>
            </w:pPr>
            <w:r>
              <w:rPr>
                <w:rFonts w:hint="default" w:ascii="Times New Roman" w:hAnsi="Times New Roman" w:eastAsia="宋体" w:cs="Times New Roman"/>
                <w:color w:val="000000"/>
                <w:kern w:val="0"/>
                <w:szCs w:val="21"/>
                <w:u w:val="single"/>
              </w:rPr>
              <w:t>0.</w:t>
            </w:r>
            <w:r>
              <w:rPr>
                <w:rFonts w:hint="default" w:ascii="Times New Roman" w:hAnsi="Times New Roman" w:eastAsia="宋体" w:cs="Times New Roman"/>
                <w:color w:val="000000"/>
                <w:kern w:val="0"/>
                <w:szCs w:val="21"/>
                <w:u w:val="single"/>
                <w:lang w:val="en-US" w:eastAsia="zh-CN"/>
              </w:rPr>
              <w:t>4</w:t>
            </w:r>
          </w:p>
        </w:tc>
        <w:tc>
          <w:tcPr>
            <w:tcW w:w="1809" w:type="dxa"/>
            <w:tcBorders>
              <w:tl2br w:val="nil"/>
              <w:tr2bl w:val="nil"/>
            </w:tcBorders>
            <w:shd w:val="clear" w:color="auto" w:fill="auto"/>
            <w:vAlign w:val="center"/>
          </w:tcPr>
          <w:p w14:paraId="47E534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0.003</w:t>
            </w:r>
          </w:p>
        </w:tc>
      </w:tr>
      <w:tr w14:paraId="7E4772C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51" w:hRule="atLeast"/>
        </w:trPr>
        <w:tc>
          <w:tcPr>
            <w:tcW w:w="924" w:type="pct"/>
            <w:vMerge w:val="continue"/>
            <w:tcBorders>
              <w:tl2br w:val="nil"/>
              <w:tr2bl w:val="nil"/>
            </w:tcBorders>
            <w:vAlign w:val="center"/>
          </w:tcPr>
          <w:p w14:paraId="32161D2D">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128" w:type="pct"/>
            <w:vMerge w:val="continue"/>
            <w:tcBorders>
              <w:tl2br w:val="nil"/>
              <w:tr2bl w:val="nil"/>
            </w:tcBorders>
            <w:vAlign w:val="center"/>
          </w:tcPr>
          <w:p w14:paraId="5D8CE6C1">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016" w:type="pct"/>
            <w:tcBorders>
              <w:tl2br w:val="nil"/>
              <w:tr2bl w:val="nil"/>
            </w:tcBorders>
            <w:shd w:val="clear" w:color="auto" w:fill="auto"/>
            <w:vAlign w:val="center"/>
          </w:tcPr>
          <w:p w14:paraId="7D5D88F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甲苯</w:t>
            </w:r>
          </w:p>
        </w:tc>
        <w:tc>
          <w:tcPr>
            <w:tcW w:w="868" w:type="pct"/>
            <w:tcBorders>
              <w:tl2br w:val="nil"/>
              <w:tr2bl w:val="nil"/>
            </w:tcBorders>
            <w:shd w:val="clear" w:color="auto" w:fill="auto"/>
            <w:vAlign w:val="center"/>
          </w:tcPr>
          <w:p w14:paraId="6A668E5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 xml:space="preserve">0.4 </w:t>
            </w:r>
          </w:p>
        </w:tc>
        <w:tc>
          <w:tcPr>
            <w:tcW w:w="1809" w:type="dxa"/>
            <w:tcBorders>
              <w:tl2br w:val="nil"/>
              <w:tr2bl w:val="nil"/>
            </w:tcBorders>
            <w:shd w:val="clear" w:color="auto" w:fill="auto"/>
            <w:vAlign w:val="center"/>
          </w:tcPr>
          <w:p w14:paraId="027C6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0.003</w:t>
            </w:r>
          </w:p>
        </w:tc>
      </w:tr>
      <w:tr w14:paraId="104E5B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924" w:type="pct"/>
            <w:vMerge w:val="continue"/>
            <w:tcBorders>
              <w:tl2br w:val="nil"/>
              <w:tr2bl w:val="nil"/>
            </w:tcBorders>
            <w:vAlign w:val="center"/>
          </w:tcPr>
          <w:p w14:paraId="2C97DB45">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128" w:type="pct"/>
            <w:vMerge w:val="continue"/>
            <w:tcBorders>
              <w:tl2br w:val="nil"/>
              <w:tr2bl w:val="nil"/>
            </w:tcBorders>
            <w:vAlign w:val="center"/>
          </w:tcPr>
          <w:p w14:paraId="50DF2E16">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016" w:type="pct"/>
            <w:tcBorders>
              <w:tl2br w:val="nil"/>
              <w:tr2bl w:val="nil"/>
            </w:tcBorders>
            <w:shd w:val="clear" w:color="auto" w:fill="auto"/>
            <w:vAlign w:val="center"/>
          </w:tcPr>
          <w:p w14:paraId="2106B0E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COD</w:t>
            </w:r>
            <w:r>
              <w:rPr>
                <w:rFonts w:hint="default" w:ascii="Times New Roman" w:hAnsi="Times New Roman" w:eastAsia="宋体" w:cs="Times New Roman"/>
                <w:color w:val="000000"/>
                <w:kern w:val="0"/>
                <w:szCs w:val="21"/>
                <w:u w:val="single"/>
                <w:vertAlign w:val="subscript"/>
              </w:rPr>
              <w:t>Cr</w:t>
            </w:r>
          </w:p>
        </w:tc>
        <w:tc>
          <w:tcPr>
            <w:tcW w:w="1480" w:type="dxa"/>
            <w:tcBorders>
              <w:tl2br w:val="nil"/>
              <w:tr2bl w:val="nil"/>
            </w:tcBorders>
            <w:shd w:val="clear" w:color="auto" w:fill="auto"/>
            <w:vAlign w:val="center"/>
          </w:tcPr>
          <w:p w14:paraId="6F4D67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1407.59</w:t>
            </w:r>
          </w:p>
        </w:tc>
        <w:tc>
          <w:tcPr>
            <w:tcW w:w="1809" w:type="dxa"/>
            <w:tcBorders>
              <w:tl2br w:val="nil"/>
              <w:tr2bl w:val="nil"/>
            </w:tcBorders>
            <w:shd w:val="clear" w:color="auto" w:fill="auto"/>
            <w:vAlign w:val="center"/>
          </w:tcPr>
          <w:p w14:paraId="2AD9801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10.40</w:t>
            </w:r>
          </w:p>
        </w:tc>
      </w:tr>
      <w:tr w14:paraId="770C02E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924" w:type="pct"/>
            <w:vMerge w:val="continue"/>
            <w:tcBorders>
              <w:tl2br w:val="nil"/>
              <w:tr2bl w:val="nil"/>
            </w:tcBorders>
            <w:vAlign w:val="center"/>
          </w:tcPr>
          <w:p w14:paraId="0FAFFBC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128" w:type="pct"/>
            <w:vMerge w:val="continue"/>
            <w:tcBorders>
              <w:tl2br w:val="nil"/>
              <w:tr2bl w:val="nil"/>
            </w:tcBorders>
            <w:vAlign w:val="center"/>
          </w:tcPr>
          <w:p w14:paraId="4E424BA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016" w:type="pct"/>
            <w:tcBorders>
              <w:tl2br w:val="nil"/>
              <w:tr2bl w:val="nil"/>
            </w:tcBorders>
            <w:shd w:val="clear" w:color="auto" w:fill="auto"/>
            <w:vAlign w:val="center"/>
          </w:tcPr>
          <w:p w14:paraId="73B511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BOD</w:t>
            </w:r>
            <w:r>
              <w:rPr>
                <w:rFonts w:hint="default" w:ascii="Times New Roman" w:hAnsi="Times New Roman" w:eastAsia="宋体" w:cs="Times New Roman"/>
                <w:color w:val="000000"/>
                <w:kern w:val="0"/>
                <w:szCs w:val="21"/>
                <w:u w:val="single"/>
                <w:vertAlign w:val="subscript"/>
              </w:rPr>
              <w:t>5</w:t>
            </w:r>
          </w:p>
        </w:tc>
        <w:tc>
          <w:tcPr>
            <w:tcW w:w="1480" w:type="dxa"/>
            <w:tcBorders>
              <w:tl2br w:val="nil"/>
              <w:tr2bl w:val="nil"/>
            </w:tcBorders>
            <w:shd w:val="clear" w:color="auto" w:fill="auto"/>
            <w:vAlign w:val="center"/>
          </w:tcPr>
          <w:p w14:paraId="7456B97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354.8</w:t>
            </w:r>
          </w:p>
        </w:tc>
        <w:tc>
          <w:tcPr>
            <w:tcW w:w="1809" w:type="dxa"/>
            <w:tcBorders>
              <w:tl2br w:val="nil"/>
              <w:tr2bl w:val="nil"/>
            </w:tcBorders>
            <w:shd w:val="clear" w:color="auto" w:fill="auto"/>
            <w:vAlign w:val="center"/>
          </w:tcPr>
          <w:p w14:paraId="7729BA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2.62</w:t>
            </w:r>
          </w:p>
        </w:tc>
      </w:tr>
      <w:tr w14:paraId="12BFD78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924" w:type="pct"/>
            <w:vMerge w:val="continue"/>
            <w:tcBorders>
              <w:tl2br w:val="nil"/>
              <w:tr2bl w:val="nil"/>
            </w:tcBorders>
            <w:vAlign w:val="center"/>
          </w:tcPr>
          <w:p w14:paraId="0B925803">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128" w:type="pct"/>
            <w:vMerge w:val="continue"/>
            <w:tcBorders>
              <w:tl2br w:val="nil"/>
              <w:tr2bl w:val="nil"/>
            </w:tcBorders>
            <w:vAlign w:val="center"/>
          </w:tcPr>
          <w:p w14:paraId="4368CB9E">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016" w:type="pct"/>
            <w:tcBorders>
              <w:tl2br w:val="nil"/>
              <w:tr2bl w:val="nil"/>
            </w:tcBorders>
            <w:shd w:val="clear" w:color="auto" w:fill="auto"/>
            <w:vAlign w:val="center"/>
          </w:tcPr>
          <w:p w14:paraId="745BF6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SS</w:t>
            </w:r>
          </w:p>
        </w:tc>
        <w:tc>
          <w:tcPr>
            <w:tcW w:w="1480" w:type="dxa"/>
            <w:tcBorders>
              <w:tl2br w:val="nil"/>
              <w:tr2bl w:val="nil"/>
            </w:tcBorders>
            <w:shd w:val="clear" w:color="auto" w:fill="auto"/>
            <w:vAlign w:val="center"/>
          </w:tcPr>
          <w:p w14:paraId="64F8ACB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820.63</w:t>
            </w:r>
          </w:p>
        </w:tc>
        <w:tc>
          <w:tcPr>
            <w:tcW w:w="1809" w:type="dxa"/>
            <w:tcBorders>
              <w:tl2br w:val="nil"/>
              <w:tr2bl w:val="nil"/>
            </w:tcBorders>
            <w:shd w:val="clear" w:color="auto" w:fill="auto"/>
            <w:vAlign w:val="center"/>
          </w:tcPr>
          <w:p w14:paraId="3546F9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6.07</w:t>
            </w:r>
          </w:p>
        </w:tc>
      </w:tr>
      <w:tr w14:paraId="355830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924" w:type="pct"/>
            <w:vMerge w:val="continue"/>
            <w:tcBorders>
              <w:tl2br w:val="nil"/>
              <w:tr2bl w:val="nil"/>
            </w:tcBorders>
            <w:vAlign w:val="center"/>
          </w:tcPr>
          <w:p w14:paraId="2F44838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128" w:type="pct"/>
            <w:vMerge w:val="continue"/>
            <w:tcBorders>
              <w:tl2br w:val="nil"/>
              <w:tr2bl w:val="nil"/>
            </w:tcBorders>
            <w:vAlign w:val="center"/>
          </w:tcPr>
          <w:p w14:paraId="5588640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016" w:type="pct"/>
            <w:tcBorders>
              <w:tl2br w:val="nil"/>
              <w:tr2bl w:val="nil"/>
            </w:tcBorders>
            <w:shd w:val="clear" w:color="auto" w:fill="auto"/>
            <w:vAlign w:val="center"/>
          </w:tcPr>
          <w:p w14:paraId="33B2EBC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石油类</w:t>
            </w:r>
          </w:p>
        </w:tc>
        <w:tc>
          <w:tcPr>
            <w:tcW w:w="1480" w:type="dxa"/>
            <w:tcBorders>
              <w:tl2br w:val="nil"/>
              <w:tr2bl w:val="nil"/>
            </w:tcBorders>
            <w:shd w:val="clear" w:color="auto" w:fill="auto"/>
            <w:vAlign w:val="center"/>
          </w:tcPr>
          <w:p w14:paraId="04464EA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119.9</w:t>
            </w:r>
          </w:p>
        </w:tc>
        <w:tc>
          <w:tcPr>
            <w:tcW w:w="1809" w:type="dxa"/>
            <w:tcBorders>
              <w:tl2br w:val="nil"/>
              <w:tr2bl w:val="nil"/>
            </w:tcBorders>
            <w:shd w:val="clear" w:color="auto" w:fill="auto"/>
            <w:vAlign w:val="center"/>
          </w:tcPr>
          <w:p w14:paraId="264BE69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0.89</w:t>
            </w:r>
          </w:p>
        </w:tc>
      </w:tr>
      <w:tr w14:paraId="5E48FD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924" w:type="pct"/>
            <w:vMerge w:val="continue"/>
            <w:tcBorders>
              <w:tl2br w:val="nil"/>
              <w:tr2bl w:val="nil"/>
            </w:tcBorders>
            <w:vAlign w:val="center"/>
          </w:tcPr>
          <w:p w14:paraId="133C2A46">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128" w:type="pct"/>
            <w:vMerge w:val="continue"/>
            <w:tcBorders>
              <w:tl2br w:val="nil"/>
              <w:tr2bl w:val="nil"/>
            </w:tcBorders>
            <w:vAlign w:val="center"/>
          </w:tcPr>
          <w:p w14:paraId="39EDC84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016" w:type="pct"/>
            <w:tcBorders>
              <w:tl2br w:val="nil"/>
              <w:tr2bl w:val="nil"/>
            </w:tcBorders>
            <w:shd w:val="clear" w:color="auto" w:fill="auto"/>
            <w:vAlign w:val="center"/>
          </w:tcPr>
          <w:p w14:paraId="5098DFA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氨氮</w:t>
            </w:r>
          </w:p>
        </w:tc>
        <w:tc>
          <w:tcPr>
            <w:tcW w:w="868" w:type="pct"/>
            <w:tcBorders>
              <w:tl2br w:val="nil"/>
              <w:tr2bl w:val="nil"/>
            </w:tcBorders>
            <w:shd w:val="clear" w:color="auto" w:fill="auto"/>
            <w:vAlign w:val="center"/>
          </w:tcPr>
          <w:p w14:paraId="076AF05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94</w:t>
            </w:r>
          </w:p>
        </w:tc>
        <w:tc>
          <w:tcPr>
            <w:tcW w:w="1809" w:type="dxa"/>
            <w:tcBorders>
              <w:tl2br w:val="nil"/>
              <w:tr2bl w:val="nil"/>
            </w:tcBorders>
            <w:shd w:val="clear" w:color="auto" w:fill="auto"/>
            <w:vAlign w:val="center"/>
          </w:tcPr>
          <w:p w14:paraId="76314F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0.69</w:t>
            </w:r>
          </w:p>
        </w:tc>
      </w:tr>
      <w:tr w14:paraId="0D9A1B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924" w:type="pct"/>
            <w:vMerge w:val="continue"/>
            <w:tcBorders>
              <w:tl2br w:val="nil"/>
              <w:tr2bl w:val="nil"/>
            </w:tcBorders>
            <w:vAlign w:val="center"/>
          </w:tcPr>
          <w:p w14:paraId="79EB6B05">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128" w:type="pct"/>
            <w:vMerge w:val="continue"/>
            <w:tcBorders>
              <w:tl2br w:val="nil"/>
              <w:tr2bl w:val="nil"/>
            </w:tcBorders>
            <w:vAlign w:val="center"/>
          </w:tcPr>
          <w:p w14:paraId="583E02BB">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color w:val="000000"/>
                <w:kern w:val="0"/>
                <w:szCs w:val="21"/>
                <w:u w:val="single"/>
              </w:rPr>
            </w:pPr>
          </w:p>
        </w:tc>
        <w:tc>
          <w:tcPr>
            <w:tcW w:w="1016" w:type="pct"/>
            <w:tcBorders>
              <w:tl2br w:val="nil"/>
              <w:tr2bl w:val="nil"/>
            </w:tcBorders>
            <w:shd w:val="clear" w:color="auto" w:fill="auto"/>
            <w:vAlign w:val="center"/>
          </w:tcPr>
          <w:p w14:paraId="7601883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LAS</w:t>
            </w:r>
          </w:p>
        </w:tc>
        <w:tc>
          <w:tcPr>
            <w:tcW w:w="868" w:type="pct"/>
            <w:tcBorders>
              <w:tl2br w:val="nil"/>
              <w:tr2bl w:val="nil"/>
            </w:tcBorders>
            <w:shd w:val="clear" w:color="auto" w:fill="auto"/>
            <w:vAlign w:val="center"/>
          </w:tcPr>
          <w:p w14:paraId="40E7DDE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39.79</w:t>
            </w:r>
          </w:p>
        </w:tc>
        <w:tc>
          <w:tcPr>
            <w:tcW w:w="1809" w:type="dxa"/>
            <w:tcBorders>
              <w:tl2br w:val="nil"/>
              <w:tr2bl w:val="nil"/>
            </w:tcBorders>
            <w:shd w:val="clear" w:color="auto" w:fill="auto"/>
            <w:vAlign w:val="center"/>
          </w:tcPr>
          <w:p w14:paraId="6F669F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0.29</w:t>
            </w:r>
          </w:p>
        </w:tc>
      </w:tr>
    </w:tbl>
    <w:p w14:paraId="31A01231">
      <w:pPr>
        <w:pStyle w:val="48"/>
        <w:spacing w:before="0" w:line="360" w:lineRule="auto"/>
        <w:rPr>
          <w:rFonts w:hint="default" w:ascii="Times New Roman" w:hAnsi="Times New Roman" w:eastAsia="宋体" w:cs="Times New Roman"/>
          <w:sz w:val="24"/>
          <w:szCs w:val="21"/>
          <w:u w:val="single"/>
          <w:lang w:eastAsia="zh-CN"/>
        </w:rPr>
      </w:pPr>
      <w:r>
        <w:rPr>
          <w:rFonts w:hint="default" w:ascii="Times New Roman" w:hAnsi="Times New Roman" w:eastAsia="宋体" w:cs="Times New Roman"/>
          <w:sz w:val="24"/>
          <w:szCs w:val="21"/>
          <w:u w:val="single"/>
        </w:rPr>
        <w:t>项目各生产线废水统一通过厂区内的排水管道汇入项目自建的污水处理站，经处理达标后</w:t>
      </w:r>
      <w:r>
        <w:rPr>
          <w:rFonts w:hint="default" w:ascii="Times New Roman" w:hAnsi="Times New Roman" w:eastAsia="宋体" w:cs="Times New Roman"/>
          <w:sz w:val="24"/>
          <w:szCs w:val="21"/>
          <w:u w:val="single"/>
          <w:lang w:val="en-US" w:eastAsia="zh-CN"/>
        </w:rPr>
        <w:t>暂存至污水处理站配套的蓄水池，之后全部回用于危险废物的清洗工序</w:t>
      </w: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根据建设单位的使用计划，生产废水拟回用一次后再次进入污水处理站，处理达到</w:t>
      </w:r>
      <w:r>
        <w:rPr>
          <w:rFonts w:hint="default" w:ascii="Times New Roman" w:hAnsi="Times New Roman" w:eastAsia="宋体" w:cs="Times New Roman"/>
          <w:sz w:val="24"/>
          <w:szCs w:val="21"/>
          <w:u w:val="single"/>
        </w:rPr>
        <w:t>经处理达</w:t>
      </w:r>
      <w:r>
        <w:rPr>
          <w:rFonts w:hint="default" w:ascii="Times New Roman" w:hAnsi="Times New Roman" w:eastAsia="宋体" w:cs="Times New Roman"/>
          <w:sz w:val="24"/>
          <w:szCs w:val="21"/>
          <w:u w:val="single"/>
          <w:lang w:val="en-US" w:eastAsia="zh-CN"/>
        </w:rPr>
        <w:t>到</w:t>
      </w:r>
      <w:r>
        <w:rPr>
          <w:rFonts w:hint="default" w:ascii="Times New Roman" w:hAnsi="Times New Roman" w:eastAsia="宋体" w:cs="Times New Roman"/>
          <w:sz w:val="24"/>
          <w:szCs w:val="21"/>
          <w:u w:val="single"/>
        </w:rPr>
        <w:t>《污水综合排放标准》（GB8978-1996）表4三级标准，</w:t>
      </w:r>
      <w:r>
        <w:rPr>
          <w:rFonts w:hint="default" w:ascii="Times New Roman" w:hAnsi="Times New Roman" w:eastAsia="宋体" w:cs="Times New Roman"/>
          <w:sz w:val="24"/>
          <w:szCs w:val="21"/>
          <w:u w:val="single"/>
          <w:lang w:val="en-US" w:eastAsia="zh-CN"/>
        </w:rPr>
        <w:t>且</w:t>
      </w:r>
      <w:r>
        <w:rPr>
          <w:rFonts w:hint="default" w:ascii="Times New Roman" w:hAnsi="Times New Roman" w:eastAsia="宋体" w:cs="Times New Roman"/>
          <w:sz w:val="24"/>
          <w:szCs w:val="21"/>
          <w:u w:val="single"/>
        </w:rPr>
        <w:t>同时满足松木污水处理厂进水水质要求后排入园区污水管网</w:t>
      </w:r>
      <w:r>
        <w:rPr>
          <w:rFonts w:hint="default" w:ascii="Times New Roman" w:hAnsi="Times New Roman" w:eastAsia="宋体" w:cs="Times New Roman"/>
          <w:sz w:val="24"/>
          <w:szCs w:val="21"/>
          <w:u w:val="single"/>
          <w:lang w:eastAsia="zh-CN"/>
        </w:rPr>
        <w:t>。</w:t>
      </w:r>
    </w:p>
    <w:p w14:paraId="2C35A59C">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本项目自建的污水处理站拟采用“</w:t>
      </w:r>
      <w:r>
        <w:rPr>
          <w:rFonts w:hint="default" w:ascii="Times New Roman" w:hAnsi="Times New Roman" w:eastAsia="宋体" w:cs="Times New Roman"/>
          <w:sz w:val="24"/>
          <w:szCs w:val="21"/>
          <w:u w:val="single"/>
          <w:lang w:eastAsia="zh-CN"/>
        </w:rPr>
        <w:t>pH调节+絮凝+气浮+芬顿氧化+水解酸化+AO处理+沉淀</w:t>
      </w:r>
      <w:r>
        <w:rPr>
          <w:rFonts w:hint="default" w:ascii="Times New Roman" w:hAnsi="Times New Roman" w:eastAsia="宋体" w:cs="Times New Roman"/>
          <w:sz w:val="24"/>
          <w:szCs w:val="21"/>
          <w:u w:val="single"/>
        </w:rPr>
        <w:t>”处理工艺处理各生产线清洗工序产生的废水，根据《芬顿氧化法废水处理工程技术规范》（HJ 1095-2020）、《污水混凝与絮凝处理工程技术规范》（HJ 2006-2010）、《水解酸化反应器污水处理工程技术规范》（HJ 2047-2015）和《厌氧-缺氧-好氧活性污泥法污水处理工程技术规范》（HJ 576-2010）等技术规范，综合废水处理效率及排放情况见下表。</w:t>
      </w:r>
    </w:p>
    <w:p w14:paraId="5C17259C">
      <w:pPr>
        <w:pStyle w:val="48"/>
        <w:spacing w:before="0" w:line="360" w:lineRule="auto"/>
        <w:ind w:firstLine="0" w:firstLineChars="0"/>
        <w:jc w:val="center"/>
        <w:rPr>
          <w:rFonts w:hint="default" w:ascii="Times New Roman" w:hAnsi="Times New Roman" w:eastAsia="宋体" w:cs="Times New Roman"/>
          <w:b/>
          <w:bCs/>
          <w:sz w:val="21"/>
          <w:szCs w:val="18"/>
          <w:u w:val="single"/>
        </w:rPr>
      </w:pPr>
      <w:r>
        <w:rPr>
          <w:rFonts w:hint="default" w:ascii="Times New Roman" w:hAnsi="Times New Roman" w:eastAsia="宋体" w:cs="Times New Roman"/>
          <w:b/>
          <w:bCs/>
          <w:sz w:val="21"/>
          <w:szCs w:val="18"/>
          <w:u w:val="single"/>
        </w:rPr>
        <w:t>表5.5-</w:t>
      </w:r>
      <w:r>
        <w:rPr>
          <w:rFonts w:hint="default" w:ascii="Times New Roman" w:hAnsi="Times New Roman" w:eastAsia="宋体" w:cs="Times New Roman"/>
          <w:b/>
          <w:bCs/>
          <w:sz w:val="21"/>
          <w:szCs w:val="18"/>
          <w:u w:val="single"/>
          <w:lang w:val="en-US" w:eastAsia="zh-CN"/>
        </w:rPr>
        <w:t>12</w:t>
      </w:r>
      <w:r>
        <w:rPr>
          <w:rFonts w:hint="default" w:ascii="Times New Roman" w:hAnsi="Times New Roman" w:eastAsia="宋体" w:cs="Times New Roman"/>
          <w:b/>
          <w:bCs/>
          <w:sz w:val="21"/>
          <w:szCs w:val="18"/>
          <w:u w:val="single"/>
        </w:rPr>
        <w:t xml:space="preserve"> 污水处理站废水污染源强核算及相关参数一览表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001"/>
        <w:gridCol w:w="1131"/>
        <w:gridCol w:w="1338"/>
        <w:gridCol w:w="916"/>
        <w:gridCol w:w="1014"/>
        <w:gridCol w:w="1018"/>
        <w:gridCol w:w="1053"/>
        <w:gridCol w:w="865"/>
      </w:tblGrid>
      <w:tr w14:paraId="0F29EF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Align w:val="center"/>
          </w:tcPr>
          <w:p w14:paraId="224B9B4B">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zh-CN"/>
              </w:rPr>
              <w:t>废水种类</w:t>
            </w:r>
          </w:p>
        </w:tc>
        <w:tc>
          <w:tcPr>
            <w:tcW w:w="680" w:type="pct"/>
            <w:vAlign w:val="center"/>
          </w:tcPr>
          <w:p w14:paraId="5BE71ECC">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废水产生量</w:t>
            </w:r>
          </w:p>
          <w:p w14:paraId="00934DCF">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（t/a）</w:t>
            </w:r>
          </w:p>
        </w:tc>
        <w:tc>
          <w:tcPr>
            <w:tcW w:w="804" w:type="pct"/>
            <w:vAlign w:val="center"/>
          </w:tcPr>
          <w:p w14:paraId="66B1F222">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污染物</w:t>
            </w:r>
          </w:p>
        </w:tc>
        <w:tc>
          <w:tcPr>
            <w:tcW w:w="538" w:type="pct"/>
            <w:vAlign w:val="center"/>
          </w:tcPr>
          <w:p w14:paraId="2B329576">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产生浓度</w:t>
            </w:r>
          </w:p>
          <w:p w14:paraId="592132A4">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（mg/L）</w:t>
            </w:r>
          </w:p>
        </w:tc>
        <w:tc>
          <w:tcPr>
            <w:tcW w:w="610" w:type="pct"/>
            <w:vAlign w:val="center"/>
          </w:tcPr>
          <w:p w14:paraId="4D251EE0">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产生量</w:t>
            </w:r>
          </w:p>
          <w:p w14:paraId="20F45A85">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（t/a）</w:t>
            </w:r>
          </w:p>
        </w:tc>
        <w:tc>
          <w:tcPr>
            <w:tcW w:w="612" w:type="pct"/>
            <w:vAlign w:val="center"/>
          </w:tcPr>
          <w:p w14:paraId="4A9FCABA">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处理效率</w:t>
            </w:r>
          </w:p>
          <w:p w14:paraId="0356E963">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w:t>
            </w:r>
          </w:p>
        </w:tc>
        <w:tc>
          <w:tcPr>
            <w:tcW w:w="633" w:type="pct"/>
            <w:vAlign w:val="center"/>
          </w:tcPr>
          <w:p w14:paraId="78B1FECE">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排放浓度</w:t>
            </w:r>
          </w:p>
          <w:p w14:paraId="3C900A47">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（mg/L）</w:t>
            </w:r>
          </w:p>
        </w:tc>
        <w:tc>
          <w:tcPr>
            <w:tcW w:w="520" w:type="pct"/>
            <w:vAlign w:val="center"/>
          </w:tcPr>
          <w:p w14:paraId="1A3650D8">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排放量</w:t>
            </w:r>
          </w:p>
          <w:p w14:paraId="4CDC2AD9">
            <w:pPr>
              <w:pStyle w:val="60"/>
              <w:adjustRightInd w:val="0"/>
              <w:snapToGrid w:val="0"/>
              <w:rPr>
                <w:rFonts w:hint="default" w:ascii="Times New Roman" w:hAnsi="Times New Roman" w:eastAsia="宋体" w:cs="Times New Roman"/>
                <w:b/>
                <w:bCs/>
                <w:sz w:val="21"/>
                <w:szCs w:val="21"/>
                <w:u w:val="single"/>
                <w:lang w:eastAsia="en-US"/>
              </w:rPr>
            </w:pPr>
            <w:r>
              <w:rPr>
                <w:rFonts w:hint="default" w:ascii="Times New Roman" w:hAnsi="Times New Roman" w:eastAsia="宋体" w:cs="Times New Roman"/>
                <w:b/>
                <w:bCs/>
                <w:sz w:val="21"/>
                <w:szCs w:val="21"/>
                <w:u w:val="single"/>
                <w:lang w:eastAsia="en-US"/>
              </w:rPr>
              <w:t>（t/a）</w:t>
            </w:r>
          </w:p>
        </w:tc>
      </w:tr>
      <w:tr w14:paraId="6AD7A12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Merge w:val="restart"/>
            <w:vAlign w:val="center"/>
          </w:tcPr>
          <w:p w14:paraId="1DD56AAB">
            <w:pPr>
              <w:pStyle w:val="60"/>
              <w:adjustRightInd w:val="0"/>
              <w:snapToGrid w:val="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lang w:eastAsia="zh-CN"/>
              </w:rPr>
              <w:t>综合</w:t>
            </w:r>
            <w:r>
              <w:rPr>
                <w:rFonts w:hint="default" w:ascii="Times New Roman" w:hAnsi="Times New Roman" w:eastAsia="宋体" w:cs="Times New Roman"/>
                <w:sz w:val="21"/>
                <w:szCs w:val="21"/>
                <w:u w:val="single"/>
                <w:lang w:val="en-US" w:eastAsia="zh-CN"/>
              </w:rPr>
              <w:t>清洗</w:t>
            </w:r>
            <w:r>
              <w:rPr>
                <w:rFonts w:hint="default" w:ascii="Times New Roman" w:hAnsi="Times New Roman" w:eastAsia="宋体" w:cs="Times New Roman"/>
                <w:sz w:val="21"/>
                <w:szCs w:val="21"/>
                <w:u w:val="single"/>
                <w:lang w:eastAsia="zh-CN"/>
              </w:rPr>
              <w:t>废水</w:t>
            </w:r>
          </w:p>
        </w:tc>
        <w:tc>
          <w:tcPr>
            <w:tcW w:w="680" w:type="pct"/>
            <w:vMerge w:val="restart"/>
            <w:vAlign w:val="center"/>
          </w:tcPr>
          <w:p w14:paraId="44667CA4">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kern w:val="0"/>
                <w:szCs w:val="21"/>
                <w:u w:val="single"/>
              </w:rPr>
              <w:t>7392</w:t>
            </w:r>
          </w:p>
        </w:tc>
        <w:tc>
          <w:tcPr>
            <w:tcW w:w="804" w:type="pct"/>
            <w:vAlign w:val="center"/>
          </w:tcPr>
          <w:p w14:paraId="78049C25">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pH（无量纲）</w:t>
            </w:r>
          </w:p>
        </w:tc>
        <w:tc>
          <w:tcPr>
            <w:tcW w:w="538" w:type="pct"/>
            <w:vAlign w:val="center"/>
          </w:tcPr>
          <w:p w14:paraId="0CA8A0A6">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szCs w:val="21"/>
                <w:u w:val="single"/>
                <w:lang w:eastAsia="en-US"/>
              </w:rPr>
              <w:t>9~10</w:t>
            </w:r>
          </w:p>
        </w:tc>
        <w:tc>
          <w:tcPr>
            <w:tcW w:w="610" w:type="pct"/>
            <w:vAlign w:val="center"/>
          </w:tcPr>
          <w:p w14:paraId="4B00C992">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w:t>
            </w:r>
          </w:p>
        </w:tc>
        <w:tc>
          <w:tcPr>
            <w:tcW w:w="612" w:type="pct"/>
            <w:vAlign w:val="center"/>
          </w:tcPr>
          <w:p w14:paraId="1F43B8F4">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w:t>
            </w:r>
          </w:p>
        </w:tc>
        <w:tc>
          <w:tcPr>
            <w:tcW w:w="633" w:type="pct"/>
            <w:vAlign w:val="center"/>
          </w:tcPr>
          <w:p w14:paraId="7942F289">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6~9</w:t>
            </w:r>
          </w:p>
        </w:tc>
        <w:tc>
          <w:tcPr>
            <w:tcW w:w="520" w:type="pct"/>
            <w:vAlign w:val="center"/>
          </w:tcPr>
          <w:p w14:paraId="40BFC154">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w:t>
            </w:r>
          </w:p>
        </w:tc>
      </w:tr>
      <w:tr w14:paraId="7FDA44D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Merge w:val="continue"/>
            <w:vAlign w:val="center"/>
          </w:tcPr>
          <w:p w14:paraId="10A147B5">
            <w:pPr>
              <w:pStyle w:val="60"/>
              <w:adjustRightInd w:val="0"/>
              <w:snapToGrid w:val="0"/>
              <w:rPr>
                <w:rFonts w:hint="default" w:ascii="Times New Roman" w:hAnsi="Times New Roman" w:eastAsia="宋体" w:cs="Times New Roman"/>
                <w:sz w:val="21"/>
                <w:szCs w:val="21"/>
                <w:u w:val="single"/>
                <w:lang w:eastAsia="en-US"/>
              </w:rPr>
            </w:pPr>
          </w:p>
        </w:tc>
        <w:tc>
          <w:tcPr>
            <w:tcW w:w="680" w:type="pct"/>
            <w:vMerge w:val="continue"/>
            <w:vAlign w:val="center"/>
          </w:tcPr>
          <w:p w14:paraId="3838DD6A">
            <w:pPr>
              <w:pStyle w:val="60"/>
              <w:adjustRightInd w:val="0"/>
              <w:snapToGrid w:val="0"/>
              <w:rPr>
                <w:rFonts w:hint="default" w:ascii="Times New Roman" w:hAnsi="Times New Roman" w:eastAsia="宋体" w:cs="Times New Roman"/>
                <w:color w:val="000000"/>
                <w:szCs w:val="21"/>
                <w:u w:val="single"/>
                <w:lang w:eastAsia="en-US"/>
              </w:rPr>
            </w:pPr>
          </w:p>
        </w:tc>
        <w:tc>
          <w:tcPr>
            <w:tcW w:w="804" w:type="pct"/>
            <w:vAlign w:val="center"/>
          </w:tcPr>
          <w:p w14:paraId="3C5ECFB0">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szCs w:val="21"/>
                <w:u w:val="single"/>
                <w:lang w:eastAsia="en-US"/>
              </w:rPr>
              <w:t>苯</w:t>
            </w:r>
          </w:p>
        </w:tc>
        <w:tc>
          <w:tcPr>
            <w:tcW w:w="916" w:type="dxa"/>
            <w:vAlign w:val="center"/>
          </w:tcPr>
          <w:p w14:paraId="15F646B2">
            <w:pPr>
              <w:widowControl/>
              <w:autoSpaceDE w:val="0"/>
              <w:autoSpaceDN w:val="0"/>
              <w:adjustRightInd w:val="0"/>
              <w:snapToGrid w:val="0"/>
              <w:jc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kern w:val="0"/>
                <w:szCs w:val="21"/>
                <w:u w:val="single"/>
              </w:rPr>
              <w:t>0.</w:t>
            </w:r>
            <w:r>
              <w:rPr>
                <w:rFonts w:hint="default" w:ascii="Times New Roman" w:hAnsi="Times New Roman" w:eastAsia="宋体" w:cs="Times New Roman"/>
                <w:color w:val="000000"/>
                <w:kern w:val="0"/>
                <w:szCs w:val="21"/>
                <w:u w:val="single"/>
                <w:lang w:val="en-US" w:eastAsia="zh-CN"/>
              </w:rPr>
              <w:t>4</w:t>
            </w:r>
          </w:p>
        </w:tc>
        <w:tc>
          <w:tcPr>
            <w:tcW w:w="1014" w:type="dxa"/>
            <w:vAlign w:val="center"/>
          </w:tcPr>
          <w:p w14:paraId="39DB4B23">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0.003</w:t>
            </w:r>
          </w:p>
        </w:tc>
        <w:tc>
          <w:tcPr>
            <w:tcW w:w="612" w:type="pct"/>
            <w:vAlign w:val="center"/>
          </w:tcPr>
          <w:p w14:paraId="1C369EB3">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50</w:t>
            </w:r>
          </w:p>
        </w:tc>
        <w:tc>
          <w:tcPr>
            <w:tcW w:w="1053" w:type="dxa"/>
            <w:vAlign w:val="center"/>
          </w:tcPr>
          <w:p w14:paraId="6DBBBE25">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865" w:type="dxa"/>
            <w:vAlign w:val="center"/>
          </w:tcPr>
          <w:p w14:paraId="3590927F">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0.0015</w:t>
            </w:r>
          </w:p>
        </w:tc>
      </w:tr>
      <w:tr w14:paraId="4875F7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Merge w:val="continue"/>
            <w:vAlign w:val="center"/>
          </w:tcPr>
          <w:p w14:paraId="793C727F">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680" w:type="pct"/>
            <w:vMerge w:val="continue"/>
            <w:vAlign w:val="center"/>
          </w:tcPr>
          <w:p w14:paraId="01621096">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804" w:type="pct"/>
            <w:vAlign w:val="center"/>
          </w:tcPr>
          <w:p w14:paraId="445BA83B">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甲苯</w:t>
            </w:r>
          </w:p>
        </w:tc>
        <w:tc>
          <w:tcPr>
            <w:tcW w:w="916" w:type="dxa"/>
            <w:vAlign w:val="center"/>
          </w:tcPr>
          <w:p w14:paraId="65E9E6A2">
            <w:pPr>
              <w:widowControl/>
              <w:autoSpaceDE w:val="0"/>
              <w:autoSpaceDN w:val="0"/>
              <w:adjustRightInd w:val="0"/>
              <w:snapToGrid w:val="0"/>
              <w:jc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kern w:val="0"/>
                <w:szCs w:val="21"/>
                <w:u w:val="single"/>
              </w:rPr>
              <w:t xml:space="preserve">0.4 </w:t>
            </w:r>
          </w:p>
        </w:tc>
        <w:tc>
          <w:tcPr>
            <w:tcW w:w="1014" w:type="dxa"/>
            <w:vAlign w:val="center"/>
          </w:tcPr>
          <w:p w14:paraId="33F9C657">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0.003</w:t>
            </w:r>
          </w:p>
        </w:tc>
        <w:tc>
          <w:tcPr>
            <w:tcW w:w="612" w:type="pct"/>
            <w:vAlign w:val="center"/>
          </w:tcPr>
          <w:p w14:paraId="0F4FD8CC">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50</w:t>
            </w:r>
          </w:p>
        </w:tc>
        <w:tc>
          <w:tcPr>
            <w:tcW w:w="1053" w:type="dxa"/>
            <w:vAlign w:val="center"/>
          </w:tcPr>
          <w:p w14:paraId="0DD7FDF0">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0.2</w:t>
            </w:r>
          </w:p>
        </w:tc>
        <w:tc>
          <w:tcPr>
            <w:tcW w:w="865" w:type="dxa"/>
            <w:vAlign w:val="center"/>
          </w:tcPr>
          <w:p w14:paraId="0FA8E1F3">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0.0015</w:t>
            </w:r>
          </w:p>
        </w:tc>
      </w:tr>
      <w:tr w14:paraId="1385F3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Merge w:val="continue"/>
            <w:vAlign w:val="center"/>
          </w:tcPr>
          <w:p w14:paraId="64DB38D0">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680" w:type="pct"/>
            <w:vMerge w:val="continue"/>
            <w:vAlign w:val="center"/>
          </w:tcPr>
          <w:p w14:paraId="51C5EE7D">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804" w:type="pct"/>
            <w:vAlign w:val="center"/>
          </w:tcPr>
          <w:p w14:paraId="70A025B7">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COD</w:t>
            </w:r>
            <w:r>
              <w:rPr>
                <w:rFonts w:hint="default" w:ascii="Times New Roman" w:hAnsi="Times New Roman" w:eastAsia="宋体" w:cs="Times New Roman"/>
                <w:sz w:val="21"/>
                <w:szCs w:val="21"/>
                <w:u w:val="single"/>
                <w:vertAlign w:val="subscript"/>
                <w:lang w:eastAsia="en-US"/>
              </w:rPr>
              <w:t>Cr</w:t>
            </w:r>
          </w:p>
        </w:tc>
        <w:tc>
          <w:tcPr>
            <w:tcW w:w="916" w:type="dxa"/>
            <w:vAlign w:val="center"/>
          </w:tcPr>
          <w:p w14:paraId="62F65B78">
            <w:pPr>
              <w:widowControl/>
              <w:autoSpaceDE w:val="0"/>
              <w:autoSpaceDN w:val="0"/>
              <w:adjustRightInd w:val="0"/>
              <w:snapToGrid w:val="0"/>
              <w:jc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kern w:val="0"/>
                <w:szCs w:val="21"/>
                <w:u w:val="single"/>
                <w:lang w:val="en-US" w:eastAsia="zh-CN"/>
              </w:rPr>
              <w:t>1407.59</w:t>
            </w:r>
          </w:p>
        </w:tc>
        <w:tc>
          <w:tcPr>
            <w:tcW w:w="1014" w:type="dxa"/>
            <w:vAlign w:val="center"/>
          </w:tcPr>
          <w:p w14:paraId="6EB7E89D">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10.40</w:t>
            </w:r>
          </w:p>
        </w:tc>
        <w:tc>
          <w:tcPr>
            <w:tcW w:w="612" w:type="pct"/>
            <w:vAlign w:val="center"/>
          </w:tcPr>
          <w:p w14:paraId="358D870F">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90</w:t>
            </w:r>
          </w:p>
        </w:tc>
        <w:tc>
          <w:tcPr>
            <w:tcW w:w="1053" w:type="dxa"/>
            <w:vAlign w:val="center"/>
          </w:tcPr>
          <w:p w14:paraId="7E53E442">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140.76</w:t>
            </w:r>
          </w:p>
        </w:tc>
        <w:tc>
          <w:tcPr>
            <w:tcW w:w="865" w:type="dxa"/>
            <w:vAlign w:val="center"/>
          </w:tcPr>
          <w:p w14:paraId="72D012E3">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1.04</w:t>
            </w:r>
          </w:p>
        </w:tc>
      </w:tr>
      <w:tr w14:paraId="438138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Merge w:val="continue"/>
            <w:vAlign w:val="center"/>
          </w:tcPr>
          <w:p w14:paraId="0CC89C50">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680" w:type="pct"/>
            <w:vMerge w:val="continue"/>
            <w:vAlign w:val="center"/>
          </w:tcPr>
          <w:p w14:paraId="180D0BE3">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804" w:type="pct"/>
            <w:vAlign w:val="center"/>
          </w:tcPr>
          <w:p w14:paraId="46F35200">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BOD</w:t>
            </w:r>
            <w:r>
              <w:rPr>
                <w:rFonts w:hint="default" w:ascii="Times New Roman" w:hAnsi="Times New Roman" w:eastAsia="宋体" w:cs="Times New Roman"/>
                <w:sz w:val="21"/>
                <w:szCs w:val="21"/>
                <w:u w:val="single"/>
                <w:vertAlign w:val="subscript"/>
                <w:lang w:eastAsia="en-US"/>
              </w:rPr>
              <w:t>5</w:t>
            </w:r>
          </w:p>
        </w:tc>
        <w:tc>
          <w:tcPr>
            <w:tcW w:w="916" w:type="dxa"/>
            <w:vAlign w:val="center"/>
          </w:tcPr>
          <w:p w14:paraId="67F3804A">
            <w:pPr>
              <w:widowControl/>
              <w:autoSpaceDE w:val="0"/>
              <w:autoSpaceDN w:val="0"/>
              <w:adjustRightInd w:val="0"/>
              <w:snapToGrid w:val="0"/>
              <w:jc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kern w:val="0"/>
                <w:szCs w:val="21"/>
                <w:u w:val="single"/>
                <w:lang w:val="en-US" w:eastAsia="zh-CN"/>
              </w:rPr>
              <w:t>354.8</w:t>
            </w:r>
          </w:p>
        </w:tc>
        <w:tc>
          <w:tcPr>
            <w:tcW w:w="1014" w:type="dxa"/>
            <w:vAlign w:val="center"/>
          </w:tcPr>
          <w:p w14:paraId="3D93BF1E">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2.62</w:t>
            </w:r>
          </w:p>
        </w:tc>
        <w:tc>
          <w:tcPr>
            <w:tcW w:w="612" w:type="pct"/>
            <w:vAlign w:val="center"/>
          </w:tcPr>
          <w:p w14:paraId="286226B5">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95</w:t>
            </w:r>
          </w:p>
        </w:tc>
        <w:tc>
          <w:tcPr>
            <w:tcW w:w="1053" w:type="dxa"/>
            <w:vAlign w:val="center"/>
          </w:tcPr>
          <w:p w14:paraId="2D1B7DE5">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17.74</w:t>
            </w:r>
          </w:p>
        </w:tc>
        <w:tc>
          <w:tcPr>
            <w:tcW w:w="865" w:type="dxa"/>
            <w:vAlign w:val="center"/>
          </w:tcPr>
          <w:p w14:paraId="522C83E7">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0.13</w:t>
            </w:r>
          </w:p>
        </w:tc>
      </w:tr>
      <w:tr w14:paraId="71A2CAD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Merge w:val="continue"/>
            <w:vAlign w:val="center"/>
          </w:tcPr>
          <w:p w14:paraId="28BFA96A">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680" w:type="pct"/>
            <w:vMerge w:val="continue"/>
            <w:vAlign w:val="center"/>
          </w:tcPr>
          <w:p w14:paraId="69D08FBC">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804" w:type="pct"/>
            <w:vAlign w:val="center"/>
          </w:tcPr>
          <w:p w14:paraId="755F3F04">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SS</w:t>
            </w:r>
          </w:p>
        </w:tc>
        <w:tc>
          <w:tcPr>
            <w:tcW w:w="916" w:type="dxa"/>
            <w:vAlign w:val="center"/>
          </w:tcPr>
          <w:p w14:paraId="4E255BC3">
            <w:pPr>
              <w:widowControl/>
              <w:autoSpaceDE w:val="0"/>
              <w:autoSpaceDN w:val="0"/>
              <w:adjustRightInd w:val="0"/>
              <w:snapToGrid w:val="0"/>
              <w:jc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kern w:val="0"/>
                <w:szCs w:val="21"/>
                <w:u w:val="single"/>
                <w:lang w:val="en-US" w:eastAsia="zh-CN"/>
              </w:rPr>
              <w:t>820.63</w:t>
            </w:r>
          </w:p>
        </w:tc>
        <w:tc>
          <w:tcPr>
            <w:tcW w:w="1014" w:type="dxa"/>
            <w:vAlign w:val="center"/>
          </w:tcPr>
          <w:p w14:paraId="6720C89B">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6.07</w:t>
            </w:r>
          </w:p>
        </w:tc>
        <w:tc>
          <w:tcPr>
            <w:tcW w:w="612" w:type="pct"/>
            <w:vAlign w:val="center"/>
          </w:tcPr>
          <w:p w14:paraId="7E09C37C">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95</w:t>
            </w:r>
          </w:p>
        </w:tc>
        <w:tc>
          <w:tcPr>
            <w:tcW w:w="1053" w:type="dxa"/>
            <w:vAlign w:val="center"/>
          </w:tcPr>
          <w:p w14:paraId="78CFCD0A">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41.03</w:t>
            </w:r>
          </w:p>
        </w:tc>
        <w:tc>
          <w:tcPr>
            <w:tcW w:w="865" w:type="dxa"/>
            <w:vAlign w:val="center"/>
          </w:tcPr>
          <w:p w14:paraId="471ED8DF">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0.30</w:t>
            </w:r>
          </w:p>
        </w:tc>
      </w:tr>
      <w:tr w14:paraId="24975F4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Merge w:val="continue"/>
            <w:vAlign w:val="center"/>
          </w:tcPr>
          <w:p w14:paraId="0DDA68C9">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680" w:type="pct"/>
            <w:vMerge w:val="continue"/>
            <w:vAlign w:val="center"/>
          </w:tcPr>
          <w:p w14:paraId="47445B2E">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804" w:type="pct"/>
            <w:vAlign w:val="center"/>
          </w:tcPr>
          <w:p w14:paraId="40AA4F67">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石油类</w:t>
            </w:r>
          </w:p>
        </w:tc>
        <w:tc>
          <w:tcPr>
            <w:tcW w:w="916" w:type="dxa"/>
            <w:vAlign w:val="center"/>
          </w:tcPr>
          <w:p w14:paraId="128F0F4F">
            <w:pPr>
              <w:widowControl/>
              <w:autoSpaceDE w:val="0"/>
              <w:autoSpaceDN w:val="0"/>
              <w:adjustRightInd w:val="0"/>
              <w:snapToGrid w:val="0"/>
              <w:jc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kern w:val="0"/>
                <w:szCs w:val="21"/>
                <w:u w:val="single"/>
                <w:lang w:val="en-US" w:eastAsia="zh-CN"/>
              </w:rPr>
              <w:t>119.9</w:t>
            </w:r>
          </w:p>
        </w:tc>
        <w:tc>
          <w:tcPr>
            <w:tcW w:w="1014" w:type="dxa"/>
            <w:vAlign w:val="center"/>
          </w:tcPr>
          <w:p w14:paraId="3DE6684D">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0.89</w:t>
            </w:r>
          </w:p>
        </w:tc>
        <w:tc>
          <w:tcPr>
            <w:tcW w:w="612" w:type="pct"/>
            <w:vAlign w:val="center"/>
          </w:tcPr>
          <w:p w14:paraId="3F06BC54">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85</w:t>
            </w:r>
          </w:p>
        </w:tc>
        <w:tc>
          <w:tcPr>
            <w:tcW w:w="1053" w:type="dxa"/>
            <w:vAlign w:val="center"/>
          </w:tcPr>
          <w:p w14:paraId="6D48E3F4">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17.99</w:t>
            </w:r>
          </w:p>
        </w:tc>
        <w:tc>
          <w:tcPr>
            <w:tcW w:w="865" w:type="dxa"/>
            <w:vAlign w:val="center"/>
          </w:tcPr>
          <w:p w14:paraId="2DCD6AB9">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0.13</w:t>
            </w:r>
          </w:p>
        </w:tc>
      </w:tr>
      <w:tr w14:paraId="214CC75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Merge w:val="continue"/>
            <w:vAlign w:val="center"/>
          </w:tcPr>
          <w:p w14:paraId="348F3870">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680" w:type="pct"/>
            <w:vMerge w:val="continue"/>
            <w:vAlign w:val="center"/>
          </w:tcPr>
          <w:p w14:paraId="258680BB">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804" w:type="pct"/>
            <w:vAlign w:val="center"/>
          </w:tcPr>
          <w:p w14:paraId="106CFCBC">
            <w:pPr>
              <w:pStyle w:val="60"/>
              <w:adjustRightInd w:val="0"/>
              <w:snapToGrid w:val="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氨氮</w:t>
            </w:r>
          </w:p>
        </w:tc>
        <w:tc>
          <w:tcPr>
            <w:tcW w:w="916" w:type="dxa"/>
            <w:vAlign w:val="center"/>
          </w:tcPr>
          <w:p w14:paraId="0C6A2D31">
            <w:pPr>
              <w:widowControl/>
              <w:autoSpaceDE w:val="0"/>
              <w:autoSpaceDN w:val="0"/>
              <w:adjustRightInd w:val="0"/>
              <w:snapToGrid w:val="0"/>
              <w:jc w:val="center"/>
              <w:rPr>
                <w:rFonts w:hint="default" w:ascii="Times New Roman" w:hAnsi="Times New Roman" w:eastAsia="宋体" w:cs="Times New Roman"/>
                <w:color w:val="000000"/>
                <w:szCs w:val="21"/>
                <w:u w:val="single"/>
                <w:lang w:eastAsia="en-US"/>
              </w:rPr>
            </w:pPr>
            <w:r>
              <w:rPr>
                <w:rFonts w:hint="default" w:ascii="Times New Roman" w:hAnsi="Times New Roman" w:eastAsia="宋体" w:cs="Times New Roman"/>
                <w:color w:val="000000"/>
                <w:kern w:val="0"/>
                <w:szCs w:val="21"/>
                <w:u w:val="single"/>
                <w:lang w:val="en-US" w:eastAsia="zh-CN"/>
              </w:rPr>
              <w:t>94</w:t>
            </w:r>
          </w:p>
        </w:tc>
        <w:tc>
          <w:tcPr>
            <w:tcW w:w="1014" w:type="dxa"/>
            <w:vAlign w:val="center"/>
          </w:tcPr>
          <w:p w14:paraId="6A4187E2">
            <w:pPr>
              <w:keepNext w:val="0"/>
              <w:keepLines w:val="0"/>
              <w:widowControl/>
              <w:suppressLineNumbers w:val="0"/>
              <w:autoSpaceDE w:val="0"/>
              <w:autoSpaceDN w:val="0"/>
              <w:jc w:val="center"/>
              <w:textAlignment w:val="center"/>
              <w:rPr>
                <w:rFonts w:hint="default" w:ascii="Times New Roman" w:hAnsi="Times New Roman" w:eastAsia="宋体" w:cs="Times New Roman"/>
                <w:color w:val="000000"/>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0.69</w:t>
            </w:r>
          </w:p>
        </w:tc>
        <w:tc>
          <w:tcPr>
            <w:tcW w:w="612" w:type="pct"/>
            <w:vAlign w:val="center"/>
          </w:tcPr>
          <w:p w14:paraId="1618EF7C">
            <w:pPr>
              <w:pStyle w:val="60"/>
              <w:adjustRightInd w:val="0"/>
              <w:snapToGrid w:val="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80</w:t>
            </w:r>
          </w:p>
        </w:tc>
        <w:tc>
          <w:tcPr>
            <w:tcW w:w="1053" w:type="dxa"/>
            <w:vAlign w:val="center"/>
          </w:tcPr>
          <w:p w14:paraId="17CA2706">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18.8</w:t>
            </w:r>
          </w:p>
        </w:tc>
        <w:tc>
          <w:tcPr>
            <w:tcW w:w="865" w:type="dxa"/>
            <w:vAlign w:val="center"/>
          </w:tcPr>
          <w:p w14:paraId="49FF0E5A">
            <w:pPr>
              <w:keepNext w:val="0"/>
              <w:keepLines w:val="0"/>
              <w:widowControl/>
              <w:suppressLineNumbers w:val="0"/>
              <w:autoSpaceDE w:val="0"/>
              <w:autoSpaceDN w:val="0"/>
              <w:jc w:val="center"/>
              <w:textAlignment w:val="center"/>
              <w:rPr>
                <w:rFonts w:hint="default" w:ascii="Times New Roman" w:hAnsi="Times New Roman" w:eastAsia="宋体" w:cs="Times New Roman"/>
                <w:color w:val="000000"/>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0.14</w:t>
            </w:r>
          </w:p>
        </w:tc>
      </w:tr>
      <w:tr w14:paraId="57ADBC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602" w:type="pct"/>
            <w:vMerge w:val="continue"/>
            <w:vAlign w:val="center"/>
          </w:tcPr>
          <w:p w14:paraId="061AE38E">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680" w:type="pct"/>
            <w:vMerge w:val="continue"/>
            <w:vAlign w:val="center"/>
          </w:tcPr>
          <w:p w14:paraId="08C5A136">
            <w:pPr>
              <w:autoSpaceDE w:val="0"/>
              <w:autoSpaceDN w:val="0"/>
              <w:adjustRightInd w:val="0"/>
              <w:snapToGrid w:val="0"/>
              <w:jc w:val="center"/>
              <w:rPr>
                <w:rFonts w:hint="default" w:ascii="Times New Roman" w:hAnsi="Times New Roman" w:eastAsia="宋体" w:cs="Times New Roman"/>
                <w:kern w:val="0"/>
                <w:sz w:val="21"/>
                <w:szCs w:val="21"/>
                <w:u w:val="single"/>
                <w:lang w:eastAsia="en-US"/>
              </w:rPr>
            </w:pPr>
          </w:p>
        </w:tc>
        <w:tc>
          <w:tcPr>
            <w:tcW w:w="804" w:type="pct"/>
            <w:vAlign w:val="center"/>
          </w:tcPr>
          <w:p w14:paraId="284E372F">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LAS</w:t>
            </w:r>
          </w:p>
        </w:tc>
        <w:tc>
          <w:tcPr>
            <w:tcW w:w="916" w:type="dxa"/>
            <w:vAlign w:val="center"/>
          </w:tcPr>
          <w:p w14:paraId="098F3D8D">
            <w:pPr>
              <w:widowControl/>
              <w:autoSpaceDE w:val="0"/>
              <w:autoSpaceDN w:val="0"/>
              <w:adjustRightInd w:val="0"/>
              <w:snapToGrid w:val="0"/>
              <w:jc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color w:val="000000"/>
                <w:kern w:val="0"/>
                <w:szCs w:val="21"/>
                <w:u w:val="single"/>
                <w:lang w:val="en-US" w:eastAsia="zh-CN"/>
              </w:rPr>
              <w:t>39.79</w:t>
            </w:r>
          </w:p>
        </w:tc>
        <w:tc>
          <w:tcPr>
            <w:tcW w:w="1014" w:type="dxa"/>
            <w:vAlign w:val="center"/>
          </w:tcPr>
          <w:p w14:paraId="5ADB5BBF">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0.29</w:t>
            </w:r>
          </w:p>
        </w:tc>
        <w:tc>
          <w:tcPr>
            <w:tcW w:w="612" w:type="pct"/>
            <w:vAlign w:val="center"/>
          </w:tcPr>
          <w:p w14:paraId="30D50F6B">
            <w:pPr>
              <w:pStyle w:val="60"/>
              <w:adjustRightInd w:val="0"/>
              <w:snapToGrid w:val="0"/>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sz w:val="21"/>
                <w:szCs w:val="21"/>
                <w:u w:val="single"/>
                <w:lang w:eastAsia="en-US"/>
              </w:rPr>
              <w:t>80</w:t>
            </w:r>
          </w:p>
        </w:tc>
        <w:tc>
          <w:tcPr>
            <w:tcW w:w="1053" w:type="dxa"/>
            <w:vAlign w:val="center"/>
          </w:tcPr>
          <w:p w14:paraId="25B11962">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7.958</w:t>
            </w:r>
          </w:p>
        </w:tc>
        <w:tc>
          <w:tcPr>
            <w:tcW w:w="865" w:type="dxa"/>
            <w:vAlign w:val="center"/>
          </w:tcPr>
          <w:p w14:paraId="3AA01F35">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u w:val="single"/>
                <w:lang w:eastAsia="en-US"/>
              </w:rPr>
            </w:pPr>
            <w:r>
              <w:rPr>
                <w:rFonts w:hint="default" w:ascii="Times New Roman" w:hAnsi="Times New Roman" w:eastAsia="宋体" w:cs="Times New Roman"/>
                <w:i w:val="0"/>
                <w:iCs w:val="0"/>
                <w:color w:val="000000"/>
                <w:kern w:val="0"/>
                <w:sz w:val="21"/>
                <w:szCs w:val="21"/>
                <w:u w:val="single"/>
                <w:lang w:val="en-US" w:eastAsia="zh-CN" w:bidi="ar"/>
              </w:rPr>
              <w:t>0.058</w:t>
            </w:r>
          </w:p>
        </w:tc>
      </w:tr>
    </w:tbl>
    <w:p w14:paraId="1589A5C5">
      <w:pPr>
        <w:pStyle w:val="48"/>
        <w:spacing w:before="0" w:line="360" w:lineRule="auto"/>
        <w:ind w:left="0" w:leftChars="0" w:firstLine="0" w:firstLineChars="0"/>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lang w:val="en-US" w:eastAsia="zh-CN"/>
        </w:rPr>
        <w:t>二、</w:t>
      </w:r>
      <w:r>
        <w:rPr>
          <w:rFonts w:hint="default" w:ascii="Times New Roman" w:hAnsi="Times New Roman" w:eastAsia="宋体" w:cs="Times New Roman"/>
          <w:b/>
          <w:bCs/>
          <w:sz w:val="24"/>
          <w:szCs w:val="21"/>
          <w:lang w:eastAsia="zh-CN"/>
        </w:rPr>
        <w:t>生活污水</w:t>
      </w:r>
    </w:p>
    <w:p w14:paraId="6857E4F4">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本项目劳动定员50人，</w:t>
      </w:r>
      <w:r>
        <w:rPr>
          <w:rFonts w:hint="default" w:ascii="Times New Roman" w:hAnsi="Times New Roman" w:eastAsia="宋体" w:cs="Times New Roman"/>
          <w:sz w:val="24"/>
        </w:rPr>
        <w:t>项目不设置员工宿舍，员工用水量计为40L/人·d，年最大生产天数为330天，项目生活用水量为2</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/d</w:t>
      </w:r>
      <w:r>
        <w:rPr>
          <w:rFonts w:hint="default" w:ascii="Times New Roman" w:hAnsi="Times New Roman" w:eastAsia="宋体" w:cs="Times New Roman"/>
          <w:sz w:val="24"/>
        </w:rPr>
        <w:t>、660</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/a，</w:t>
      </w:r>
      <w:r>
        <w:rPr>
          <w:rFonts w:hint="default" w:ascii="Times New Roman" w:hAnsi="Times New Roman" w:eastAsia="宋体" w:cs="Times New Roman"/>
          <w:sz w:val="24"/>
        </w:rPr>
        <w:t>员工生活污水排放系数为0.80，新增生活污水排放量为1.6</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/d</w:t>
      </w:r>
      <w:r>
        <w:rPr>
          <w:rFonts w:hint="default" w:ascii="Times New Roman" w:hAnsi="Times New Roman" w:eastAsia="宋体" w:cs="Times New Roman"/>
          <w:sz w:val="24"/>
        </w:rPr>
        <w:t>、528m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/a。生活污水中的主要污染物为COD、BOD</w:t>
      </w:r>
      <w:r>
        <w:rPr>
          <w:rFonts w:hint="default" w:ascii="Times New Roman" w:hAnsi="Times New Roman" w:eastAsia="宋体" w:cs="Times New Roman"/>
          <w:sz w:val="24"/>
          <w:vertAlign w:val="subscript"/>
        </w:rPr>
        <w:t>5</w:t>
      </w:r>
      <w:r>
        <w:rPr>
          <w:rFonts w:hint="default" w:ascii="Times New Roman" w:hAnsi="Times New Roman" w:eastAsia="宋体" w:cs="Times New Roman"/>
          <w:sz w:val="24"/>
        </w:rPr>
        <w:t>、SS、NH</w:t>
      </w:r>
      <w:r>
        <w:rPr>
          <w:rFonts w:hint="default" w:ascii="Times New Roman" w:hAnsi="Times New Roman" w:eastAsia="宋体" w:cs="Times New Roman"/>
          <w:sz w:val="24"/>
          <w:vertAlign w:val="subscript"/>
        </w:rPr>
        <w:t>3</w:t>
      </w:r>
      <w:r>
        <w:rPr>
          <w:rFonts w:hint="default" w:ascii="Times New Roman" w:hAnsi="Times New Roman" w:eastAsia="宋体" w:cs="Times New Roman"/>
          <w:sz w:val="24"/>
        </w:rPr>
        <w:t>-N、动植物油等，生活污水拟经办公楼配套的化粪池处理达标后</w:t>
      </w:r>
      <w:r>
        <w:rPr>
          <w:rFonts w:hint="eastAsia" w:ascii="Times New Roman" w:hAnsi="Times New Roman" w:cs="Times New Roman"/>
          <w:sz w:val="24"/>
          <w:lang w:val="en-US" w:eastAsia="zh-CN"/>
        </w:rPr>
        <w:t>直接</w:t>
      </w:r>
      <w:r>
        <w:rPr>
          <w:rFonts w:hint="default" w:ascii="Times New Roman" w:hAnsi="Times New Roman" w:eastAsia="宋体" w:cs="Times New Roman"/>
          <w:sz w:val="24"/>
        </w:rPr>
        <w:t>进入园区污水管网。</w:t>
      </w:r>
    </w:p>
    <w:p w14:paraId="6EF5EF81">
      <w:pPr>
        <w:spacing w:line="360" w:lineRule="auto"/>
        <w:ind w:firstLine="480" w:firstLineChars="200"/>
        <w:rPr>
          <w:rFonts w:hint="default" w:ascii="Times New Roman" w:hAnsi="Times New Roman" w:eastAsia="宋体" w:cs="Times New Roman"/>
          <w:kern w:val="0"/>
        </w:rPr>
      </w:pPr>
      <w:r>
        <w:rPr>
          <w:rFonts w:hint="default" w:ascii="Times New Roman" w:hAnsi="Times New Roman" w:eastAsia="宋体" w:cs="Times New Roman"/>
          <w:sz w:val="24"/>
        </w:rPr>
        <w:t>本项目运营期废水产生量及各项污染物产生量情况见5.5-</w:t>
      </w:r>
      <w:r>
        <w:rPr>
          <w:rFonts w:hint="default" w:ascii="Times New Roman" w:hAnsi="Times New Roman" w:eastAsia="宋体" w:cs="Times New Roman"/>
          <w:sz w:val="24"/>
          <w:lang w:val="en-US" w:eastAsia="zh-CN"/>
        </w:rPr>
        <w:t>13</w:t>
      </w:r>
      <w:r>
        <w:rPr>
          <w:rFonts w:hint="default" w:ascii="Times New Roman" w:hAnsi="Times New Roman" w:eastAsia="宋体" w:cs="Times New Roman"/>
          <w:sz w:val="24"/>
        </w:rPr>
        <w:t>。</w:t>
      </w:r>
    </w:p>
    <w:p w14:paraId="65912CAA">
      <w:pPr>
        <w:spacing w:line="360" w:lineRule="auto"/>
        <w:jc w:val="center"/>
        <w:textAlignment w:val="baseline"/>
        <w:rPr>
          <w:rFonts w:hint="default" w:ascii="Times New Roman" w:hAnsi="Times New Roman" w:eastAsia="宋体" w:cs="Times New Roman"/>
          <w:bCs/>
          <w:sz w:val="24"/>
        </w:rPr>
      </w:pPr>
      <w:r>
        <w:rPr>
          <w:rFonts w:hint="default" w:ascii="Times New Roman" w:hAnsi="Times New Roman" w:eastAsia="宋体" w:cs="Times New Roman"/>
          <w:b/>
          <w:szCs w:val="21"/>
        </w:rPr>
        <w:t>表5.5-</w:t>
      </w:r>
      <w:r>
        <w:rPr>
          <w:rFonts w:hint="default" w:ascii="Times New Roman" w:hAnsi="Times New Roman" w:eastAsia="宋体" w:cs="Times New Roman"/>
          <w:b/>
          <w:szCs w:val="21"/>
          <w:lang w:val="en-US" w:eastAsia="zh-CN"/>
        </w:rPr>
        <w:t>13</w:t>
      </w:r>
      <w:r>
        <w:rPr>
          <w:rFonts w:hint="default" w:ascii="Times New Roman" w:hAnsi="Times New Roman" w:eastAsia="宋体" w:cs="Times New Roman"/>
          <w:b/>
          <w:szCs w:val="21"/>
        </w:rPr>
        <w:t xml:space="preserve">  生活污水产生量及污染物产生量一览表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01"/>
        <w:gridCol w:w="1275"/>
        <w:gridCol w:w="709"/>
        <w:gridCol w:w="992"/>
        <w:gridCol w:w="992"/>
        <w:gridCol w:w="994"/>
        <w:gridCol w:w="1133"/>
        <w:gridCol w:w="1326"/>
      </w:tblGrid>
      <w:tr w14:paraId="1AFEC4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94" w:type="pct"/>
            <w:gridSpan w:val="2"/>
            <w:vMerge w:val="restart"/>
            <w:vAlign w:val="center"/>
          </w:tcPr>
          <w:p w14:paraId="182B7F99">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3606" w:type="pct"/>
            <w:gridSpan w:val="6"/>
            <w:vAlign w:val="center"/>
          </w:tcPr>
          <w:p w14:paraId="45DA3898">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主要污染物</w:t>
            </w:r>
          </w:p>
        </w:tc>
      </w:tr>
      <w:tr w14:paraId="5522CA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394" w:type="pct"/>
            <w:gridSpan w:val="2"/>
            <w:vMerge w:val="continue"/>
            <w:vAlign w:val="center"/>
          </w:tcPr>
          <w:p w14:paraId="3CB100EF">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p>
        </w:tc>
        <w:tc>
          <w:tcPr>
            <w:tcW w:w="416" w:type="pct"/>
            <w:tcBorders>
              <w:right w:val="single" w:color="auto" w:sz="4" w:space="0"/>
            </w:tcBorders>
            <w:vAlign w:val="center"/>
          </w:tcPr>
          <w:p w14:paraId="4D4BF6B9">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pH</w:t>
            </w:r>
          </w:p>
        </w:tc>
        <w:tc>
          <w:tcPr>
            <w:tcW w:w="582" w:type="pct"/>
            <w:tcBorders>
              <w:left w:val="single" w:color="auto" w:sz="4" w:space="0"/>
            </w:tcBorders>
            <w:vAlign w:val="center"/>
          </w:tcPr>
          <w:p w14:paraId="0F381457">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COD</w:t>
            </w:r>
          </w:p>
        </w:tc>
        <w:tc>
          <w:tcPr>
            <w:tcW w:w="582" w:type="pct"/>
            <w:vAlign w:val="center"/>
          </w:tcPr>
          <w:p w14:paraId="52BCA9A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BOD</w:t>
            </w:r>
            <w:r>
              <w:rPr>
                <w:rFonts w:hint="default" w:ascii="Times New Roman" w:hAnsi="Times New Roman" w:eastAsia="宋体" w:cs="Times New Roman"/>
                <w:b/>
                <w:szCs w:val="21"/>
                <w:vertAlign w:val="subscript"/>
              </w:rPr>
              <w:t>5</w:t>
            </w:r>
          </w:p>
        </w:tc>
        <w:tc>
          <w:tcPr>
            <w:tcW w:w="583" w:type="pct"/>
            <w:vAlign w:val="center"/>
          </w:tcPr>
          <w:p w14:paraId="45C9886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SS</w:t>
            </w:r>
          </w:p>
        </w:tc>
        <w:tc>
          <w:tcPr>
            <w:tcW w:w="665" w:type="pct"/>
            <w:vAlign w:val="center"/>
          </w:tcPr>
          <w:p w14:paraId="4E170D37">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NH</w:t>
            </w:r>
            <w:r>
              <w:rPr>
                <w:rFonts w:hint="default" w:ascii="Times New Roman" w:hAnsi="Times New Roman" w:eastAsia="宋体" w:cs="Times New Roman"/>
                <w:b/>
                <w:szCs w:val="21"/>
                <w:vertAlign w:val="subscript"/>
              </w:rPr>
              <w:t>3</w:t>
            </w:r>
            <w:r>
              <w:rPr>
                <w:rFonts w:hint="default" w:ascii="Times New Roman" w:hAnsi="Times New Roman" w:eastAsia="宋体" w:cs="Times New Roman"/>
                <w:b/>
                <w:szCs w:val="21"/>
              </w:rPr>
              <w:t>-N</w:t>
            </w:r>
          </w:p>
        </w:tc>
        <w:tc>
          <w:tcPr>
            <w:tcW w:w="778" w:type="pct"/>
            <w:vAlign w:val="center"/>
          </w:tcPr>
          <w:p w14:paraId="749F379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动植物油</w:t>
            </w:r>
          </w:p>
        </w:tc>
      </w:tr>
      <w:tr w14:paraId="7F0D1F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vMerge w:val="restart"/>
            <w:tcBorders>
              <w:right w:val="single" w:color="auto" w:sz="4" w:space="0"/>
            </w:tcBorders>
            <w:vAlign w:val="center"/>
          </w:tcPr>
          <w:p w14:paraId="5E720C95">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生活污水</w:t>
            </w:r>
          </w:p>
          <w:p w14:paraId="202D80EE">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kern w:val="0"/>
                <w:szCs w:val="21"/>
              </w:rPr>
              <w:t>528</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748" w:type="pct"/>
            <w:tcBorders>
              <w:left w:val="single" w:color="auto" w:sz="4" w:space="0"/>
            </w:tcBorders>
            <w:vAlign w:val="center"/>
          </w:tcPr>
          <w:p w14:paraId="61FAB7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产生情况</w:t>
            </w:r>
          </w:p>
        </w:tc>
        <w:tc>
          <w:tcPr>
            <w:tcW w:w="416" w:type="pct"/>
            <w:tcBorders>
              <w:right w:val="single" w:color="auto" w:sz="4" w:space="0"/>
            </w:tcBorders>
            <w:vAlign w:val="center"/>
          </w:tcPr>
          <w:p w14:paraId="5C45388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6~9</w:t>
            </w:r>
          </w:p>
        </w:tc>
        <w:tc>
          <w:tcPr>
            <w:tcW w:w="582" w:type="pct"/>
            <w:tcBorders>
              <w:left w:val="single" w:color="auto" w:sz="4" w:space="0"/>
            </w:tcBorders>
            <w:vAlign w:val="center"/>
          </w:tcPr>
          <w:p w14:paraId="1003A80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350mg/L</w:t>
            </w:r>
          </w:p>
          <w:p w14:paraId="3A8C9CB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0.18t/a</w:t>
            </w:r>
          </w:p>
        </w:tc>
        <w:tc>
          <w:tcPr>
            <w:tcW w:w="582" w:type="pct"/>
            <w:vAlign w:val="center"/>
          </w:tcPr>
          <w:p w14:paraId="7F9AE22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200mg/L</w:t>
            </w:r>
          </w:p>
          <w:p w14:paraId="5A4E16B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0.11t/a</w:t>
            </w:r>
          </w:p>
        </w:tc>
        <w:tc>
          <w:tcPr>
            <w:tcW w:w="583" w:type="pct"/>
            <w:vAlign w:val="center"/>
          </w:tcPr>
          <w:p w14:paraId="2F4D6C3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200mg/L</w:t>
            </w:r>
          </w:p>
          <w:p w14:paraId="226B703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0.11t/a</w:t>
            </w:r>
          </w:p>
        </w:tc>
        <w:tc>
          <w:tcPr>
            <w:tcW w:w="665" w:type="pct"/>
            <w:vAlign w:val="center"/>
          </w:tcPr>
          <w:p w14:paraId="46DB3BA0">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25mg/L</w:t>
            </w:r>
          </w:p>
          <w:p w14:paraId="566BDDF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0.013t/a</w:t>
            </w:r>
          </w:p>
        </w:tc>
        <w:tc>
          <w:tcPr>
            <w:tcW w:w="778" w:type="pct"/>
            <w:vAlign w:val="center"/>
          </w:tcPr>
          <w:p w14:paraId="2D45898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50mg/L</w:t>
            </w:r>
          </w:p>
          <w:p w14:paraId="757AB275">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0.026t/a</w:t>
            </w:r>
          </w:p>
        </w:tc>
      </w:tr>
      <w:tr w14:paraId="3260E5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646" w:type="pct"/>
            <w:vMerge w:val="continue"/>
            <w:tcBorders>
              <w:right w:val="single" w:color="auto" w:sz="4" w:space="0"/>
            </w:tcBorders>
            <w:vAlign w:val="center"/>
          </w:tcPr>
          <w:p w14:paraId="620A54D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p>
        </w:tc>
        <w:tc>
          <w:tcPr>
            <w:tcW w:w="748" w:type="pct"/>
            <w:tcBorders>
              <w:left w:val="single" w:color="auto" w:sz="4" w:space="0"/>
            </w:tcBorders>
            <w:vAlign w:val="center"/>
          </w:tcPr>
          <w:p w14:paraId="20DC7B15">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排放情况</w:t>
            </w:r>
          </w:p>
        </w:tc>
        <w:tc>
          <w:tcPr>
            <w:tcW w:w="416" w:type="pct"/>
            <w:tcBorders>
              <w:right w:val="single" w:color="auto" w:sz="4" w:space="0"/>
            </w:tcBorders>
            <w:vAlign w:val="center"/>
          </w:tcPr>
          <w:p w14:paraId="284D8A2D">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6~9</w:t>
            </w:r>
          </w:p>
        </w:tc>
        <w:tc>
          <w:tcPr>
            <w:tcW w:w="582" w:type="pct"/>
            <w:tcBorders>
              <w:left w:val="single" w:color="auto" w:sz="4" w:space="0"/>
            </w:tcBorders>
            <w:vAlign w:val="center"/>
          </w:tcPr>
          <w:p w14:paraId="62E6B14A">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300mg/L</w:t>
            </w:r>
          </w:p>
          <w:p w14:paraId="2F8D17B9">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0.16t/a</w:t>
            </w:r>
          </w:p>
        </w:tc>
        <w:tc>
          <w:tcPr>
            <w:tcW w:w="582" w:type="pct"/>
            <w:vAlign w:val="center"/>
          </w:tcPr>
          <w:p w14:paraId="0D8D0A6A">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150mg/L</w:t>
            </w:r>
          </w:p>
          <w:p w14:paraId="051A612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0.079t/a</w:t>
            </w:r>
          </w:p>
        </w:tc>
        <w:tc>
          <w:tcPr>
            <w:tcW w:w="583" w:type="pct"/>
            <w:vAlign w:val="center"/>
          </w:tcPr>
          <w:p w14:paraId="627CF39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150mg/L</w:t>
            </w:r>
          </w:p>
          <w:p w14:paraId="6878BE1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0.079t/a</w:t>
            </w:r>
          </w:p>
        </w:tc>
        <w:tc>
          <w:tcPr>
            <w:tcW w:w="665" w:type="pct"/>
            <w:vAlign w:val="center"/>
          </w:tcPr>
          <w:p w14:paraId="5446AD7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20mg/L</w:t>
            </w:r>
          </w:p>
          <w:p w14:paraId="49CCBDE3">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0.011t/a</w:t>
            </w:r>
          </w:p>
        </w:tc>
        <w:tc>
          <w:tcPr>
            <w:tcW w:w="778" w:type="pct"/>
            <w:vAlign w:val="center"/>
          </w:tcPr>
          <w:p w14:paraId="65F6FAFE">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50mg/L</w:t>
            </w:r>
          </w:p>
          <w:p w14:paraId="2057DEDA">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0.026t/a</w:t>
            </w:r>
          </w:p>
        </w:tc>
      </w:tr>
    </w:tbl>
    <w:p w14:paraId="3DB2CF3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8"/>
          <w:u w:val="single"/>
          <w:lang w:val="en-US" w:eastAsia="zh-CN"/>
        </w:rPr>
      </w:pPr>
      <w:r>
        <w:rPr>
          <w:rFonts w:hint="default" w:ascii="Times New Roman" w:hAnsi="Times New Roman" w:eastAsia="宋体" w:cs="Times New Roman"/>
          <w:b/>
          <w:bCs/>
          <w:sz w:val="24"/>
          <w:szCs w:val="28"/>
          <w:u w:val="single"/>
          <w:lang w:val="en-US" w:eastAsia="zh-CN"/>
        </w:rPr>
        <w:t>三、初期雨水</w:t>
      </w:r>
    </w:p>
    <w:p w14:paraId="5014E08B">
      <w:pPr>
        <w:pStyle w:val="122"/>
        <w:adjustRightInd/>
        <w:snapToGrid/>
        <w:spacing w:line="360" w:lineRule="auto"/>
        <w:ind w:firstLine="482" w:firstLineChars="0"/>
        <w:rPr>
          <w:rFonts w:hint="default" w:ascii="Times New Roman" w:hAnsi="Times New Roman" w:eastAsia="宋体" w:cs="Times New Roman"/>
          <w:kern w:val="0"/>
          <w:u w:val="single"/>
        </w:rPr>
      </w:pPr>
      <w:r>
        <w:rPr>
          <w:rFonts w:hint="default" w:ascii="Times New Roman" w:hAnsi="Times New Roman" w:eastAsia="宋体" w:cs="Times New Roman"/>
          <w:kern w:val="0"/>
          <w:u w:val="single"/>
        </w:rPr>
        <w:t>本项目可能受</w:t>
      </w:r>
      <w:r>
        <w:rPr>
          <w:rFonts w:hint="default" w:ascii="Times New Roman" w:hAnsi="Times New Roman" w:eastAsia="宋体" w:cs="Times New Roman"/>
          <w:kern w:val="0"/>
          <w:u w:val="single"/>
          <w:lang w:val="en-US" w:eastAsia="zh-CN"/>
        </w:rPr>
        <w:t>滴漏的危险废物残液污染</w:t>
      </w:r>
      <w:r>
        <w:rPr>
          <w:rFonts w:hint="default" w:ascii="Times New Roman" w:hAnsi="Times New Roman" w:eastAsia="宋体" w:cs="Times New Roman"/>
          <w:kern w:val="0"/>
          <w:u w:val="single"/>
        </w:rPr>
        <w:t>的场地</w:t>
      </w:r>
      <w:r>
        <w:rPr>
          <w:rFonts w:hint="default" w:ascii="Times New Roman" w:hAnsi="Times New Roman" w:eastAsia="宋体" w:cs="Times New Roman"/>
          <w:kern w:val="0"/>
          <w:u w:val="single"/>
          <w:lang w:val="en-US" w:eastAsia="zh-CN"/>
        </w:rPr>
        <w:t>主要为A栋危废再生利用车间外围的路面，</w:t>
      </w:r>
      <w:r>
        <w:rPr>
          <w:rFonts w:hint="default" w:ascii="Times New Roman" w:hAnsi="Times New Roman" w:eastAsia="宋体" w:cs="Times New Roman"/>
          <w:kern w:val="0"/>
          <w:u w:val="single"/>
        </w:rPr>
        <w:t>面积约为</w:t>
      </w:r>
      <w:r>
        <w:rPr>
          <w:rFonts w:hint="default" w:ascii="Times New Roman" w:hAnsi="Times New Roman" w:eastAsia="宋体" w:cs="Times New Roman"/>
          <w:kern w:val="0"/>
          <w:u w:val="single"/>
          <w:lang w:val="en-US" w:eastAsia="zh-CN"/>
        </w:rPr>
        <w:t>2656</w:t>
      </w:r>
      <w:r>
        <w:rPr>
          <w:rFonts w:hint="default" w:ascii="Times New Roman" w:hAnsi="Times New Roman" w:eastAsia="宋体" w:cs="Times New Roman"/>
          <w:kern w:val="0"/>
          <w:u w:val="single"/>
        </w:rPr>
        <w:t>m</w:t>
      </w:r>
      <w:r>
        <w:rPr>
          <w:rFonts w:hint="default" w:ascii="Times New Roman" w:hAnsi="Times New Roman" w:eastAsia="宋体" w:cs="Times New Roman"/>
          <w:kern w:val="0"/>
          <w:u w:val="single"/>
          <w:vertAlign w:val="superscript"/>
        </w:rPr>
        <w:t>2</w:t>
      </w:r>
      <w:r>
        <w:rPr>
          <w:rFonts w:hint="default" w:ascii="Times New Roman" w:hAnsi="Times New Roman" w:eastAsia="宋体" w:cs="Times New Roman"/>
          <w:kern w:val="0"/>
          <w:u w:val="single"/>
        </w:rPr>
        <w:t>，收集的初期雨水</w:t>
      </w:r>
      <w:r>
        <w:rPr>
          <w:rFonts w:hint="default" w:ascii="Times New Roman" w:hAnsi="Times New Roman" w:eastAsia="宋体" w:cs="Times New Roman"/>
          <w:kern w:val="0"/>
          <w:u w:val="single"/>
          <w:lang w:eastAsia="zh-CN"/>
        </w:rPr>
        <w:t>（初期雨水中主要污染因子为石油类和SS）</w:t>
      </w:r>
      <w:r>
        <w:rPr>
          <w:rFonts w:hint="default" w:ascii="Times New Roman" w:hAnsi="Times New Roman" w:eastAsia="宋体" w:cs="Times New Roman"/>
          <w:kern w:val="0"/>
          <w:u w:val="single"/>
        </w:rPr>
        <w:t>拟经絮凝沉淀</w:t>
      </w:r>
      <w:r>
        <w:rPr>
          <w:rFonts w:hint="default" w:ascii="Times New Roman" w:hAnsi="Times New Roman" w:eastAsia="宋体" w:cs="Times New Roman"/>
          <w:kern w:val="0"/>
          <w:u w:val="single"/>
          <w:lang w:val="en-US" w:eastAsia="zh-CN"/>
        </w:rPr>
        <w:t>/撇渣</w:t>
      </w:r>
      <w:r>
        <w:rPr>
          <w:rFonts w:hint="default" w:ascii="Times New Roman" w:hAnsi="Times New Roman" w:eastAsia="宋体" w:cs="Times New Roman"/>
          <w:kern w:val="0"/>
          <w:u w:val="single"/>
        </w:rPr>
        <w:t>处理</w:t>
      </w:r>
      <w:r>
        <w:rPr>
          <w:rFonts w:hint="default" w:ascii="Times New Roman" w:hAnsi="Times New Roman" w:eastAsia="宋体" w:cs="Times New Roman"/>
          <w:kern w:val="0"/>
          <w:u w:val="single"/>
          <w:lang w:eastAsia="zh-CN"/>
        </w:rPr>
        <w:t>（</w:t>
      </w:r>
      <w:r>
        <w:rPr>
          <w:rFonts w:hint="default" w:ascii="Times New Roman" w:hAnsi="Times New Roman" w:eastAsia="宋体" w:cs="Times New Roman"/>
          <w:kern w:val="0"/>
          <w:u w:val="single"/>
          <w:lang w:val="en-US" w:eastAsia="zh-CN"/>
        </w:rPr>
        <w:t>向初期雨水池中投加絮凝剂</w:t>
      </w:r>
      <w:r>
        <w:rPr>
          <w:rFonts w:hint="default" w:ascii="Times New Roman" w:hAnsi="Times New Roman" w:eastAsia="宋体" w:cs="Times New Roman"/>
          <w:kern w:val="0"/>
          <w:u w:val="single"/>
          <w:lang w:eastAsia="zh-CN"/>
        </w:rPr>
        <w:t>）</w:t>
      </w:r>
      <w:r>
        <w:rPr>
          <w:rFonts w:hint="default" w:ascii="Times New Roman" w:hAnsi="Times New Roman" w:eastAsia="宋体" w:cs="Times New Roman"/>
          <w:kern w:val="0"/>
          <w:u w:val="single"/>
        </w:rPr>
        <w:t>后回用</w:t>
      </w:r>
      <w:r>
        <w:rPr>
          <w:rFonts w:hint="default" w:ascii="Times New Roman" w:hAnsi="Times New Roman" w:eastAsia="宋体" w:cs="Times New Roman"/>
          <w:kern w:val="0"/>
          <w:u w:val="single"/>
          <w:lang w:val="en-US" w:eastAsia="zh-CN"/>
        </w:rPr>
        <w:t>于危废再生利用的清洗工序</w:t>
      </w:r>
      <w:r>
        <w:rPr>
          <w:rFonts w:hint="default" w:ascii="Times New Roman" w:hAnsi="Times New Roman" w:eastAsia="宋体" w:cs="Times New Roman"/>
          <w:kern w:val="0"/>
          <w:u w:val="single"/>
        </w:rPr>
        <w:t>，这部分同时</w:t>
      </w:r>
      <w:r>
        <w:rPr>
          <w:rFonts w:hint="default" w:ascii="Times New Roman" w:hAnsi="Times New Roman" w:eastAsia="宋体" w:cs="Times New Roman"/>
          <w:kern w:val="0"/>
          <w:u w:val="single"/>
          <w:lang w:val="en-US" w:eastAsia="zh-CN"/>
        </w:rPr>
        <w:t>可</w:t>
      </w:r>
      <w:r>
        <w:rPr>
          <w:rFonts w:hint="default" w:ascii="Times New Roman" w:hAnsi="Times New Roman" w:eastAsia="宋体" w:cs="Times New Roman"/>
          <w:kern w:val="0"/>
          <w:u w:val="single"/>
        </w:rPr>
        <w:t>作为备用水源，以减少新水使用量，节约水资源。</w:t>
      </w:r>
    </w:p>
    <w:p w14:paraId="522B6744">
      <w:pPr>
        <w:pStyle w:val="54"/>
        <w:ind w:firstLine="480"/>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根据湖南大学采用数理统计法编制的《暴雨强度及雨水流量计算公式表》，计算本项目的初期雨水量，计算公式如下：</w:t>
      </w:r>
    </w:p>
    <w:p w14:paraId="23CFF403">
      <w:pPr>
        <w:autoSpaceDE w:val="0"/>
        <w:autoSpaceDN w:val="0"/>
        <w:adjustRightInd w:val="0"/>
        <w:ind w:firstLine="480" w:firstLineChars="200"/>
        <w:jc w:val="center"/>
        <w:rPr>
          <w:rFonts w:hint="default" w:ascii="Times New Roman" w:hAnsi="Times New Roman" w:eastAsia="宋体" w:cs="Times New Roman"/>
          <w:kern w:val="0"/>
          <w:sz w:val="24"/>
          <w:u w:val="single"/>
        </w:rPr>
      </w:pPr>
      <w:r>
        <w:rPr>
          <w:rFonts w:hint="default" w:ascii="Times New Roman" w:hAnsi="Times New Roman" w:eastAsia="宋体" w:cs="Times New Roman"/>
          <w:sz w:val="24"/>
          <w:u w:val="single"/>
        </w:rPr>
        <w:fldChar w:fldCharType="begin"/>
      </w:r>
      <w:r>
        <w:rPr>
          <w:rFonts w:hint="default" w:ascii="Times New Roman" w:hAnsi="Times New Roman" w:eastAsia="宋体" w:cs="Times New Roman"/>
          <w:kern w:val="0"/>
          <w:sz w:val="24"/>
          <w:u w:val="single"/>
        </w:rPr>
        <w:instrText xml:space="preserve"> EQ </w:instrText>
      </w:r>
      <w:r>
        <w:rPr>
          <w:rFonts w:hint="default" w:ascii="Times New Roman" w:hAnsi="Times New Roman" w:eastAsia="宋体" w:cs="Times New Roman"/>
          <w:sz w:val="24"/>
          <w:u w:val="single"/>
        </w:rPr>
        <w:fldChar w:fldCharType="end"/>
      </w:r>
      <w:r>
        <w:rPr>
          <w:rFonts w:hint="default" w:ascii="Times New Roman" w:hAnsi="Times New Roman" w:eastAsia="宋体" w:cs="Times New Roman"/>
          <w:kern w:val="0"/>
          <w:sz w:val="24"/>
          <w:u w:val="single"/>
        </w:rPr>
        <w:t xml:space="preserve"> </w:t>
      </w:r>
      <w:r>
        <w:rPr>
          <w:rFonts w:hint="default" w:ascii="Times New Roman" w:hAnsi="Times New Roman" w:eastAsia="宋体" w:cs="Times New Roman"/>
          <w:kern w:val="0"/>
          <w:position w:val="-30"/>
          <w:sz w:val="24"/>
          <w:u w:val="single"/>
        </w:rPr>
        <w:object>
          <v:shape id="_x0000_i1030" o:spt="75" type="#_x0000_t75" style="height:35.25pt;width:131.25pt;" o:ole="t" filled="f" o:preferrelative="t" stroked="f" coordsize="21600,21600">
            <v:path/>
            <v:fill on="f" focussize="0,0"/>
            <v:stroke on="f" joinstyle="miter"/>
            <v:imagedata r:id="rId39" o:title=""/>
            <o:lock v:ext="edit" aspectratio="t"/>
            <w10:wrap type="none"/>
            <w10:anchorlock/>
          </v:shape>
          <o:OLEObject Type="Embed" ProgID="Equation.3" ShapeID="_x0000_i1030" DrawAspect="Content" ObjectID="_1468075730" r:id="rId38">
            <o:LockedField>false</o:LockedField>
          </o:OLEObject>
        </w:object>
      </w:r>
    </w:p>
    <w:p w14:paraId="2804B08D">
      <w:pPr>
        <w:pStyle w:val="54"/>
        <w:ind w:firstLine="480"/>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式中：q</w:t>
      </w:r>
      <w:r>
        <w:rPr>
          <w:rFonts w:hint="default" w:ascii="Times New Roman" w:hAnsi="Times New Roman" w:eastAsia="宋体" w:cs="Times New Roman"/>
          <w:u w:val="single"/>
        </w:rPr>
        <w:t>——</w:t>
      </w:r>
      <w:r>
        <w:rPr>
          <w:rFonts w:hint="default" w:ascii="Times New Roman" w:hAnsi="Times New Roman" w:eastAsia="宋体" w:cs="Times New Roman"/>
          <w:szCs w:val="24"/>
          <w:u w:val="single"/>
        </w:rPr>
        <w:t>暴雨强度，单位为L/s•hm</w:t>
      </w:r>
      <w:r>
        <w:rPr>
          <w:rFonts w:hint="default" w:ascii="Times New Roman" w:hAnsi="Times New Roman" w:eastAsia="宋体" w:cs="Times New Roman"/>
          <w:szCs w:val="24"/>
          <w:u w:val="single"/>
          <w:vertAlign w:val="superscript"/>
        </w:rPr>
        <w:t>2</w:t>
      </w:r>
      <w:r>
        <w:rPr>
          <w:rFonts w:hint="default" w:ascii="Times New Roman" w:hAnsi="Times New Roman" w:eastAsia="宋体" w:cs="Times New Roman"/>
          <w:szCs w:val="24"/>
          <w:u w:val="single"/>
        </w:rPr>
        <w:t>。</w:t>
      </w:r>
    </w:p>
    <w:p w14:paraId="525558C6">
      <w:pPr>
        <w:pStyle w:val="54"/>
        <w:ind w:firstLine="1200" w:firstLineChars="500"/>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P——P 为设计降雨重现期，取2 年；</w:t>
      </w:r>
    </w:p>
    <w:p w14:paraId="68977AA2">
      <w:pPr>
        <w:pStyle w:val="54"/>
        <w:ind w:firstLine="1200" w:firstLineChars="500"/>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t——t 为降雨历时（min），取15min；</w:t>
      </w:r>
    </w:p>
    <w:p w14:paraId="02964C84">
      <w:pPr>
        <w:pStyle w:val="54"/>
        <w:ind w:firstLine="480"/>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由计算可知，按照2年重现期和降雨历时15min计算，设计暴雨强度为239.73L/s•hm</w:t>
      </w:r>
      <w:r>
        <w:rPr>
          <w:rFonts w:hint="default" w:ascii="Times New Roman" w:hAnsi="Times New Roman" w:eastAsia="宋体" w:cs="Times New Roman"/>
          <w:szCs w:val="24"/>
          <w:u w:val="single"/>
          <w:vertAlign w:val="superscript"/>
        </w:rPr>
        <w:t>2</w:t>
      </w:r>
      <w:r>
        <w:rPr>
          <w:rFonts w:hint="default" w:ascii="Times New Roman" w:hAnsi="Times New Roman" w:eastAsia="宋体" w:cs="Times New Roman"/>
          <w:szCs w:val="24"/>
          <w:u w:val="single"/>
        </w:rPr>
        <w:t>。</w:t>
      </w:r>
    </w:p>
    <w:p w14:paraId="5F47F39F">
      <w:pPr>
        <w:snapToGrid w:val="0"/>
        <w:spacing w:line="360" w:lineRule="auto"/>
        <w:ind w:firstLine="480" w:firstLineChars="200"/>
        <w:jc w:val="center"/>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Q= qFψT</w:t>
      </w:r>
    </w:p>
    <w:p w14:paraId="08EA011F">
      <w:pPr>
        <w:pStyle w:val="54"/>
        <w:ind w:firstLine="480"/>
        <w:rPr>
          <w:rFonts w:hint="default" w:ascii="Times New Roman" w:hAnsi="Times New Roman" w:eastAsia="宋体" w:cs="Times New Roman"/>
          <w:u w:val="single"/>
        </w:rPr>
      </w:pPr>
      <w:r>
        <w:rPr>
          <w:rFonts w:hint="default" w:ascii="Times New Roman" w:hAnsi="Times New Roman" w:eastAsia="宋体" w:cs="Times New Roman"/>
          <w:szCs w:val="24"/>
          <w:u w:val="single"/>
        </w:rPr>
        <w:t>Q——项目</w:t>
      </w:r>
      <w:r>
        <w:rPr>
          <w:rFonts w:hint="default" w:ascii="Times New Roman" w:hAnsi="Times New Roman" w:eastAsia="宋体" w:cs="Times New Roman"/>
          <w:u w:val="single"/>
        </w:rPr>
        <w:t>暴雨雨季废水产水量；</w:t>
      </w:r>
    </w:p>
    <w:p w14:paraId="3335F5F2">
      <w:pPr>
        <w:pStyle w:val="54"/>
        <w:ind w:firstLine="480"/>
        <w:rPr>
          <w:rFonts w:hint="default" w:ascii="Times New Roman" w:hAnsi="Times New Roman" w:eastAsia="宋体" w:cs="Times New Roman"/>
          <w:u w:val="single"/>
        </w:rPr>
      </w:pPr>
      <w:r>
        <w:rPr>
          <w:rFonts w:hint="default" w:ascii="Times New Roman" w:hAnsi="Times New Roman" w:eastAsia="宋体" w:cs="Times New Roman"/>
          <w:u w:val="single"/>
        </w:rPr>
        <w:t>F——汇水面积(m</w:t>
      </w:r>
      <w:r>
        <w:rPr>
          <w:rFonts w:hint="default" w:ascii="Times New Roman" w:hAnsi="Times New Roman" w:eastAsia="宋体" w:cs="Times New Roman"/>
          <w:u w:val="single"/>
          <w:vertAlign w:val="superscript"/>
        </w:rPr>
        <w:t>2</w:t>
      </w:r>
      <w:r>
        <w:rPr>
          <w:rFonts w:hint="default" w:ascii="Times New Roman" w:hAnsi="Times New Roman" w:eastAsia="宋体" w:cs="Times New Roman"/>
          <w:u w:val="single"/>
        </w:rPr>
        <w:t>)，项目汇雨面积为</w:t>
      </w:r>
      <w:r>
        <w:rPr>
          <w:rFonts w:hint="default" w:ascii="Times New Roman" w:hAnsi="Times New Roman" w:eastAsia="宋体" w:cs="Times New Roman"/>
          <w:u w:val="single"/>
          <w:lang w:val="en-US"/>
        </w:rPr>
        <w:t>2656</w:t>
      </w:r>
      <w:r>
        <w:rPr>
          <w:rFonts w:hint="default" w:ascii="Times New Roman" w:hAnsi="Times New Roman" w:eastAsia="宋体" w:cs="Times New Roman"/>
          <w:u w:val="single"/>
        </w:rPr>
        <w:t>m</w:t>
      </w:r>
      <w:r>
        <w:rPr>
          <w:rFonts w:hint="default" w:ascii="Times New Roman" w:hAnsi="Times New Roman" w:eastAsia="宋体" w:cs="Times New Roman"/>
          <w:u w:val="single"/>
          <w:vertAlign w:val="superscript"/>
        </w:rPr>
        <w:t>2</w:t>
      </w:r>
      <w:r>
        <w:rPr>
          <w:rFonts w:hint="default" w:ascii="Times New Roman" w:hAnsi="Times New Roman" w:eastAsia="宋体" w:cs="Times New Roman"/>
          <w:u w:val="single"/>
        </w:rPr>
        <w:t>；</w:t>
      </w:r>
    </w:p>
    <w:p w14:paraId="1EA0E568">
      <w:pPr>
        <w:pStyle w:val="54"/>
        <w:ind w:firstLine="480"/>
        <w:rPr>
          <w:rFonts w:hint="default" w:ascii="Times New Roman" w:hAnsi="Times New Roman" w:eastAsia="宋体" w:cs="Times New Roman"/>
          <w:u w:val="single"/>
        </w:rPr>
      </w:pPr>
      <w:r>
        <w:rPr>
          <w:rFonts w:hint="default" w:ascii="Times New Roman" w:hAnsi="Times New Roman" w:eastAsia="宋体" w:cs="Times New Roman"/>
          <w:u w:val="single"/>
        </w:rPr>
        <w:t>Ψ——为径流系数（取0.9）；</w:t>
      </w:r>
    </w:p>
    <w:p w14:paraId="5D280EDF">
      <w:pPr>
        <w:pStyle w:val="54"/>
        <w:ind w:firstLine="480"/>
        <w:rPr>
          <w:rFonts w:hint="default" w:ascii="Times New Roman" w:hAnsi="Times New Roman" w:eastAsia="宋体" w:cs="Times New Roman"/>
          <w:u w:val="single"/>
        </w:rPr>
      </w:pPr>
      <w:r>
        <w:rPr>
          <w:rFonts w:hint="default" w:ascii="Times New Roman" w:hAnsi="Times New Roman" w:eastAsia="宋体" w:cs="Times New Roman"/>
          <w:u w:val="single"/>
        </w:rPr>
        <w:t>T——降雨历时，取15min。</w:t>
      </w:r>
    </w:p>
    <w:p w14:paraId="24C9415B">
      <w:pPr>
        <w:pStyle w:val="122"/>
        <w:adjustRightInd/>
        <w:snapToGrid/>
        <w:spacing w:line="360" w:lineRule="auto"/>
        <w:ind w:firstLine="482" w:firstLineChars="0"/>
        <w:rPr>
          <w:rFonts w:hint="default" w:ascii="Times New Roman" w:hAnsi="Times New Roman" w:eastAsia="宋体" w:cs="Times New Roman"/>
          <w:u w:val="single"/>
        </w:rPr>
      </w:pPr>
      <w:r>
        <w:rPr>
          <w:rFonts w:hint="default" w:ascii="Times New Roman" w:hAnsi="Times New Roman" w:eastAsia="宋体" w:cs="Times New Roman"/>
          <w:u w:val="single"/>
        </w:rPr>
        <w:t>计算可得，项目暴雨收集时15分钟初期暴雨，项目单次暴雨废水汇集产生量为</w:t>
      </w:r>
      <w:r>
        <w:rPr>
          <w:rFonts w:hint="default" w:ascii="Times New Roman" w:hAnsi="Times New Roman" w:eastAsia="宋体" w:cs="Times New Roman"/>
          <w:u w:val="single"/>
          <w:lang w:val="en-US" w:eastAsia="zh-CN"/>
        </w:rPr>
        <w:t>35.8</w:t>
      </w:r>
      <w:r>
        <w:rPr>
          <w:rFonts w:hint="default" w:ascii="Times New Roman" w:hAnsi="Times New Roman" w:eastAsia="宋体" w:cs="Times New Roman"/>
          <w:u w:val="single"/>
        </w:rPr>
        <w:t>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/次。</w:t>
      </w:r>
      <w:r>
        <w:rPr>
          <w:rFonts w:hint="default" w:ascii="Times New Roman" w:hAnsi="Times New Roman" w:eastAsia="宋体" w:cs="Times New Roman"/>
          <w:szCs w:val="24"/>
          <w:u w:val="single"/>
        </w:rPr>
        <w:t>项目拟在</w:t>
      </w:r>
      <w:r>
        <w:rPr>
          <w:rFonts w:hint="default" w:ascii="Times New Roman" w:hAnsi="Times New Roman" w:eastAsia="宋体" w:cs="Times New Roman"/>
          <w:szCs w:val="24"/>
          <w:u w:val="single"/>
          <w:lang w:val="en-US" w:eastAsia="zh-CN"/>
        </w:rPr>
        <w:t>B栋车间外东南侧</w:t>
      </w:r>
      <w:r>
        <w:rPr>
          <w:rFonts w:hint="default" w:ascii="Times New Roman" w:hAnsi="Times New Roman" w:eastAsia="宋体" w:cs="Times New Roman"/>
          <w:szCs w:val="24"/>
          <w:u w:val="single"/>
        </w:rPr>
        <w:t>建设1个雨水收集池，总容量为</w:t>
      </w:r>
      <w:r>
        <w:rPr>
          <w:rFonts w:hint="eastAsia" w:ascii="Times New Roman" w:hAnsi="Times New Roman" w:eastAsia="宋体" w:cs="Times New Roman"/>
          <w:szCs w:val="24"/>
          <w:u w:val="single"/>
          <w:lang w:val="en-US" w:eastAsia="zh-CN"/>
        </w:rPr>
        <w:t>5</w:t>
      </w:r>
      <w:r>
        <w:rPr>
          <w:rFonts w:hint="default" w:ascii="Times New Roman" w:hAnsi="Times New Roman" w:eastAsia="宋体" w:cs="Times New Roman"/>
          <w:szCs w:val="24"/>
          <w:u w:val="single"/>
        </w:rPr>
        <w:t>0m</w:t>
      </w:r>
      <w:r>
        <w:rPr>
          <w:rFonts w:hint="default" w:ascii="Times New Roman" w:hAnsi="Times New Roman" w:eastAsia="宋体" w:cs="Times New Roman"/>
          <w:szCs w:val="24"/>
          <w:u w:val="single"/>
          <w:vertAlign w:val="superscript"/>
        </w:rPr>
        <w:t>3</w:t>
      </w:r>
      <w:r>
        <w:rPr>
          <w:rFonts w:hint="default" w:ascii="Times New Roman" w:hAnsi="Times New Roman" w:eastAsia="宋体" w:cs="Times New Roman"/>
          <w:szCs w:val="24"/>
          <w:u w:val="single"/>
        </w:rPr>
        <w:t>，收集的初期雨水通过投加絮凝剂的方式进行絮凝沉淀</w:t>
      </w:r>
      <w:r>
        <w:rPr>
          <w:rFonts w:hint="default" w:ascii="Times New Roman" w:hAnsi="Times New Roman" w:eastAsia="宋体" w:cs="Times New Roman"/>
          <w:kern w:val="0"/>
          <w:u w:val="single"/>
          <w:lang w:val="en-US" w:eastAsia="zh-CN"/>
        </w:rPr>
        <w:t>/撇渣</w:t>
      </w:r>
      <w:r>
        <w:rPr>
          <w:rFonts w:hint="default" w:ascii="Times New Roman" w:hAnsi="Times New Roman" w:eastAsia="宋体" w:cs="Times New Roman"/>
          <w:szCs w:val="24"/>
          <w:u w:val="single"/>
        </w:rPr>
        <w:t>处理，处理后尾水可回用于生产。</w:t>
      </w:r>
    </w:p>
    <w:p w14:paraId="1F9A3DD1">
      <w:pPr>
        <w:pStyle w:val="5"/>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rPr>
      </w:pPr>
      <w:r>
        <w:rPr>
          <w:rFonts w:hint="default" w:ascii="Times New Roman" w:hAnsi="Times New Roman" w:eastAsia="宋体" w:cs="Times New Roman"/>
          <w:sz w:val="24"/>
        </w:rPr>
        <w:t>5.5.</w:t>
      </w:r>
      <w:r>
        <w:rPr>
          <w:rFonts w:hint="default" w:ascii="Times New Roman" w:hAnsi="Times New Roman" w:eastAsia="宋体" w:cs="Times New Roman"/>
          <w:sz w:val="24"/>
          <w:lang w:val="en-US" w:eastAsia="zh-CN"/>
        </w:rPr>
        <w:t>2.3</w:t>
      </w:r>
      <w:r>
        <w:rPr>
          <w:rFonts w:hint="default" w:ascii="Times New Roman" w:hAnsi="Times New Roman" w:eastAsia="宋体" w:cs="Times New Roman"/>
          <w:color w:val="000000"/>
          <w:sz w:val="24"/>
        </w:rPr>
        <w:t>噪声源强</w:t>
      </w:r>
    </w:p>
    <w:p w14:paraId="01A2A891">
      <w:pPr>
        <w:pStyle w:val="48"/>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w:t>
      </w:r>
      <w:r>
        <w:rPr>
          <w:rFonts w:hint="default" w:ascii="Times New Roman" w:hAnsi="Times New Roman" w:eastAsia="宋体" w:cs="Times New Roman"/>
          <w:sz w:val="24"/>
          <w:szCs w:val="21"/>
          <w:lang w:val="en-US" w:eastAsia="zh-CN"/>
        </w:rPr>
        <w:t>主要</w:t>
      </w:r>
      <w:r>
        <w:rPr>
          <w:rFonts w:hint="default" w:ascii="Times New Roman" w:hAnsi="Times New Roman" w:eastAsia="宋体" w:cs="Times New Roman"/>
          <w:sz w:val="24"/>
          <w:szCs w:val="21"/>
        </w:rPr>
        <w:t>噪声源主要为</w:t>
      </w:r>
      <w:r>
        <w:rPr>
          <w:rFonts w:hint="default" w:ascii="Times New Roman" w:hAnsi="Times New Roman" w:eastAsia="宋体" w:cs="Times New Roman"/>
          <w:sz w:val="24"/>
          <w:szCs w:val="21"/>
          <w:lang w:val="en-US" w:eastAsia="zh-CN"/>
        </w:rPr>
        <w:t>危废再生利用的</w:t>
      </w:r>
      <w:r>
        <w:rPr>
          <w:rFonts w:hint="default" w:ascii="Times New Roman" w:hAnsi="Times New Roman" w:eastAsia="宋体" w:cs="Times New Roman"/>
          <w:sz w:val="24"/>
          <w:szCs w:val="21"/>
        </w:rPr>
        <w:t>3条生产线所配套的撕碎机、破碎机、摩擦机、脱水机等设备产生的噪声，根据对同类型项目监测数据，本项目主要生产设备运行噪声如表5.5-1</w:t>
      </w:r>
      <w:r>
        <w:rPr>
          <w:rFonts w:hint="default" w:ascii="Times New Roman" w:hAnsi="Times New Roman" w:eastAsia="宋体" w:cs="Times New Roman"/>
          <w:sz w:val="24"/>
          <w:szCs w:val="21"/>
          <w:lang w:val="en-US" w:eastAsia="zh-CN"/>
        </w:rPr>
        <w:t>4</w:t>
      </w:r>
      <w:r>
        <w:rPr>
          <w:rFonts w:hint="default" w:ascii="Times New Roman" w:hAnsi="Times New Roman" w:eastAsia="宋体" w:cs="Times New Roman"/>
          <w:sz w:val="24"/>
          <w:szCs w:val="21"/>
        </w:rPr>
        <w:t>所示。</w:t>
      </w:r>
    </w:p>
    <w:p w14:paraId="72D8C720">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rPr>
      </w:pPr>
      <w:r>
        <w:rPr>
          <w:rFonts w:hint="default" w:ascii="Times New Roman" w:hAnsi="Times New Roman" w:eastAsia="宋体" w:cs="Times New Roman"/>
          <w:b/>
        </w:rPr>
        <w:t>表5.5-1</w:t>
      </w:r>
      <w:r>
        <w:rPr>
          <w:rFonts w:hint="default" w:ascii="Times New Roman" w:hAnsi="Times New Roman" w:eastAsia="宋体" w:cs="Times New Roman"/>
          <w:b/>
          <w:lang w:val="en-US" w:eastAsia="zh-CN"/>
        </w:rPr>
        <w:t>4</w:t>
      </w:r>
      <w:r>
        <w:rPr>
          <w:rFonts w:hint="default" w:ascii="Times New Roman" w:hAnsi="Times New Roman" w:eastAsia="宋体" w:cs="Times New Roman"/>
          <w:b/>
        </w:rPr>
        <w:t xml:space="preserve">  项目主要设备运行噪声</w:t>
      </w:r>
    </w:p>
    <w:tbl>
      <w:tblPr>
        <w:tblStyle w:val="32"/>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97"/>
        <w:gridCol w:w="1097"/>
        <w:gridCol w:w="1098"/>
        <w:gridCol w:w="439"/>
        <w:gridCol w:w="850"/>
        <w:gridCol w:w="1153"/>
        <w:gridCol w:w="642"/>
        <w:gridCol w:w="921"/>
        <w:gridCol w:w="811"/>
        <w:gridCol w:w="807"/>
      </w:tblGrid>
      <w:tr w14:paraId="13EA72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Merge w:val="restart"/>
            <w:vAlign w:val="center"/>
          </w:tcPr>
          <w:p w14:paraId="53EC264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序号</w:t>
            </w:r>
          </w:p>
        </w:tc>
        <w:tc>
          <w:tcPr>
            <w:tcW w:w="644" w:type="pct"/>
            <w:vMerge w:val="restart"/>
            <w:vAlign w:val="center"/>
          </w:tcPr>
          <w:p w14:paraId="283142E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yellow"/>
              </w:rPr>
            </w:pPr>
            <w:r>
              <w:rPr>
                <w:rFonts w:hint="default" w:ascii="Times New Roman" w:hAnsi="Times New Roman" w:eastAsia="宋体" w:cs="Times New Roman"/>
                <w:b/>
                <w:bCs/>
                <w:szCs w:val="21"/>
              </w:rPr>
              <w:t>生产线</w:t>
            </w:r>
          </w:p>
        </w:tc>
        <w:tc>
          <w:tcPr>
            <w:tcW w:w="645" w:type="pct"/>
            <w:vMerge w:val="restart"/>
            <w:vAlign w:val="center"/>
          </w:tcPr>
          <w:p w14:paraId="2870817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设备名称</w:t>
            </w:r>
          </w:p>
        </w:tc>
        <w:tc>
          <w:tcPr>
            <w:tcW w:w="258" w:type="pct"/>
            <w:vMerge w:val="restart"/>
            <w:vAlign w:val="center"/>
          </w:tcPr>
          <w:p w14:paraId="2C41D52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数量</w:t>
            </w:r>
          </w:p>
        </w:tc>
        <w:tc>
          <w:tcPr>
            <w:tcW w:w="1176" w:type="pct"/>
            <w:gridSpan w:val="2"/>
            <w:vAlign w:val="center"/>
          </w:tcPr>
          <w:p w14:paraId="7DAD06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空间位置</w:t>
            </w:r>
          </w:p>
        </w:tc>
        <w:tc>
          <w:tcPr>
            <w:tcW w:w="377" w:type="pct"/>
            <w:vMerge w:val="restart"/>
            <w:vAlign w:val="center"/>
          </w:tcPr>
          <w:p w14:paraId="67CF085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发声持续时间</w:t>
            </w:r>
          </w:p>
        </w:tc>
        <w:tc>
          <w:tcPr>
            <w:tcW w:w="541" w:type="pct"/>
            <w:vMerge w:val="restart"/>
            <w:vAlign w:val="center"/>
          </w:tcPr>
          <w:p w14:paraId="04B6270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声级</w:t>
            </w:r>
          </w:p>
          <w:p w14:paraId="1F7D4FC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（dB）</w:t>
            </w:r>
          </w:p>
        </w:tc>
        <w:tc>
          <w:tcPr>
            <w:tcW w:w="476" w:type="pct"/>
            <w:vMerge w:val="restart"/>
            <w:vAlign w:val="center"/>
          </w:tcPr>
          <w:p w14:paraId="5DA21C9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监测</w:t>
            </w:r>
          </w:p>
          <w:p w14:paraId="17607E3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位置</w:t>
            </w:r>
          </w:p>
        </w:tc>
        <w:tc>
          <w:tcPr>
            <w:tcW w:w="474" w:type="pct"/>
            <w:vMerge w:val="restart"/>
            <w:vAlign w:val="center"/>
          </w:tcPr>
          <w:p w14:paraId="284BF2E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所在厂</w:t>
            </w:r>
          </w:p>
          <w:p w14:paraId="0F7409C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房结构</w:t>
            </w:r>
          </w:p>
        </w:tc>
      </w:tr>
      <w:tr w14:paraId="6017A9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Merge w:val="continue"/>
            <w:vAlign w:val="center"/>
          </w:tcPr>
          <w:p w14:paraId="2A99D62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yellow"/>
              </w:rPr>
            </w:pPr>
          </w:p>
        </w:tc>
        <w:tc>
          <w:tcPr>
            <w:tcW w:w="644" w:type="pct"/>
            <w:vMerge w:val="continue"/>
            <w:vAlign w:val="center"/>
          </w:tcPr>
          <w:p w14:paraId="64193E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yellow"/>
              </w:rPr>
            </w:pPr>
          </w:p>
        </w:tc>
        <w:tc>
          <w:tcPr>
            <w:tcW w:w="645" w:type="pct"/>
            <w:vMerge w:val="continue"/>
            <w:vAlign w:val="center"/>
          </w:tcPr>
          <w:p w14:paraId="57C1B3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yellow"/>
              </w:rPr>
            </w:pPr>
          </w:p>
        </w:tc>
        <w:tc>
          <w:tcPr>
            <w:tcW w:w="258" w:type="pct"/>
            <w:vMerge w:val="continue"/>
            <w:vAlign w:val="center"/>
          </w:tcPr>
          <w:p w14:paraId="7DF18D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yellow"/>
              </w:rPr>
            </w:pPr>
          </w:p>
        </w:tc>
        <w:tc>
          <w:tcPr>
            <w:tcW w:w="499" w:type="pct"/>
            <w:vAlign w:val="center"/>
          </w:tcPr>
          <w:p w14:paraId="1504C6C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室内或室外</w:t>
            </w:r>
          </w:p>
        </w:tc>
        <w:tc>
          <w:tcPr>
            <w:tcW w:w="677" w:type="pct"/>
            <w:vAlign w:val="center"/>
          </w:tcPr>
          <w:p w14:paraId="5DC652F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所在车间</w:t>
            </w:r>
          </w:p>
        </w:tc>
        <w:tc>
          <w:tcPr>
            <w:tcW w:w="377" w:type="pct"/>
            <w:vMerge w:val="continue"/>
            <w:vAlign w:val="center"/>
          </w:tcPr>
          <w:p w14:paraId="7CBB9A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yellow"/>
              </w:rPr>
            </w:pPr>
          </w:p>
        </w:tc>
        <w:tc>
          <w:tcPr>
            <w:tcW w:w="541" w:type="pct"/>
            <w:vMerge w:val="continue"/>
            <w:vAlign w:val="center"/>
          </w:tcPr>
          <w:p w14:paraId="4557A4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yellow"/>
              </w:rPr>
            </w:pPr>
          </w:p>
        </w:tc>
        <w:tc>
          <w:tcPr>
            <w:tcW w:w="476" w:type="pct"/>
            <w:vMerge w:val="continue"/>
            <w:vAlign w:val="center"/>
          </w:tcPr>
          <w:p w14:paraId="334D2FB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yellow"/>
              </w:rPr>
            </w:pPr>
          </w:p>
        </w:tc>
        <w:tc>
          <w:tcPr>
            <w:tcW w:w="474" w:type="pct"/>
            <w:vMerge w:val="continue"/>
            <w:vAlign w:val="center"/>
          </w:tcPr>
          <w:p w14:paraId="0A48B2D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highlight w:val="yellow"/>
              </w:rPr>
            </w:pPr>
          </w:p>
        </w:tc>
      </w:tr>
      <w:tr w14:paraId="583C2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2D4C1C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644" w:type="pct"/>
            <w:vMerge w:val="restart"/>
            <w:vAlign w:val="center"/>
          </w:tcPr>
          <w:p w14:paraId="6A936D4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废包装桶整形清洗翻新生产线</w:t>
            </w:r>
          </w:p>
        </w:tc>
        <w:tc>
          <w:tcPr>
            <w:tcW w:w="645" w:type="pct"/>
            <w:vAlign w:val="center"/>
          </w:tcPr>
          <w:p w14:paraId="26DE7C7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自动内外冲（刷）洗机</w:t>
            </w:r>
          </w:p>
        </w:tc>
        <w:tc>
          <w:tcPr>
            <w:tcW w:w="258" w:type="pct"/>
            <w:vAlign w:val="center"/>
          </w:tcPr>
          <w:p w14:paraId="707CEA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9" w:type="pct"/>
            <w:vAlign w:val="center"/>
          </w:tcPr>
          <w:p w14:paraId="4260AFC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szCs w:val="21"/>
              </w:rPr>
              <w:t>室内</w:t>
            </w:r>
          </w:p>
        </w:tc>
        <w:tc>
          <w:tcPr>
            <w:tcW w:w="677" w:type="pct"/>
            <w:vAlign w:val="center"/>
          </w:tcPr>
          <w:p w14:paraId="7C18162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危险废物综合处置车间</w:t>
            </w:r>
          </w:p>
        </w:tc>
        <w:tc>
          <w:tcPr>
            <w:tcW w:w="377" w:type="pct"/>
            <w:vAlign w:val="center"/>
          </w:tcPr>
          <w:p w14:paraId="23E261B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1622B4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476" w:type="pct"/>
            <w:vMerge w:val="restart"/>
            <w:vAlign w:val="center"/>
          </w:tcPr>
          <w:p w14:paraId="484F89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bCs/>
                <w:szCs w:val="21"/>
              </w:rPr>
              <w:t>距离设备1m</w:t>
            </w:r>
            <w:r>
              <w:rPr>
                <w:rFonts w:hint="default" w:ascii="Times New Roman" w:hAnsi="Times New Roman" w:eastAsia="宋体" w:cs="Times New Roman"/>
                <w:bCs/>
                <w:szCs w:val="21"/>
                <w:lang w:val="en-US" w:eastAsia="zh-CN"/>
              </w:rPr>
              <w:t>处</w:t>
            </w:r>
          </w:p>
        </w:tc>
        <w:tc>
          <w:tcPr>
            <w:tcW w:w="474" w:type="pct"/>
            <w:vMerge w:val="restart"/>
            <w:vAlign w:val="center"/>
          </w:tcPr>
          <w:p w14:paraId="2D7F807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砖混结构</w:t>
            </w:r>
          </w:p>
        </w:tc>
      </w:tr>
      <w:tr w14:paraId="30DD63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25398E7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644" w:type="pct"/>
            <w:vMerge w:val="continue"/>
            <w:vAlign w:val="center"/>
          </w:tcPr>
          <w:p w14:paraId="169D48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45" w:type="pct"/>
            <w:vAlign w:val="center"/>
          </w:tcPr>
          <w:p w14:paraId="235C36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桶外清洗机</w:t>
            </w:r>
          </w:p>
        </w:tc>
        <w:tc>
          <w:tcPr>
            <w:tcW w:w="258" w:type="pct"/>
            <w:vAlign w:val="center"/>
          </w:tcPr>
          <w:p w14:paraId="6B32DE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9" w:type="pct"/>
            <w:vAlign w:val="center"/>
          </w:tcPr>
          <w:p w14:paraId="65750B2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szCs w:val="21"/>
              </w:rPr>
              <w:t>室内</w:t>
            </w:r>
          </w:p>
        </w:tc>
        <w:tc>
          <w:tcPr>
            <w:tcW w:w="677" w:type="pct"/>
          </w:tcPr>
          <w:p w14:paraId="5E7097B8">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23CDF6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4293EB6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476" w:type="pct"/>
            <w:vMerge w:val="continue"/>
            <w:vAlign w:val="center"/>
          </w:tcPr>
          <w:p w14:paraId="3B860D9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474" w:type="pct"/>
            <w:vMerge w:val="continue"/>
            <w:vAlign w:val="center"/>
          </w:tcPr>
          <w:p w14:paraId="0EF219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48F986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61B93E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644" w:type="pct"/>
            <w:vMerge w:val="continue"/>
            <w:vAlign w:val="center"/>
          </w:tcPr>
          <w:p w14:paraId="22E9AE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45" w:type="pct"/>
            <w:vAlign w:val="center"/>
          </w:tcPr>
          <w:p w14:paraId="744F88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桶内清洗机</w:t>
            </w:r>
          </w:p>
        </w:tc>
        <w:tc>
          <w:tcPr>
            <w:tcW w:w="258" w:type="pct"/>
            <w:vAlign w:val="center"/>
          </w:tcPr>
          <w:p w14:paraId="6BA72A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499" w:type="pct"/>
            <w:vAlign w:val="center"/>
          </w:tcPr>
          <w:p w14:paraId="613E802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szCs w:val="21"/>
              </w:rPr>
              <w:t>室内</w:t>
            </w:r>
          </w:p>
        </w:tc>
        <w:tc>
          <w:tcPr>
            <w:tcW w:w="677" w:type="pct"/>
          </w:tcPr>
          <w:p w14:paraId="0843715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713E587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271F9D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476" w:type="pct"/>
            <w:vMerge w:val="continue"/>
            <w:vAlign w:val="center"/>
          </w:tcPr>
          <w:p w14:paraId="267FF79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474" w:type="pct"/>
            <w:vMerge w:val="continue"/>
            <w:vAlign w:val="center"/>
          </w:tcPr>
          <w:p w14:paraId="32D4545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7352E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262595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644" w:type="pct"/>
            <w:vMerge w:val="restart"/>
            <w:vAlign w:val="center"/>
          </w:tcPr>
          <w:p w14:paraId="5F2338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废金属包装容器破碎清洗生产线</w:t>
            </w:r>
          </w:p>
        </w:tc>
        <w:tc>
          <w:tcPr>
            <w:tcW w:w="645" w:type="pct"/>
            <w:vAlign w:val="center"/>
          </w:tcPr>
          <w:p w14:paraId="72FF88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四轴撕碎机</w:t>
            </w:r>
          </w:p>
        </w:tc>
        <w:tc>
          <w:tcPr>
            <w:tcW w:w="258" w:type="pct"/>
            <w:vAlign w:val="center"/>
          </w:tcPr>
          <w:p w14:paraId="11EE98D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9" w:type="pct"/>
            <w:vAlign w:val="center"/>
          </w:tcPr>
          <w:p w14:paraId="1B0983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室内</w:t>
            </w:r>
          </w:p>
        </w:tc>
        <w:tc>
          <w:tcPr>
            <w:tcW w:w="677" w:type="pct"/>
          </w:tcPr>
          <w:p w14:paraId="5832DDC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265FF1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09A2BFC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85</w:t>
            </w:r>
          </w:p>
        </w:tc>
        <w:tc>
          <w:tcPr>
            <w:tcW w:w="476" w:type="pct"/>
            <w:vMerge w:val="continue"/>
            <w:vAlign w:val="center"/>
          </w:tcPr>
          <w:p w14:paraId="7EF92E8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474" w:type="pct"/>
            <w:vMerge w:val="continue"/>
            <w:vAlign w:val="center"/>
          </w:tcPr>
          <w:p w14:paraId="538829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67E934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2CC195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644" w:type="pct"/>
            <w:vMerge w:val="continue"/>
            <w:vAlign w:val="center"/>
          </w:tcPr>
          <w:p w14:paraId="71E8BF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45" w:type="pct"/>
            <w:vAlign w:val="center"/>
          </w:tcPr>
          <w:p w14:paraId="6B60E6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磁选分离机</w:t>
            </w:r>
          </w:p>
        </w:tc>
        <w:tc>
          <w:tcPr>
            <w:tcW w:w="258" w:type="pct"/>
            <w:vAlign w:val="center"/>
          </w:tcPr>
          <w:p w14:paraId="707B16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499" w:type="pct"/>
            <w:vAlign w:val="center"/>
          </w:tcPr>
          <w:p w14:paraId="0103A4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室内</w:t>
            </w:r>
          </w:p>
        </w:tc>
        <w:tc>
          <w:tcPr>
            <w:tcW w:w="677" w:type="pct"/>
          </w:tcPr>
          <w:p w14:paraId="6E04AD1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221EA9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0563CEB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476" w:type="pct"/>
            <w:vMerge w:val="continue"/>
            <w:vAlign w:val="center"/>
          </w:tcPr>
          <w:p w14:paraId="4AF27D1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p>
        </w:tc>
        <w:tc>
          <w:tcPr>
            <w:tcW w:w="474" w:type="pct"/>
            <w:vMerge w:val="continue"/>
            <w:vAlign w:val="center"/>
          </w:tcPr>
          <w:p w14:paraId="2C48944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235DBA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22BF5E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644" w:type="pct"/>
            <w:vMerge w:val="continue"/>
            <w:vAlign w:val="center"/>
          </w:tcPr>
          <w:p w14:paraId="31BBE2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45" w:type="pct"/>
            <w:vAlign w:val="center"/>
          </w:tcPr>
          <w:p w14:paraId="35C206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金属团球机</w:t>
            </w:r>
          </w:p>
        </w:tc>
        <w:tc>
          <w:tcPr>
            <w:tcW w:w="258" w:type="pct"/>
            <w:vAlign w:val="center"/>
          </w:tcPr>
          <w:p w14:paraId="2CA7F7F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9" w:type="pct"/>
            <w:vAlign w:val="center"/>
          </w:tcPr>
          <w:p w14:paraId="11D3CD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室内</w:t>
            </w:r>
          </w:p>
        </w:tc>
        <w:tc>
          <w:tcPr>
            <w:tcW w:w="677" w:type="pct"/>
          </w:tcPr>
          <w:p w14:paraId="1D25039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2693ED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52B76F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80</w:t>
            </w:r>
          </w:p>
        </w:tc>
        <w:tc>
          <w:tcPr>
            <w:tcW w:w="476" w:type="pct"/>
            <w:vMerge w:val="continue"/>
            <w:vAlign w:val="center"/>
          </w:tcPr>
          <w:p w14:paraId="08DC8D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474" w:type="pct"/>
            <w:vMerge w:val="continue"/>
            <w:vAlign w:val="center"/>
          </w:tcPr>
          <w:p w14:paraId="03BD46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5C0AA9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75585E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w:t>
            </w:r>
          </w:p>
        </w:tc>
        <w:tc>
          <w:tcPr>
            <w:tcW w:w="644" w:type="pct"/>
            <w:vMerge w:val="restart"/>
            <w:vAlign w:val="center"/>
          </w:tcPr>
          <w:p w14:paraId="29E7A3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废塑料包装物破碎清洗生产线</w:t>
            </w:r>
          </w:p>
        </w:tc>
        <w:tc>
          <w:tcPr>
            <w:tcW w:w="645" w:type="pct"/>
            <w:vAlign w:val="center"/>
          </w:tcPr>
          <w:p w14:paraId="78E5B4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四轴撕碎机</w:t>
            </w:r>
          </w:p>
        </w:tc>
        <w:tc>
          <w:tcPr>
            <w:tcW w:w="258" w:type="pct"/>
            <w:vAlign w:val="center"/>
          </w:tcPr>
          <w:p w14:paraId="6DF5A1E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9" w:type="pct"/>
            <w:vAlign w:val="center"/>
          </w:tcPr>
          <w:p w14:paraId="211BA2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室内</w:t>
            </w:r>
          </w:p>
        </w:tc>
        <w:tc>
          <w:tcPr>
            <w:tcW w:w="677" w:type="pct"/>
          </w:tcPr>
          <w:p w14:paraId="09FA4C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34F448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4B0412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85</w:t>
            </w:r>
          </w:p>
        </w:tc>
        <w:tc>
          <w:tcPr>
            <w:tcW w:w="476" w:type="pct"/>
            <w:vMerge w:val="continue"/>
            <w:vAlign w:val="center"/>
          </w:tcPr>
          <w:p w14:paraId="2498638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474" w:type="pct"/>
            <w:vMerge w:val="continue"/>
            <w:vAlign w:val="center"/>
          </w:tcPr>
          <w:p w14:paraId="33D9B3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67D26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5125B2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w:t>
            </w:r>
          </w:p>
        </w:tc>
        <w:tc>
          <w:tcPr>
            <w:tcW w:w="644" w:type="pct"/>
            <w:vMerge w:val="continue"/>
            <w:vAlign w:val="center"/>
          </w:tcPr>
          <w:p w14:paraId="5C8896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45" w:type="pct"/>
            <w:vAlign w:val="center"/>
          </w:tcPr>
          <w:p w14:paraId="1773DE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预洗摩擦机</w:t>
            </w:r>
          </w:p>
        </w:tc>
        <w:tc>
          <w:tcPr>
            <w:tcW w:w="258" w:type="pct"/>
            <w:vAlign w:val="center"/>
          </w:tcPr>
          <w:p w14:paraId="795FA5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9" w:type="pct"/>
            <w:vAlign w:val="center"/>
          </w:tcPr>
          <w:p w14:paraId="05F88A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室内</w:t>
            </w:r>
          </w:p>
        </w:tc>
        <w:tc>
          <w:tcPr>
            <w:tcW w:w="677" w:type="pct"/>
          </w:tcPr>
          <w:p w14:paraId="3273BD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69C8058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2CA263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70</w:t>
            </w:r>
          </w:p>
        </w:tc>
        <w:tc>
          <w:tcPr>
            <w:tcW w:w="476" w:type="pct"/>
            <w:vMerge w:val="continue"/>
            <w:vAlign w:val="center"/>
          </w:tcPr>
          <w:p w14:paraId="749AF25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474" w:type="pct"/>
            <w:vMerge w:val="continue"/>
            <w:vAlign w:val="center"/>
          </w:tcPr>
          <w:p w14:paraId="1D95A5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20DA75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3C6FF7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644" w:type="pct"/>
            <w:vMerge w:val="continue"/>
            <w:vAlign w:val="center"/>
          </w:tcPr>
          <w:p w14:paraId="733863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45" w:type="pct"/>
            <w:vAlign w:val="center"/>
          </w:tcPr>
          <w:p w14:paraId="58FFB1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高效破碎机</w:t>
            </w:r>
          </w:p>
        </w:tc>
        <w:tc>
          <w:tcPr>
            <w:tcW w:w="258" w:type="pct"/>
            <w:vAlign w:val="center"/>
          </w:tcPr>
          <w:p w14:paraId="72C7DD8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9" w:type="pct"/>
            <w:vAlign w:val="center"/>
          </w:tcPr>
          <w:p w14:paraId="24AC9F4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室内</w:t>
            </w:r>
          </w:p>
        </w:tc>
        <w:tc>
          <w:tcPr>
            <w:tcW w:w="677" w:type="pct"/>
          </w:tcPr>
          <w:p w14:paraId="40C68A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6C9BDE7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7616342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85</w:t>
            </w:r>
          </w:p>
        </w:tc>
        <w:tc>
          <w:tcPr>
            <w:tcW w:w="476" w:type="pct"/>
            <w:vMerge w:val="continue"/>
            <w:vAlign w:val="center"/>
          </w:tcPr>
          <w:p w14:paraId="2177BC1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474" w:type="pct"/>
            <w:vMerge w:val="continue"/>
            <w:vAlign w:val="center"/>
          </w:tcPr>
          <w:p w14:paraId="5BB1A64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398488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54AAA64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644" w:type="pct"/>
            <w:vMerge w:val="continue"/>
            <w:vAlign w:val="center"/>
          </w:tcPr>
          <w:p w14:paraId="6B27F6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45" w:type="pct"/>
            <w:vAlign w:val="center"/>
          </w:tcPr>
          <w:p w14:paraId="227A55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lang w:bidi="ar"/>
              </w:rPr>
              <w:t>强力摩擦机</w:t>
            </w:r>
          </w:p>
        </w:tc>
        <w:tc>
          <w:tcPr>
            <w:tcW w:w="258" w:type="pct"/>
            <w:vAlign w:val="center"/>
          </w:tcPr>
          <w:p w14:paraId="2B67EC1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9" w:type="pct"/>
            <w:vAlign w:val="center"/>
          </w:tcPr>
          <w:p w14:paraId="235EF1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室内</w:t>
            </w:r>
          </w:p>
        </w:tc>
        <w:tc>
          <w:tcPr>
            <w:tcW w:w="677" w:type="pct"/>
          </w:tcPr>
          <w:p w14:paraId="5BA1D8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6F9780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0583C6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75</w:t>
            </w:r>
          </w:p>
        </w:tc>
        <w:tc>
          <w:tcPr>
            <w:tcW w:w="476" w:type="pct"/>
            <w:vMerge w:val="continue"/>
            <w:vAlign w:val="center"/>
          </w:tcPr>
          <w:p w14:paraId="37E6A1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474" w:type="pct"/>
            <w:vMerge w:val="continue"/>
            <w:vAlign w:val="center"/>
          </w:tcPr>
          <w:p w14:paraId="381787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r w14:paraId="00483E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09" w:type="pct"/>
            <w:vAlign w:val="center"/>
          </w:tcPr>
          <w:p w14:paraId="70CE11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w:t>
            </w:r>
          </w:p>
        </w:tc>
        <w:tc>
          <w:tcPr>
            <w:tcW w:w="644" w:type="pct"/>
            <w:vMerge w:val="continue"/>
            <w:vAlign w:val="center"/>
          </w:tcPr>
          <w:p w14:paraId="2D06F8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45" w:type="pct"/>
            <w:vAlign w:val="center"/>
          </w:tcPr>
          <w:p w14:paraId="62DDCD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高速脱水机</w:t>
            </w:r>
          </w:p>
        </w:tc>
        <w:tc>
          <w:tcPr>
            <w:tcW w:w="258" w:type="pct"/>
            <w:vAlign w:val="center"/>
          </w:tcPr>
          <w:p w14:paraId="205508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499" w:type="pct"/>
            <w:vAlign w:val="center"/>
          </w:tcPr>
          <w:p w14:paraId="7BF98EC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室内</w:t>
            </w:r>
          </w:p>
        </w:tc>
        <w:tc>
          <w:tcPr>
            <w:tcW w:w="677" w:type="pct"/>
          </w:tcPr>
          <w:p w14:paraId="5A4320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default" w:ascii="Times New Roman" w:hAnsi="Times New Roman" w:eastAsia="宋体" w:cs="Times New Roman"/>
                <w:szCs w:val="21"/>
                <w:lang w:eastAsia="zh-CN"/>
              </w:rPr>
              <w:t>危险废物综合处置车间</w:t>
            </w:r>
          </w:p>
        </w:tc>
        <w:tc>
          <w:tcPr>
            <w:tcW w:w="377" w:type="pct"/>
            <w:vAlign w:val="center"/>
          </w:tcPr>
          <w:p w14:paraId="061DAB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16h</w:t>
            </w:r>
          </w:p>
        </w:tc>
        <w:tc>
          <w:tcPr>
            <w:tcW w:w="541" w:type="pct"/>
            <w:vAlign w:val="center"/>
          </w:tcPr>
          <w:p w14:paraId="6ABB5D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80</w:t>
            </w:r>
          </w:p>
        </w:tc>
        <w:tc>
          <w:tcPr>
            <w:tcW w:w="476" w:type="pct"/>
            <w:vMerge w:val="continue"/>
            <w:vAlign w:val="center"/>
          </w:tcPr>
          <w:p w14:paraId="470952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474" w:type="pct"/>
            <w:vMerge w:val="continue"/>
            <w:vAlign w:val="center"/>
          </w:tcPr>
          <w:p w14:paraId="2D1B4D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r>
    </w:tbl>
    <w:p w14:paraId="1ED9BB2F">
      <w:pPr>
        <w:pStyle w:val="5"/>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5.5.</w:t>
      </w:r>
      <w:r>
        <w:rPr>
          <w:rFonts w:hint="default" w:ascii="Times New Roman" w:hAnsi="Times New Roman" w:eastAsia="宋体" w:cs="Times New Roman"/>
          <w:sz w:val="24"/>
          <w:u w:val="single"/>
          <w:lang w:val="en-US" w:eastAsia="zh-CN"/>
        </w:rPr>
        <w:t>2.</w:t>
      </w:r>
      <w:r>
        <w:rPr>
          <w:rFonts w:hint="default" w:ascii="Times New Roman" w:hAnsi="Times New Roman" w:eastAsia="宋体" w:cs="Times New Roman"/>
          <w:sz w:val="24"/>
          <w:u w:val="single"/>
        </w:rPr>
        <w:t>4</w:t>
      </w:r>
      <w:r>
        <w:rPr>
          <w:rFonts w:hint="default" w:ascii="Times New Roman" w:hAnsi="Times New Roman" w:eastAsia="宋体" w:cs="Times New Roman"/>
          <w:color w:val="000000"/>
          <w:sz w:val="24"/>
          <w:u w:val="single"/>
        </w:rPr>
        <w:t>固体废物</w:t>
      </w:r>
    </w:p>
    <w:p w14:paraId="1D7E63B5">
      <w:pPr>
        <w:pStyle w:val="48"/>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本项目产生的固体废物主要包括：废包装容器及废金属机油滤芯综合利用过程产生的固废主要有废残液、废滤纸、废渣</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highlight w:val="none"/>
          <w:u w:val="single"/>
          <w:lang w:eastAsia="zh-CN"/>
        </w:rPr>
        <w:t>废铅蓄电池泄漏电解液、</w:t>
      </w:r>
      <w:r>
        <w:rPr>
          <w:rFonts w:hint="default" w:ascii="Times New Roman" w:hAnsi="Times New Roman" w:eastAsia="宋体" w:cs="Times New Roman"/>
          <w:sz w:val="24"/>
          <w:szCs w:val="21"/>
          <w:u w:val="single"/>
        </w:rPr>
        <w:t>废活性炭、废矿物油、废油桶、废弃的含油抹布和劳保用品、污水处理站污泥、员工生活垃圾。</w:t>
      </w:r>
    </w:p>
    <w:p w14:paraId="418C7839">
      <w:pPr>
        <w:pStyle w:val="48"/>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（1）废残液、废滤纸、残渣</w:t>
      </w:r>
    </w:p>
    <w:p w14:paraId="4009112D">
      <w:pPr>
        <w:pStyle w:val="48"/>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本项目废包装容器及废金属机油滤芯在开盖、清理残液的工序均会产生废残液，根据前文分析可知，本项目废残液总量为400t/a，最后挥发的VOCs量为32.8t/a，则残液量为367.2t/a，拟用专用桶收集后统一存放至</w:t>
      </w:r>
      <w:r>
        <w:rPr>
          <w:rFonts w:hint="default" w:ascii="Times New Roman" w:hAnsi="Times New Roman" w:eastAsia="宋体" w:cs="Times New Roman"/>
          <w:sz w:val="24"/>
          <w:szCs w:val="21"/>
          <w:u w:val="single"/>
          <w:lang w:val="en-US" w:eastAsia="zh-CN"/>
        </w:rPr>
        <w:t>A</w:t>
      </w:r>
      <w:r>
        <w:rPr>
          <w:rFonts w:hint="default" w:ascii="Times New Roman" w:hAnsi="Times New Roman" w:eastAsia="宋体" w:cs="Times New Roman"/>
          <w:sz w:val="24"/>
          <w:szCs w:val="21"/>
          <w:u w:val="single"/>
        </w:rPr>
        <w:t>栋</w:t>
      </w:r>
      <w:r>
        <w:rPr>
          <w:rFonts w:hint="default" w:ascii="Times New Roman" w:hAnsi="Times New Roman" w:eastAsia="宋体" w:cs="Times New Roman"/>
          <w:sz w:val="24"/>
          <w:szCs w:val="21"/>
          <w:u w:val="single"/>
          <w:lang w:val="en-US" w:eastAsia="zh-CN"/>
        </w:rPr>
        <w:t>南区</w:t>
      </w:r>
      <w:r>
        <w:rPr>
          <w:rFonts w:hint="default" w:ascii="Times New Roman" w:hAnsi="Times New Roman" w:eastAsia="宋体" w:cs="Times New Roman"/>
          <w:sz w:val="24"/>
          <w:szCs w:val="21"/>
          <w:u w:val="single"/>
        </w:rPr>
        <w:t>的危废贮存库，并转交下游危废资质单位处置</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厂区最大贮存期为1个月，最大贮存量为30.6t</w:t>
      </w:r>
      <w:r>
        <w:rPr>
          <w:rFonts w:hint="default" w:ascii="Times New Roman" w:hAnsi="Times New Roman" w:eastAsia="宋体" w:cs="Times New Roman"/>
          <w:sz w:val="24"/>
          <w:szCs w:val="21"/>
          <w:u w:val="single"/>
        </w:rPr>
        <w:t>。</w:t>
      </w:r>
    </w:p>
    <w:p w14:paraId="5284B58F">
      <w:pPr>
        <w:pStyle w:val="48"/>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类比通同类工程，废金属机油滤芯中废滤纸占比约为10%，本项目废金属机油滤芯用量为5000t/a，则废滤纸产生量为500t/a。</w:t>
      </w:r>
    </w:p>
    <w:p w14:paraId="7B570646">
      <w:pPr>
        <w:pStyle w:val="48"/>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残渣主要产生于磁选分离工序、沉浮分离工序、沉浮漂洗工序，包括分离出的各类杂质，其产生量约22t/a。</w:t>
      </w:r>
    </w:p>
    <w:p w14:paraId="114C368F">
      <w:pPr>
        <w:pStyle w:val="48"/>
        <w:pageBreakBefore w:val="0"/>
        <w:widowControl w:val="0"/>
        <w:kinsoku/>
        <w:wordWrap/>
        <w:overflowPunct/>
        <w:topLinePunct w:val="0"/>
        <w:autoSpaceDE/>
        <w:autoSpaceDN/>
        <w:bidi w:val="0"/>
        <w:adjustRightInd/>
        <w:snapToGrid/>
        <w:spacing w:before="0" w:line="360" w:lineRule="auto"/>
        <w:textAlignment w:val="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废残液、废滤纸、残渣均属于危险废物，将其进行分类收集暂存至</w:t>
      </w:r>
      <w:r>
        <w:rPr>
          <w:rFonts w:hint="default" w:ascii="Times New Roman" w:hAnsi="Times New Roman" w:eastAsia="宋体" w:cs="Times New Roman"/>
          <w:sz w:val="24"/>
          <w:szCs w:val="21"/>
          <w:u w:val="single"/>
          <w:lang w:val="en-US" w:eastAsia="zh-CN"/>
        </w:rPr>
        <w:t>A栋南区</w:t>
      </w:r>
      <w:r>
        <w:rPr>
          <w:rFonts w:hint="default" w:ascii="Times New Roman" w:hAnsi="Times New Roman" w:eastAsia="宋体" w:cs="Times New Roman"/>
          <w:sz w:val="24"/>
          <w:szCs w:val="21"/>
          <w:u w:val="single"/>
        </w:rPr>
        <w:t>的危废暂存库，并委托有相关资质单位进行处理。</w:t>
      </w:r>
    </w:p>
    <w:p w14:paraId="355D3C18">
      <w:pPr>
        <w:pStyle w:val="48"/>
        <w:spacing w:before="0" w:line="360" w:lineRule="auto"/>
        <w:rPr>
          <w:rFonts w:hint="default" w:ascii="Times New Roman" w:hAnsi="Times New Roman" w:eastAsia="宋体" w:cs="Times New Roman"/>
          <w:sz w:val="24"/>
          <w:szCs w:val="21"/>
          <w:highlight w:val="none"/>
          <w:u w:val="single"/>
          <w:lang w:eastAsia="zh-CN"/>
        </w:rPr>
      </w:pPr>
      <w:r>
        <w:rPr>
          <w:rFonts w:hint="default" w:ascii="Times New Roman" w:hAnsi="Times New Roman" w:eastAsia="宋体" w:cs="Times New Roman"/>
          <w:sz w:val="24"/>
          <w:szCs w:val="21"/>
          <w:highlight w:val="none"/>
          <w:u w:val="single"/>
          <w:lang w:eastAsia="zh-CN"/>
        </w:rPr>
        <w:t>（</w:t>
      </w:r>
      <w:r>
        <w:rPr>
          <w:rFonts w:hint="default" w:ascii="Times New Roman" w:hAnsi="Times New Roman" w:eastAsia="宋体" w:cs="Times New Roman"/>
          <w:sz w:val="24"/>
          <w:szCs w:val="21"/>
          <w:highlight w:val="none"/>
          <w:u w:val="single"/>
          <w:lang w:val="en-US" w:eastAsia="zh-CN"/>
        </w:rPr>
        <w:t>2</w:t>
      </w:r>
      <w:r>
        <w:rPr>
          <w:rFonts w:hint="default" w:ascii="Times New Roman" w:hAnsi="Times New Roman" w:eastAsia="宋体" w:cs="Times New Roman"/>
          <w:sz w:val="24"/>
          <w:szCs w:val="21"/>
          <w:highlight w:val="none"/>
          <w:u w:val="single"/>
          <w:lang w:eastAsia="zh-CN"/>
        </w:rPr>
        <w:t>）废铅蓄电池泄漏电解液</w:t>
      </w:r>
    </w:p>
    <w:p w14:paraId="3BD80C3A">
      <w:pPr>
        <w:pStyle w:val="48"/>
        <w:spacing w:before="0" w:line="360" w:lineRule="auto"/>
        <w:rPr>
          <w:rFonts w:hint="default" w:ascii="Times New Roman" w:hAnsi="Times New Roman" w:eastAsia="宋体" w:cs="Times New Roman"/>
          <w:sz w:val="24"/>
          <w:szCs w:val="21"/>
          <w:u w:val="single"/>
          <w:lang w:eastAsia="zh-CN"/>
        </w:rPr>
      </w:pPr>
      <w:r>
        <w:rPr>
          <w:rFonts w:hint="default" w:ascii="Times New Roman" w:hAnsi="Times New Roman" w:eastAsia="宋体" w:cs="Times New Roman"/>
          <w:sz w:val="24"/>
          <w:szCs w:val="21"/>
          <w:u w:val="single"/>
          <w:lang w:eastAsia="zh-CN"/>
        </w:rPr>
        <w:t>废铅蓄电池在正常分类、贮存期间无固废产生，但当废铅蓄电池因为外力撞击等因素破损时，会有泄漏液产生。废铅酸蓄电池泄漏液的主要污染物为 pH、硫酸、Pb等，根据电解液泄漏量的计算，采用废铅蓄电池最大贮存量</w:t>
      </w:r>
      <w:r>
        <w:rPr>
          <w:rFonts w:hint="default" w:ascii="Times New Roman" w:hAnsi="Times New Roman" w:eastAsia="宋体" w:cs="Times New Roman"/>
          <w:sz w:val="24"/>
          <w:szCs w:val="21"/>
          <w:u w:val="single"/>
          <w:lang w:val="en-US" w:eastAsia="zh-CN"/>
        </w:rPr>
        <w:t>1</w:t>
      </w:r>
      <w:r>
        <w:rPr>
          <w:rFonts w:hint="default" w:ascii="Times New Roman" w:hAnsi="Times New Roman" w:eastAsia="宋体" w:cs="Times New Roman"/>
          <w:sz w:val="24"/>
          <w:szCs w:val="21"/>
          <w:u w:val="single"/>
          <w:lang w:eastAsia="zh-CN"/>
        </w:rPr>
        <w:t>0t的2%发生泄漏作为一次泄漏的源强，电解液按电池重量的20%，则一次泄漏的电解液量约0.</w:t>
      </w:r>
      <w:r>
        <w:rPr>
          <w:rFonts w:hint="default" w:ascii="Times New Roman" w:hAnsi="Times New Roman" w:eastAsia="宋体" w:cs="Times New Roman"/>
          <w:sz w:val="24"/>
          <w:szCs w:val="21"/>
          <w:u w:val="single"/>
          <w:lang w:val="en-US" w:eastAsia="zh-CN"/>
        </w:rPr>
        <w:t>04</w:t>
      </w:r>
      <w:r>
        <w:rPr>
          <w:rFonts w:hint="default" w:ascii="Times New Roman" w:hAnsi="Times New Roman" w:eastAsia="宋体" w:cs="Times New Roman"/>
          <w:sz w:val="24"/>
          <w:szCs w:val="21"/>
          <w:u w:val="single"/>
          <w:lang w:eastAsia="zh-CN"/>
        </w:rPr>
        <w:t>t。</w:t>
      </w:r>
    </w:p>
    <w:p w14:paraId="013340FF">
      <w:pPr>
        <w:pStyle w:val="48"/>
        <w:spacing w:before="0" w:line="360" w:lineRule="auto"/>
        <w:rPr>
          <w:rFonts w:hint="default" w:ascii="Times New Roman" w:hAnsi="Times New Roman" w:eastAsia="宋体" w:cs="Times New Roman"/>
          <w:sz w:val="24"/>
          <w:szCs w:val="21"/>
          <w:u w:val="single"/>
          <w:lang w:val="en-US" w:eastAsia="zh-CN"/>
        </w:rPr>
      </w:pPr>
      <w:r>
        <w:rPr>
          <w:rFonts w:hint="default" w:ascii="Times New Roman" w:hAnsi="Times New Roman" w:eastAsia="宋体" w:cs="Times New Roman"/>
          <w:sz w:val="24"/>
          <w:szCs w:val="21"/>
          <w:u w:val="single"/>
          <w:lang w:eastAsia="zh-CN"/>
        </w:rPr>
        <w:t>本项目事故工况频率按5次/年计，则本项目泄漏电解液量约为0.</w:t>
      </w:r>
      <w:r>
        <w:rPr>
          <w:rFonts w:hint="default" w:ascii="Times New Roman" w:hAnsi="Times New Roman" w:eastAsia="宋体" w:cs="Times New Roman"/>
          <w:sz w:val="24"/>
          <w:szCs w:val="21"/>
          <w:u w:val="single"/>
          <w:lang w:val="en-US" w:eastAsia="zh-CN"/>
        </w:rPr>
        <w:t>2</w:t>
      </w:r>
      <w:r>
        <w:rPr>
          <w:rFonts w:hint="default" w:ascii="Times New Roman" w:hAnsi="Times New Roman" w:eastAsia="宋体" w:cs="Times New Roman"/>
          <w:sz w:val="24"/>
          <w:szCs w:val="21"/>
          <w:u w:val="single"/>
          <w:lang w:eastAsia="zh-CN"/>
        </w:rPr>
        <w:t>t/a。本项目</w:t>
      </w:r>
      <w:r>
        <w:rPr>
          <w:rFonts w:hint="default" w:ascii="Times New Roman" w:hAnsi="Times New Roman" w:eastAsia="宋体" w:cs="Times New Roman"/>
          <w:sz w:val="24"/>
          <w:szCs w:val="21"/>
          <w:u w:val="single"/>
          <w:lang w:val="en-US" w:eastAsia="zh-CN"/>
        </w:rPr>
        <w:t>拟在废铅蓄电池贮存区</w:t>
      </w:r>
      <w:r>
        <w:rPr>
          <w:rFonts w:hint="default" w:ascii="Times New Roman" w:hAnsi="Times New Roman" w:eastAsia="宋体" w:cs="Times New Roman"/>
          <w:sz w:val="24"/>
          <w:szCs w:val="21"/>
          <w:u w:val="single"/>
          <w:lang w:eastAsia="zh-CN"/>
        </w:rPr>
        <w:t>配备1m</w:t>
      </w:r>
      <w:r>
        <w:rPr>
          <w:rFonts w:hint="default" w:ascii="Times New Roman" w:hAnsi="Times New Roman" w:eastAsia="宋体" w:cs="Times New Roman"/>
          <w:sz w:val="24"/>
          <w:szCs w:val="21"/>
          <w:u w:val="single"/>
          <w:vertAlign w:val="superscript"/>
          <w:lang w:eastAsia="zh-CN"/>
        </w:rPr>
        <w:t>3</w:t>
      </w:r>
      <w:r>
        <w:rPr>
          <w:rFonts w:hint="default" w:ascii="Times New Roman" w:hAnsi="Times New Roman" w:eastAsia="宋体" w:cs="Times New Roman"/>
          <w:sz w:val="24"/>
          <w:szCs w:val="21"/>
          <w:u w:val="single"/>
          <w:lang w:eastAsia="zh-CN"/>
        </w:rPr>
        <w:t>泄漏液收集井，泄漏电解液经仓库内设置的导流沟收集进入收集井中；根据《国家危险废物名单》（2021年），泄漏的废电解液属于危险废物（危废类别 HW31，危废代码为900-052-31），转入专用密封桶内（耐酸、防渗）后送</w:t>
      </w:r>
      <w:r>
        <w:rPr>
          <w:rFonts w:hint="default" w:ascii="Times New Roman" w:hAnsi="Times New Roman" w:eastAsia="宋体" w:cs="Times New Roman"/>
          <w:sz w:val="24"/>
          <w:szCs w:val="21"/>
          <w:u w:val="single"/>
          <w:lang w:val="en-US" w:eastAsia="zh-CN"/>
        </w:rPr>
        <w:t>具有对应处置</w:t>
      </w:r>
      <w:r>
        <w:rPr>
          <w:rFonts w:hint="default" w:ascii="Times New Roman" w:hAnsi="Times New Roman" w:eastAsia="宋体" w:cs="Times New Roman"/>
          <w:sz w:val="24"/>
          <w:szCs w:val="21"/>
          <w:u w:val="single"/>
          <w:lang w:eastAsia="zh-CN"/>
        </w:rPr>
        <w:t>资质</w:t>
      </w:r>
      <w:r>
        <w:rPr>
          <w:rFonts w:hint="default" w:ascii="Times New Roman" w:hAnsi="Times New Roman" w:eastAsia="宋体" w:cs="Times New Roman"/>
          <w:sz w:val="24"/>
          <w:szCs w:val="21"/>
          <w:u w:val="single"/>
          <w:lang w:val="en-US" w:eastAsia="zh-CN"/>
        </w:rPr>
        <w:t>的</w:t>
      </w:r>
      <w:r>
        <w:rPr>
          <w:rFonts w:hint="default" w:ascii="Times New Roman" w:hAnsi="Times New Roman" w:eastAsia="宋体" w:cs="Times New Roman"/>
          <w:sz w:val="24"/>
          <w:szCs w:val="21"/>
          <w:u w:val="single"/>
          <w:lang w:eastAsia="zh-CN"/>
        </w:rPr>
        <w:t>单位</w:t>
      </w:r>
      <w:r>
        <w:rPr>
          <w:rFonts w:hint="default" w:ascii="Times New Roman" w:hAnsi="Times New Roman" w:eastAsia="宋体" w:cs="Times New Roman"/>
          <w:sz w:val="24"/>
          <w:szCs w:val="21"/>
          <w:u w:val="single"/>
          <w:lang w:val="en-US" w:eastAsia="zh-CN"/>
        </w:rPr>
        <w:t>进行进一步的</w:t>
      </w:r>
      <w:r>
        <w:rPr>
          <w:rFonts w:hint="default" w:ascii="Times New Roman" w:hAnsi="Times New Roman" w:eastAsia="宋体" w:cs="Times New Roman"/>
          <w:sz w:val="24"/>
          <w:szCs w:val="21"/>
          <w:u w:val="single"/>
          <w:lang w:eastAsia="zh-CN"/>
        </w:rPr>
        <w:t>处理</w:t>
      </w:r>
      <w:r>
        <w:rPr>
          <w:rFonts w:hint="default" w:ascii="Times New Roman" w:hAnsi="Times New Roman" w:eastAsia="宋体" w:cs="Times New Roman"/>
          <w:sz w:val="24"/>
          <w:szCs w:val="21"/>
          <w:u w:val="single"/>
          <w:lang w:val="en-US" w:eastAsia="zh-CN"/>
        </w:rPr>
        <w:t>处置。</w:t>
      </w:r>
    </w:p>
    <w:p w14:paraId="053A56D2">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3</w:t>
      </w:r>
      <w:r>
        <w:rPr>
          <w:rFonts w:hint="default" w:ascii="Times New Roman" w:hAnsi="Times New Roman" w:eastAsia="宋体" w:cs="Times New Roman"/>
          <w:sz w:val="24"/>
          <w:szCs w:val="21"/>
          <w:u w:val="single"/>
        </w:rPr>
        <w:t>）废活性炭</w:t>
      </w:r>
    </w:p>
    <w:p w14:paraId="180364C0">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废塑料包装容器、废金属包装容器及废金属机油滤芯综合利用过程产生的VOCs经负压抽风收集后经一套RCO催化燃烧装置处理后通过15m高排气筒（DA001）排放，危废贮存库废气经UV光解+活性炭吸附装置处理后通过15m高排气筒（DA002）排放，以上过程会有废活性炭产生。</w:t>
      </w:r>
    </w:p>
    <w:p w14:paraId="723968C0">
      <w:pPr>
        <w:pStyle w:val="48"/>
        <w:spacing w:before="0" w:line="360" w:lineRule="auto"/>
        <w:rPr>
          <w:rFonts w:hint="default" w:ascii="Times New Roman" w:hAnsi="Times New Roman" w:eastAsia="宋体" w:cs="Times New Roman"/>
          <w:sz w:val="24"/>
          <w:szCs w:val="21"/>
          <w:u w:val="single"/>
          <w:lang w:eastAsia="zh-CN"/>
        </w:rPr>
      </w:pPr>
      <w:r>
        <w:rPr>
          <w:rFonts w:hint="default" w:ascii="Times New Roman" w:hAnsi="Times New Roman" w:eastAsia="宋体" w:cs="Times New Roman"/>
          <w:sz w:val="24"/>
          <w:szCs w:val="21"/>
          <w:u w:val="single"/>
        </w:rPr>
        <w:t>RCO催化燃烧装置由于活性炭寿命的原因需定期更换，更换频次约1次/a，更换量为0.2t/次，即0.2t/a</w:t>
      </w:r>
      <w:r>
        <w:rPr>
          <w:rFonts w:hint="default" w:ascii="Times New Roman" w:hAnsi="Times New Roman" w:eastAsia="宋体" w:cs="Times New Roman"/>
          <w:sz w:val="24"/>
          <w:szCs w:val="21"/>
          <w:u w:val="single"/>
          <w:lang w:eastAsia="zh-CN"/>
        </w:rPr>
        <w:t>。</w:t>
      </w:r>
    </w:p>
    <w:p w14:paraId="7C98FD85">
      <w:pPr>
        <w:pStyle w:val="48"/>
        <w:spacing w:before="0" w:line="360" w:lineRule="auto"/>
        <w:rPr>
          <w:rFonts w:hint="default" w:ascii="Times New Roman" w:hAnsi="Times New Roman" w:eastAsia="宋体" w:cs="Times New Roman"/>
          <w:sz w:val="24"/>
          <w:szCs w:val="21"/>
          <w:u w:val="single"/>
          <w:lang w:eastAsia="zh-CN"/>
        </w:rPr>
      </w:pPr>
      <w:r>
        <w:rPr>
          <w:rFonts w:hint="default" w:ascii="Times New Roman" w:hAnsi="Times New Roman" w:eastAsia="宋体" w:cs="Times New Roman"/>
          <w:sz w:val="24"/>
          <w:szCs w:val="21"/>
          <w:u w:val="single"/>
        </w:rPr>
        <w:t>危废贮存库废气经UV光解+活性炭吸附装置</w:t>
      </w:r>
      <w:r>
        <w:rPr>
          <w:rFonts w:hint="default" w:ascii="Times New Roman" w:hAnsi="Times New Roman" w:eastAsia="宋体" w:cs="Times New Roman"/>
          <w:sz w:val="24"/>
          <w:szCs w:val="21"/>
          <w:u w:val="single"/>
          <w:lang w:eastAsia="zh-CN"/>
        </w:rPr>
        <w:t>收集的有机废气量约为0.</w:t>
      </w:r>
      <w:r>
        <w:rPr>
          <w:rFonts w:hint="default" w:ascii="Times New Roman" w:hAnsi="Times New Roman" w:eastAsia="宋体" w:cs="Times New Roman"/>
          <w:sz w:val="24"/>
          <w:szCs w:val="21"/>
          <w:u w:val="single"/>
          <w:lang w:val="en-US" w:eastAsia="zh-CN"/>
        </w:rPr>
        <w:t>267</w:t>
      </w:r>
      <w:r>
        <w:rPr>
          <w:rFonts w:hint="default" w:ascii="Times New Roman" w:hAnsi="Times New Roman" w:eastAsia="宋体" w:cs="Times New Roman"/>
          <w:sz w:val="24"/>
          <w:szCs w:val="21"/>
          <w:u w:val="single"/>
          <w:lang w:eastAsia="zh-CN"/>
        </w:rPr>
        <w:t>t/a，根据《现代涂装手册》（化学工业出版社，陈治良主编），活性炭吸附容量一般为25%，即1t活性炭可吸附有机废气0.25t，则吸附0.</w:t>
      </w:r>
      <w:r>
        <w:rPr>
          <w:rFonts w:hint="default" w:ascii="Times New Roman" w:hAnsi="Times New Roman" w:eastAsia="宋体" w:cs="Times New Roman"/>
          <w:sz w:val="24"/>
          <w:szCs w:val="21"/>
          <w:u w:val="single"/>
          <w:lang w:val="en-US" w:eastAsia="zh-CN"/>
        </w:rPr>
        <w:t>267</w:t>
      </w:r>
      <w:r>
        <w:rPr>
          <w:rFonts w:hint="default" w:ascii="Times New Roman" w:hAnsi="Times New Roman" w:eastAsia="宋体" w:cs="Times New Roman"/>
          <w:sz w:val="24"/>
          <w:szCs w:val="21"/>
          <w:u w:val="single"/>
          <w:lang w:eastAsia="zh-CN"/>
        </w:rPr>
        <w:t>t的有机废气需要活性炭量为1.</w:t>
      </w:r>
      <w:r>
        <w:rPr>
          <w:rFonts w:hint="default" w:ascii="Times New Roman" w:hAnsi="Times New Roman" w:eastAsia="宋体" w:cs="Times New Roman"/>
          <w:sz w:val="24"/>
          <w:szCs w:val="21"/>
          <w:u w:val="single"/>
          <w:lang w:val="en-US" w:eastAsia="zh-CN"/>
        </w:rPr>
        <w:t>068</w:t>
      </w:r>
      <w:r>
        <w:rPr>
          <w:rFonts w:hint="default" w:ascii="Times New Roman" w:hAnsi="Times New Roman" w:eastAsia="宋体" w:cs="Times New Roman"/>
          <w:sz w:val="24"/>
          <w:szCs w:val="21"/>
          <w:u w:val="single"/>
          <w:lang w:eastAsia="zh-CN"/>
        </w:rPr>
        <w:t>t/a。故产生废活性炭的量约为1.</w:t>
      </w:r>
      <w:r>
        <w:rPr>
          <w:rFonts w:hint="default" w:ascii="Times New Roman" w:hAnsi="Times New Roman" w:eastAsia="宋体" w:cs="Times New Roman"/>
          <w:sz w:val="24"/>
          <w:szCs w:val="21"/>
          <w:u w:val="single"/>
          <w:lang w:val="en-US" w:eastAsia="zh-CN"/>
        </w:rPr>
        <w:t>3</w:t>
      </w:r>
      <w:r>
        <w:rPr>
          <w:rFonts w:hint="default" w:ascii="Times New Roman" w:hAnsi="Times New Roman" w:eastAsia="宋体" w:cs="Times New Roman"/>
          <w:sz w:val="24"/>
          <w:szCs w:val="21"/>
          <w:u w:val="single"/>
          <w:lang w:eastAsia="zh-CN"/>
        </w:rPr>
        <w:t>t/a。</w:t>
      </w:r>
    </w:p>
    <w:p w14:paraId="2F5A6C71">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lang w:val="en-US" w:eastAsia="zh-CN"/>
        </w:rPr>
        <w:t>因此，项目</w:t>
      </w:r>
      <w:r>
        <w:rPr>
          <w:rFonts w:hint="default" w:ascii="Times New Roman" w:hAnsi="Times New Roman" w:eastAsia="宋体" w:cs="Times New Roman"/>
          <w:sz w:val="24"/>
          <w:szCs w:val="21"/>
          <w:u w:val="single"/>
        </w:rPr>
        <w:t>废活性炭</w:t>
      </w:r>
      <w:r>
        <w:rPr>
          <w:rFonts w:hint="default" w:ascii="Times New Roman" w:hAnsi="Times New Roman" w:eastAsia="宋体" w:cs="Times New Roman"/>
          <w:sz w:val="24"/>
          <w:szCs w:val="21"/>
          <w:u w:val="single"/>
          <w:lang w:val="en-US" w:eastAsia="zh-CN"/>
        </w:rPr>
        <w:t>的总产生量约为1.5t/a，</w:t>
      </w:r>
      <w:r>
        <w:rPr>
          <w:rFonts w:hint="default" w:ascii="Times New Roman" w:hAnsi="Times New Roman" w:eastAsia="宋体" w:cs="Times New Roman"/>
          <w:sz w:val="24"/>
          <w:szCs w:val="21"/>
          <w:u w:val="single"/>
        </w:rPr>
        <w:t>属于危废，需将其收集起来并暂存，委托有相关资质的单位进行处理。</w:t>
      </w:r>
    </w:p>
    <w:p w14:paraId="57132B0F">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4</w:t>
      </w:r>
      <w:r>
        <w:rPr>
          <w:rFonts w:hint="default" w:ascii="Times New Roman" w:hAnsi="Times New Roman" w:eastAsia="宋体" w:cs="Times New Roman"/>
          <w:sz w:val="24"/>
          <w:szCs w:val="21"/>
          <w:u w:val="single"/>
        </w:rPr>
        <w:t>）废矿物油、废油桶、废弃的含油抹布和劳保用品</w:t>
      </w:r>
    </w:p>
    <w:p w14:paraId="2F06D7EC">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对生产设备进行维护时，会产生废矿物油，在运行过程中会有少量废弃的含油抹布和劳保用品，废矿物油产生量约为1t/a，废弃的含油抹布和劳保用品产生量约为0.05t/a。除此之外还有少量废油桶产生，产生量约为0.2t/a。废矿物油及废弃的含油抹布和劳保用品委托有相关资质的单位进行处理，废油桶回用于废包装容器及废金属机油滤芯综合利用线处理。</w:t>
      </w:r>
    </w:p>
    <w:p w14:paraId="3BFB8048">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5</w:t>
      </w:r>
      <w:r>
        <w:rPr>
          <w:rFonts w:hint="default" w:ascii="Times New Roman" w:hAnsi="Times New Roman" w:eastAsia="宋体" w:cs="Times New Roman"/>
          <w:sz w:val="24"/>
          <w:szCs w:val="21"/>
          <w:u w:val="single"/>
        </w:rPr>
        <w:t>）污水处理站污泥</w:t>
      </w:r>
    </w:p>
    <w:p w14:paraId="6BDF8E78">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本项目自建的污水处理站拟采用“</w:t>
      </w:r>
      <w:r>
        <w:rPr>
          <w:rFonts w:hint="default" w:ascii="Times New Roman" w:hAnsi="Times New Roman" w:eastAsia="宋体" w:cs="Times New Roman"/>
          <w:sz w:val="24"/>
          <w:szCs w:val="21"/>
          <w:u w:val="single"/>
          <w:lang w:eastAsia="zh-CN"/>
        </w:rPr>
        <w:t>pH调节+絮凝+气浮+芬顿氧化+水解酸化+AO处理+沉淀</w:t>
      </w:r>
      <w:r>
        <w:rPr>
          <w:rFonts w:hint="default" w:ascii="Times New Roman" w:hAnsi="Times New Roman" w:eastAsia="宋体" w:cs="Times New Roman"/>
          <w:sz w:val="24"/>
          <w:szCs w:val="21"/>
          <w:u w:val="single"/>
        </w:rPr>
        <w:t>”处理工艺处理各生产线清洗工序产生的废水，絮凝沉淀和AO工序将产生污泥（含水率95%以上），污泥经配套的压滤机压滤为干污泥后收集后分区暂存至危废贮存库，污泥（含水率95%）产生量按经验系数取污水处理量的</w:t>
      </w:r>
      <w:r>
        <w:rPr>
          <w:rFonts w:hint="default" w:ascii="Times New Roman" w:hAnsi="Times New Roman" w:eastAsia="宋体" w:cs="Times New Roman"/>
          <w:sz w:val="24"/>
          <w:szCs w:val="21"/>
          <w:u w:val="single"/>
          <w:lang w:val="en-US" w:eastAsia="zh-CN"/>
        </w:rPr>
        <w:t>5</w:t>
      </w:r>
      <w:r>
        <w:rPr>
          <w:rFonts w:hint="default" w:ascii="Times New Roman" w:hAnsi="Times New Roman" w:eastAsia="宋体" w:cs="Times New Roman"/>
          <w:sz w:val="24"/>
          <w:szCs w:val="21"/>
          <w:u w:val="single"/>
        </w:rPr>
        <w:t>%，湿污泥产生量为</w:t>
      </w:r>
      <w:r>
        <w:rPr>
          <w:rFonts w:hint="default" w:ascii="Times New Roman" w:hAnsi="Times New Roman" w:eastAsia="宋体" w:cs="Times New Roman"/>
          <w:sz w:val="24"/>
          <w:szCs w:val="21"/>
          <w:u w:val="single"/>
          <w:lang w:val="en-US" w:eastAsia="zh-CN"/>
        </w:rPr>
        <w:t>1.12</w:t>
      </w:r>
      <w:r>
        <w:rPr>
          <w:rFonts w:hint="default" w:ascii="Times New Roman" w:hAnsi="Times New Roman" w:eastAsia="宋体" w:cs="Times New Roman"/>
          <w:sz w:val="24"/>
          <w:szCs w:val="21"/>
          <w:u w:val="single"/>
        </w:rPr>
        <w:t>t/d，经压滤后的污泥（含水率约70%）量为0.1</w:t>
      </w:r>
      <w:r>
        <w:rPr>
          <w:rFonts w:hint="default" w:ascii="Times New Roman" w:hAnsi="Times New Roman" w:eastAsia="宋体" w:cs="Times New Roman"/>
          <w:sz w:val="24"/>
          <w:szCs w:val="21"/>
          <w:u w:val="single"/>
          <w:lang w:val="en-US" w:eastAsia="zh-CN"/>
        </w:rPr>
        <w:t>9</w:t>
      </w:r>
      <w:r>
        <w:rPr>
          <w:rFonts w:hint="default" w:ascii="Times New Roman" w:hAnsi="Times New Roman" w:eastAsia="宋体" w:cs="Times New Roman"/>
          <w:sz w:val="24"/>
          <w:szCs w:val="21"/>
          <w:u w:val="single"/>
        </w:rPr>
        <w:t>t/d、</w:t>
      </w:r>
      <w:r>
        <w:rPr>
          <w:rFonts w:hint="default" w:ascii="Times New Roman" w:hAnsi="Times New Roman" w:eastAsia="宋体" w:cs="Times New Roman"/>
          <w:sz w:val="24"/>
          <w:szCs w:val="21"/>
          <w:u w:val="single"/>
          <w:lang w:val="en-US" w:eastAsia="zh-CN"/>
        </w:rPr>
        <w:t>59.4</w:t>
      </w:r>
      <w:r>
        <w:rPr>
          <w:rFonts w:hint="default" w:ascii="Times New Roman" w:hAnsi="Times New Roman" w:eastAsia="宋体" w:cs="Times New Roman"/>
          <w:sz w:val="24"/>
          <w:szCs w:val="21"/>
          <w:u w:val="single"/>
        </w:rPr>
        <w:t>t/a。</w:t>
      </w:r>
    </w:p>
    <w:p w14:paraId="23490528">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6</w:t>
      </w:r>
      <w:r>
        <w:rPr>
          <w:rFonts w:hint="default" w:ascii="Times New Roman" w:hAnsi="Times New Roman" w:eastAsia="宋体" w:cs="Times New Roman"/>
          <w:sz w:val="24"/>
          <w:szCs w:val="21"/>
          <w:u w:val="single"/>
        </w:rPr>
        <w:t>）生活垃圾</w:t>
      </w:r>
    </w:p>
    <w:p w14:paraId="568203AA">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sz w:val="24"/>
          <w:szCs w:val="24"/>
          <w:u w:val="single"/>
        </w:rPr>
        <w:t>本项目劳动定员50人，</w:t>
      </w:r>
      <w:r>
        <w:rPr>
          <w:rFonts w:hint="default" w:ascii="Times New Roman" w:hAnsi="Times New Roman" w:eastAsia="宋体" w:cs="Times New Roman"/>
          <w:kern w:val="0"/>
          <w:sz w:val="24"/>
          <w:u w:val="single"/>
        </w:rPr>
        <w:t>员工生活垃圾产生量以1kg/d计，则新增生活垃圾产生量为50kg/d，即16.5t/a。</w:t>
      </w:r>
    </w:p>
    <w:p w14:paraId="73B00A3D">
      <w:pPr>
        <w:pStyle w:val="48"/>
        <w:spacing w:before="0" w:line="360" w:lineRule="auto"/>
        <w:rPr>
          <w:rFonts w:hint="default" w:ascii="Times New Roman" w:hAnsi="Times New Roman" w:eastAsia="宋体" w:cs="Times New Roman"/>
          <w:sz w:val="24"/>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sz w:val="24"/>
          <w:szCs w:val="21"/>
          <w:u w:val="single"/>
        </w:rPr>
        <w:t>项目废包装容器及废金属机油滤芯综合利用过程固废产生、处置情况汇总详见下表。</w:t>
      </w:r>
    </w:p>
    <w:p w14:paraId="7583BD8F">
      <w:pPr>
        <w:pStyle w:val="48"/>
        <w:spacing w:before="0" w:line="360" w:lineRule="auto"/>
        <w:ind w:firstLine="0" w:firstLineChars="0"/>
        <w:jc w:val="center"/>
        <w:rPr>
          <w:rFonts w:hint="default" w:ascii="Times New Roman" w:hAnsi="Times New Roman" w:eastAsia="宋体" w:cs="Times New Roman"/>
          <w:b/>
          <w:bCs/>
          <w:sz w:val="21"/>
          <w:szCs w:val="18"/>
          <w:u w:val="single"/>
        </w:rPr>
      </w:pPr>
      <w:r>
        <w:rPr>
          <w:rFonts w:hint="default" w:ascii="Times New Roman" w:hAnsi="Times New Roman" w:eastAsia="宋体" w:cs="Times New Roman"/>
          <w:b/>
          <w:bCs/>
          <w:sz w:val="21"/>
          <w:szCs w:val="18"/>
          <w:u w:val="single"/>
        </w:rPr>
        <w:t>表5.5-1</w:t>
      </w:r>
      <w:r>
        <w:rPr>
          <w:rFonts w:hint="default" w:ascii="Times New Roman" w:hAnsi="Times New Roman" w:eastAsia="宋体" w:cs="Times New Roman"/>
          <w:b/>
          <w:bCs/>
          <w:sz w:val="21"/>
          <w:szCs w:val="18"/>
          <w:u w:val="single"/>
          <w:lang w:val="en-US" w:eastAsia="zh-CN"/>
        </w:rPr>
        <w:t>5</w:t>
      </w:r>
      <w:r>
        <w:rPr>
          <w:rFonts w:hint="default" w:ascii="Times New Roman" w:hAnsi="Times New Roman" w:eastAsia="宋体" w:cs="Times New Roman"/>
          <w:b/>
          <w:bCs/>
          <w:sz w:val="21"/>
          <w:szCs w:val="18"/>
          <w:u w:val="single"/>
        </w:rPr>
        <w:t xml:space="preserve"> 固体废物产排量及处理措施一览表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59"/>
        <w:gridCol w:w="1410"/>
        <w:gridCol w:w="1128"/>
        <w:gridCol w:w="1973"/>
        <w:gridCol w:w="2958"/>
        <w:gridCol w:w="985"/>
        <w:gridCol w:w="2395"/>
        <w:gridCol w:w="985"/>
        <w:gridCol w:w="1595"/>
      </w:tblGrid>
      <w:tr w14:paraId="21F65F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200" w:type="pct"/>
            <w:vAlign w:val="center"/>
          </w:tcPr>
          <w:p w14:paraId="536E934A">
            <w:pPr>
              <w:pStyle w:val="60"/>
              <w:adjustRightInd w:val="0"/>
              <w:snapToGrid w:val="0"/>
              <w:rPr>
                <w:rFonts w:hint="default" w:ascii="Times New Roman" w:hAnsi="Times New Roman" w:eastAsia="宋体" w:cs="Times New Roman"/>
                <w:b/>
                <w:bCs/>
                <w:sz w:val="21"/>
                <w:u w:val="single"/>
                <w:lang w:eastAsia="en-US"/>
              </w:rPr>
            </w:pPr>
            <w:bookmarkStart w:id="294" w:name="_Hlk129383236"/>
            <w:r>
              <w:rPr>
                <w:rFonts w:hint="default" w:ascii="Times New Roman" w:hAnsi="Times New Roman" w:eastAsia="宋体" w:cs="Times New Roman"/>
                <w:b/>
                <w:bCs/>
                <w:sz w:val="21"/>
                <w:u w:val="single"/>
                <w:lang w:eastAsia="en-US"/>
              </w:rPr>
              <w:t>序号</w:t>
            </w:r>
          </w:p>
        </w:tc>
        <w:tc>
          <w:tcPr>
            <w:tcW w:w="504" w:type="pct"/>
            <w:vAlign w:val="center"/>
          </w:tcPr>
          <w:p w14:paraId="13CD1A14">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名称</w:t>
            </w:r>
          </w:p>
        </w:tc>
        <w:tc>
          <w:tcPr>
            <w:tcW w:w="403" w:type="pct"/>
            <w:vAlign w:val="center"/>
          </w:tcPr>
          <w:p w14:paraId="67765C7E">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形态</w:t>
            </w:r>
          </w:p>
        </w:tc>
        <w:tc>
          <w:tcPr>
            <w:tcW w:w="705" w:type="pct"/>
            <w:vAlign w:val="center"/>
          </w:tcPr>
          <w:p w14:paraId="3A3D2A89">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组分/成分</w:t>
            </w:r>
          </w:p>
        </w:tc>
        <w:tc>
          <w:tcPr>
            <w:tcW w:w="1057" w:type="pct"/>
            <w:vAlign w:val="center"/>
          </w:tcPr>
          <w:p w14:paraId="2679DB8B">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产生源/工序</w:t>
            </w:r>
          </w:p>
        </w:tc>
        <w:tc>
          <w:tcPr>
            <w:tcW w:w="352" w:type="pct"/>
            <w:vAlign w:val="center"/>
          </w:tcPr>
          <w:p w14:paraId="3E248B59">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类别</w:t>
            </w:r>
          </w:p>
        </w:tc>
        <w:tc>
          <w:tcPr>
            <w:tcW w:w="856" w:type="pct"/>
            <w:vAlign w:val="center"/>
          </w:tcPr>
          <w:p w14:paraId="0D292AEF">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危废代码</w:t>
            </w:r>
          </w:p>
        </w:tc>
        <w:tc>
          <w:tcPr>
            <w:tcW w:w="352" w:type="pct"/>
            <w:vAlign w:val="center"/>
          </w:tcPr>
          <w:p w14:paraId="507F6548">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产生量</w:t>
            </w:r>
          </w:p>
          <w:p w14:paraId="66DF4365">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（t/a）</w:t>
            </w:r>
          </w:p>
        </w:tc>
        <w:tc>
          <w:tcPr>
            <w:tcW w:w="570" w:type="pct"/>
            <w:vAlign w:val="center"/>
          </w:tcPr>
          <w:p w14:paraId="3A7041CD">
            <w:pPr>
              <w:pStyle w:val="60"/>
              <w:adjustRightInd w:val="0"/>
              <w:snapToGrid w:val="0"/>
              <w:rPr>
                <w:rFonts w:hint="default" w:ascii="Times New Roman" w:hAnsi="Times New Roman" w:eastAsia="宋体" w:cs="Times New Roman"/>
                <w:b/>
                <w:bCs/>
                <w:sz w:val="21"/>
                <w:u w:val="single"/>
                <w:lang w:eastAsia="en-US"/>
              </w:rPr>
            </w:pPr>
            <w:r>
              <w:rPr>
                <w:rFonts w:hint="default" w:ascii="Times New Roman" w:hAnsi="Times New Roman" w:eastAsia="宋体" w:cs="Times New Roman"/>
                <w:b/>
                <w:bCs/>
                <w:sz w:val="21"/>
                <w:u w:val="single"/>
                <w:lang w:eastAsia="en-US"/>
              </w:rPr>
              <w:t>处置方式</w:t>
            </w:r>
          </w:p>
        </w:tc>
      </w:tr>
      <w:tr w14:paraId="34480DF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089" w:hRule="atLeast"/>
        </w:trPr>
        <w:tc>
          <w:tcPr>
            <w:tcW w:w="200" w:type="pct"/>
            <w:vAlign w:val="center"/>
          </w:tcPr>
          <w:p w14:paraId="43F4E20A">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w:t>
            </w:r>
          </w:p>
        </w:tc>
        <w:tc>
          <w:tcPr>
            <w:tcW w:w="504" w:type="pct"/>
            <w:vAlign w:val="center"/>
          </w:tcPr>
          <w:p w14:paraId="22DEA1F0">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废残液</w:t>
            </w:r>
          </w:p>
        </w:tc>
        <w:tc>
          <w:tcPr>
            <w:tcW w:w="403" w:type="pct"/>
            <w:vAlign w:val="center"/>
          </w:tcPr>
          <w:p w14:paraId="72E4AFFC">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液态</w:t>
            </w:r>
          </w:p>
        </w:tc>
        <w:tc>
          <w:tcPr>
            <w:tcW w:w="705" w:type="pct"/>
            <w:vAlign w:val="center"/>
          </w:tcPr>
          <w:p w14:paraId="48D0D6B1">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有机溶剂类、树脂 类、油漆类、油类物质等</w:t>
            </w:r>
          </w:p>
        </w:tc>
        <w:tc>
          <w:tcPr>
            <w:tcW w:w="1057" w:type="pct"/>
            <w:vAlign w:val="center"/>
          </w:tcPr>
          <w:p w14:paraId="3E9D5E24">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去残液工序（废包装容器、废金属容器、废金属机油滤芯）</w:t>
            </w:r>
          </w:p>
        </w:tc>
        <w:tc>
          <w:tcPr>
            <w:tcW w:w="352" w:type="pct"/>
            <w:vAlign w:val="center"/>
          </w:tcPr>
          <w:p w14:paraId="7B599E58">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HW06 HW08 HW12 HW13</w:t>
            </w:r>
          </w:p>
        </w:tc>
        <w:tc>
          <w:tcPr>
            <w:tcW w:w="856" w:type="pct"/>
            <w:vAlign w:val="center"/>
          </w:tcPr>
          <w:p w14:paraId="1AC3382A">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900-404-06（T，I，R）</w:t>
            </w:r>
          </w:p>
          <w:p w14:paraId="29DF125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900-249-08（T，I）</w:t>
            </w:r>
          </w:p>
          <w:p w14:paraId="560C7FCD">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900-256-12（T，I，C）</w:t>
            </w:r>
          </w:p>
          <w:p w14:paraId="76A16F63">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900-016-13（T）</w:t>
            </w:r>
          </w:p>
        </w:tc>
        <w:tc>
          <w:tcPr>
            <w:tcW w:w="352" w:type="pct"/>
            <w:vAlign w:val="center"/>
          </w:tcPr>
          <w:p w14:paraId="5E7DDB77">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367.2</w:t>
            </w:r>
          </w:p>
        </w:tc>
        <w:tc>
          <w:tcPr>
            <w:tcW w:w="570" w:type="pct"/>
            <w:vMerge w:val="restart"/>
            <w:vAlign w:val="center"/>
          </w:tcPr>
          <w:p w14:paraId="76D6003F">
            <w:pPr>
              <w:autoSpaceDE w:val="0"/>
              <w:autoSpaceDN w:val="0"/>
              <w:adjustRightInd w:val="0"/>
              <w:snapToGrid w:val="0"/>
              <w:jc w:val="center"/>
              <w:rPr>
                <w:rFonts w:hint="default" w:ascii="Times New Roman" w:hAnsi="Times New Roman" w:eastAsia="宋体" w:cs="Times New Roman"/>
                <w:kern w:val="0"/>
                <w:sz w:val="2"/>
                <w:szCs w:val="2"/>
                <w:u w:val="single"/>
                <w:lang w:eastAsia="zh-CN"/>
              </w:rPr>
            </w:pPr>
            <w:r>
              <w:rPr>
                <w:rFonts w:hint="default" w:ascii="Times New Roman" w:hAnsi="Times New Roman" w:eastAsia="宋体" w:cs="Times New Roman"/>
                <w:kern w:val="0"/>
                <w:sz w:val="21"/>
                <w:u w:val="single"/>
                <w:lang w:eastAsia="zh-CN"/>
              </w:rPr>
              <w:t>分类暂存至危废贮存库</w:t>
            </w:r>
          </w:p>
        </w:tc>
      </w:tr>
      <w:tr w14:paraId="2302B2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0" w:hRule="atLeast"/>
        </w:trPr>
        <w:tc>
          <w:tcPr>
            <w:tcW w:w="200" w:type="pct"/>
            <w:vAlign w:val="center"/>
          </w:tcPr>
          <w:p w14:paraId="4EB7FF1C">
            <w:pPr>
              <w:pStyle w:val="60"/>
              <w:adjustRightInd w:val="0"/>
              <w:snapToGrid w:val="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2</w:t>
            </w:r>
          </w:p>
        </w:tc>
        <w:tc>
          <w:tcPr>
            <w:tcW w:w="504" w:type="pct"/>
            <w:vAlign w:val="center"/>
          </w:tcPr>
          <w:p w14:paraId="27E141D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泄漏</w:t>
            </w:r>
            <w:r>
              <w:rPr>
                <w:rFonts w:hint="default" w:ascii="Times New Roman" w:hAnsi="Times New Roman" w:eastAsia="宋体" w:cs="Times New Roman"/>
                <w:u w:val="single"/>
                <w:lang w:val="en-US" w:eastAsia="zh-CN"/>
              </w:rPr>
              <w:t>含铅</w:t>
            </w:r>
            <w:r>
              <w:rPr>
                <w:rFonts w:hint="default" w:ascii="Times New Roman" w:hAnsi="Times New Roman" w:eastAsia="宋体" w:cs="Times New Roman"/>
                <w:sz w:val="21"/>
                <w:u w:val="single"/>
                <w:lang w:eastAsia="en-US"/>
              </w:rPr>
              <w:t>电解液</w:t>
            </w:r>
          </w:p>
        </w:tc>
        <w:tc>
          <w:tcPr>
            <w:tcW w:w="403" w:type="pct"/>
            <w:vAlign w:val="center"/>
          </w:tcPr>
          <w:p w14:paraId="387A909D">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液态</w:t>
            </w:r>
          </w:p>
        </w:tc>
        <w:tc>
          <w:tcPr>
            <w:tcW w:w="705" w:type="pct"/>
            <w:vAlign w:val="center"/>
          </w:tcPr>
          <w:p w14:paraId="5571A363">
            <w:pPr>
              <w:pStyle w:val="60"/>
              <w:adjustRightInd w:val="0"/>
              <w:snapToGrid w:val="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含铅废液</w:t>
            </w:r>
          </w:p>
        </w:tc>
        <w:tc>
          <w:tcPr>
            <w:tcW w:w="1057" w:type="pct"/>
            <w:vAlign w:val="center"/>
          </w:tcPr>
          <w:p w14:paraId="373D4D90">
            <w:pPr>
              <w:pStyle w:val="60"/>
              <w:adjustRightInd w:val="0"/>
              <w:snapToGrid w:val="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铅蓄电池贮存</w:t>
            </w:r>
          </w:p>
        </w:tc>
        <w:tc>
          <w:tcPr>
            <w:tcW w:w="352" w:type="pct"/>
            <w:vAlign w:val="center"/>
          </w:tcPr>
          <w:p w14:paraId="79FDDF72">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HW31</w:t>
            </w:r>
          </w:p>
        </w:tc>
        <w:tc>
          <w:tcPr>
            <w:tcW w:w="856" w:type="pct"/>
            <w:vAlign w:val="center"/>
          </w:tcPr>
          <w:p w14:paraId="5BBDCB10">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900-052-31（T，I）</w:t>
            </w:r>
          </w:p>
        </w:tc>
        <w:tc>
          <w:tcPr>
            <w:tcW w:w="352" w:type="pct"/>
            <w:vAlign w:val="center"/>
          </w:tcPr>
          <w:p w14:paraId="4D609CE0">
            <w:pPr>
              <w:pStyle w:val="60"/>
              <w:adjustRightInd w:val="0"/>
              <w:snapToGrid w:val="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0.2</w:t>
            </w:r>
          </w:p>
        </w:tc>
        <w:tc>
          <w:tcPr>
            <w:tcW w:w="570" w:type="pct"/>
            <w:vMerge w:val="continue"/>
            <w:vAlign w:val="center"/>
          </w:tcPr>
          <w:p w14:paraId="792FFAA2">
            <w:pPr>
              <w:autoSpaceDE w:val="0"/>
              <w:autoSpaceDN w:val="0"/>
              <w:adjustRightInd w:val="0"/>
              <w:snapToGrid w:val="0"/>
              <w:jc w:val="center"/>
              <w:rPr>
                <w:rFonts w:hint="default" w:ascii="Times New Roman" w:hAnsi="Times New Roman" w:eastAsia="宋体" w:cs="Times New Roman"/>
                <w:kern w:val="0"/>
                <w:sz w:val="21"/>
                <w:u w:val="single"/>
                <w:lang w:eastAsia="zh-CN"/>
              </w:rPr>
            </w:pPr>
          </w:p>
        </w:tc>
      </w:tr>
      <w:tr w14:paraId="3C6DB0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200" w:type="pct"/>
            <w:vAlign w:val="center"/>
          </w:tcPr>
          <w:p w14:paraId="773B7F96">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val="en-US" w:eastAsia="zh-CN"/>
              </w:rPr>
              <w:t>3</w:t>
            </w:r>
          </w:p>
        </w:tc>
        <w:tc>
          <w:tcPr>
            <w:tcW w:w="504" w:type="pct"/>
            <w:vAlign w:val="center"/>
          </w:tcPr>
          <w:p w14:paraId="0B40D4A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废滤纸</w:t>
            </w:r>
          </w:p>
        </w:tc>
        <w:tc>
          <w:tcPr>
            <w:tcW w:w="403" w:type="pct"/>
            <w:vAlign w:val="center"/>
          </w:tcPr>
          <w:p w14:paraId="2CE913EA">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固态</w:t>
            </w:r>
          </w:p>
        </w:tc>
        <w:tc>
          <w:tcPr>
            <w:tcW w:w="705" w:type="pct"/>
            <w:vAlign w:val="center"/>
          </w:tcPr>
          <w:p w14:paraId="009B1FD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油类、废纸</w:t>
            </w:r>
          </w:p>
        </w:tc>
        <w:tc>
          <w:tcPr>
            <w:tcW w:w="1057" w:type="pct"/>
            <w:vAlign w:val="center"/>
          </w:tcPr>
          <w:p w14:paraId="1DAD6CAE">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去残液工序</w:t>
            </w:r>
          </w:p>
          <w:p w14:paraId="7438E16F">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（废金属机油滤芯）</w:t>
            </w:r>
          </w:p>
        </w:tc>
        <w:tc>
          <w:tcPr>
            <w:tcW w:w="352" w:type="pct"/>
            <w:vAlign w:val="center"/>
          </w:tcPr>
          <w:p w14:paraId="4737D785">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HW08</w:t>
            </w:r>
          </w:p>
        </w:tc>
        <w:tc>
          <w:tcPr>
            <w:tcW w:w="856" w:type="pct"/>
            <w:vAlign w:val="center"/>
          </w:tcPr>
          <w:p w14:paraId="7D177F52">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900-249-08（T，I）</w:t>
            </w:r>
          </w:p>
        </w:tc>
        <w:tc>
          <w:tcPr>
            <w:tcW w:w="352" w:type="pct"/>
            <w:vAlign w:val="center"/>
          </w:tcPr>
          <w:p w14:paraId="3D0ACA33">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500</w:t>
            </w:r>
          </w:p>
        </w:tc>
        <w:tc>
          <w:tcPr>
            <w:tcW w:w="570" w:type="pct"/>
            <w:vMerge w:val="continue"/>
            <w:vAlign w:val="center"/>
          </w:tcPr>
          <w:p w14:paraId="0AD8D364">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r>
      <w:tr w14:paraId="3C291DC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200" w:type="pct"/>
            <w:vAlign w:val="center"/>
          </w:tcPr>
          <w:p w14:paraId="312719F1">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val="en-US" w:eastAsia="zh-CN"/>
              </w:rPr>
              <w:t>4</w:t>
            </w:r>
          </w:p>
        </w:tc>
        <w:tc>
          <w:tcPr>
            <w:tcW w:w="504" w:type="pct"/>
            <w:vAlign w:val="center"/>
          </w:tcPr>
          <w:p w14:paraId="1D69327D">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废渣</w:t>
            </w:r>
          </w:p>
        </w:tc>
        <w:tc>
          <w:tcPr>
            <w:tcW w:w="403" w:type="pct"/>
            <w:vAlign w:val="center"/>
          </w:tcPr>
          <w:p w14:paraId="3AC970CC">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固态</w:t>
            </w:r>
          </w:p>
        </w:tc>
        <w:tc>
          <w:tcPr>
            <w:tcW w:w="705" w:type="pct"/>
            <w:vAlign w:val="center"/>
          </w:tcPr>
          <w:p w14:paraId="38844757">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杂质、油类等</w:t>
            </w:r>
          </w:p>
        </w:tc>
        <w:tc>
          <w:tcPr>
            <w:tcW w:w="1057" w:type="pct"/>
            <w:vAlign w:val="center"/>
          </w:tcPr>
          <w:p w14:paraId="32451F15">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磁选分离工序、沉浮分离工序、沉浮漂洗工序</w:t>
            </w:r>
          </w:p>
        </w:tc>
        <w:tc>
          <w:tcPr>
            <w:tcW w:w="352" w:type="pct"/>
            <w:vAlign w:val="center"/>
          </w:tcPr>
          <w:p w14:paraId="77F282FB">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HW08</w:t>
            </w:r>
          </w:p>
        </w:tc>
        <w:tc>
          <w:tcPr>
            <w:tcW w:w="856" w:type="pct"/>
            <w:vAlign w:val="center"/>
          </w:tcPr>
          <w:p w14:paraId="45B863BD">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900-213-08（T，I）</w:t>
            </w:r>
          </w:p>
        </w:tc>
        <w:tc>
          <w:tcPr>
            <w:tcW w:w="352" w:type="pct"/>
            <w:vAlign w:val="center"/>
          </w:tcPr>
          <w:p w14:paraId="13E97AD6">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22</w:t>
            </w:r>
          </w:p>
        </w:tc>
        <w:tc>
          <w:tcPr>
            <w:tcW w:w="570" w:type="pct"/>
            <w:vMerge w:val="continue"/>
            <w:vAlign w:val="center"/>
          </w:tcPr>
          <w:p w14:paraId="13C53B05">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r>
      <w:tr w14:paraId="6A71EB4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200" w:type="pct"/>
            <w:vAlign w:val="center"/>
          </w:tcPr>
          <w:p w14:paraId="3545C2B0">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val="en-US" w:eastAsia="zh-CN"/>
              </w:rPr>
              <w:t>5</w:t>
            </w:r>
          </w:p>
        </w:tc>
        <w:tc>
          <w:tcPr>
            <w:tcW w:w="504" w:type="pct"/>
            <w:vAlign w:val="center"/>
          </w:tcPr>
          <w:p w14:paraId="270D56D7">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废活性炭</w:t>
            </w:r>
          </w:p>
        </w:tc>
        <w:tc>
          <w:tcPr>
            <w:tcW w:w="403" w:type="pct"/>
            <w:vAlign w:val="center"/>
          </w:tcPr>
          <w:p w14:paraId="120C99D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固态</w:t>
            </w:r>
          </w:p>
        </w:tc>
        <w:tc>
          <w:tcPr>
            <w:tcW w:w="705" w:type="pct"/>
            <w:vAlign w:val="center"/>
          </w:tcPr>
          <w:p w14:paraId="2814C05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有机化合物</w:t>
            </w:r>
          </w:p>
        </w:tc>
        <w:tc>
          <w:tcPr>
            <w:tcW w:w="1057" w:type="pct"/>
            <w:vAlign w:val="center"/>
          </w:tcPr>
          <w:p w14:paraId="7AC61C6C">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废气处理装置</w:t>
            </w:r>
          </w:p>
        </w:tc>
        <w:tc>
          <w:tcPr>
            <w:tcW w:w="352" w:type="pct"/>
            <w:vAlign w:val="center"/>
          </w:tcPr>
          <w:p w14:paraId="5A959C05">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HW49</w:t>
            </w:r>
          </w:p>
        </w:tc>
        <w:tc>
          <w:tcPr>
            <w:tcW w:w="856" w:type="pct"/>
            <w:vAlign w:val="center"/>
          </w:tcPr>
          <w:p w14:paraId="0B4B470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900-039-49（T）</w:t>
            </w:r>
          </w:p>
        </w:tc>
        <w:tc>
          <w:tcPr>
            <w:tcW w:w="352" w:type="pct"/>
            <w:vAlign w:val="center"/>
          </w:tcPr>
          <w:p w14:paraId="3A9AF5E6">
            <w:pPr>
              <w:pStyle w:val="60"/>
              <w:adjustRightInd w:val="0"/>
              <w:snapToGrid w:val="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0.2</w:t>
            </w:r>
          </w:p>
        </w:tc>
        <w:tc>
          <w:tcPr>
            <w:tcW w:w="570" w:type="pct"/>
            <w:vMerge w:val="continue"/>
            <w:vAlign w:val="center"/>
          </w:tcPr>
          <w:p w14:paraId="4C322BCC">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r>
      <w:tr w14:paraId="3C79470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200" w:type="pct"/>
            <w:vAlign w:val="center"/>
          </w:tcPr>
          <w:p w14:paraId="55291364">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val="en-US" w:eastAsia="zh-CN"/>
              </w:rPr>
              <w:t>6</w:t>
            </w:r>
          </w:p>
        </w:tc>
        <w:tc>
          <w:tcPr>
            <w:tcW w:w="504" w:type="pct"/>
            <w:vAlign w:val="center"/>
          </w:tcPr>
          <w:p w14:paraId="3263746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废矿物油</w:t>
            </w:r>
          </w:p>
        </w:tc>
        <w:tc>
          <w:tcPr>
            <w:tcW w:w="403" w:type="pct"/>
            <w:vAlign w:val="center"/>
          </w:tcPr>
          <w:p w14:paraId="61D3345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固态</w:t>
            </w:r>
          </w:p>
        </w:tc>
        <w:tc>
          <w:tcPr>
            <w:tcW w:w="705" w:type="pct"/>
            <w:vAlign w:val="center"/>
          </w:tcPr>
          <w:p w14:paraId="3683A086">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油类物质</w:t>
            </w:r>
          </w:p>
        </w:tc>
        <w:tc>
          <w:tcPr>
            <w:tcW w:w="1057" w:type="pct"/>
            <w:vAlign w:val="center"/>
          </w:tcPr>
          <w:p w14:paraId="482862F9">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设备维护</w:t>
            </w:r>
          </w:p>
        </w:tc>
        <w:tc>
          <w:tcPr>
            <w:tcW w:w="352" w:type="pct"/>
            <w:vAlign w:val="center"/>
          </w:tcPr>
          <w:p w14:paraId="05A2E2B2">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HW08</w:t>
            </w:r>
          </w:p>
        </w:tc>
        <w:tc>
          <w:tcPr>
            <w:tcW w:w="856" w:type="pct"/>
            <w:vAlign w:val="center"/>
          </w:tcPr>
          <w:p w14:paraId="44978D77">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900-249-08（T，I）</w:t>
            </w:r>
          </w:p>
        </w:tc>
        <w:tc>
          <w:tcPr>
            <w:tcW w:w="352" w:type="pct"/>
            <w:vAlign w:val="center"/>
          </w:tcPr>
          <w:p w14:paraId="1A2A9F9A">
            <w:pPr>
              <w:pStyle w:val="60"/>
              <w:adjustRightInd w:val="0"/>
              <w:snapToGrid w:val="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val="en-US" w:eastAsia="zh-CN"/>
              </w:rPr>
              <w:t>1.5</w:t>
            </w:r>
          </w:p>
        </w:tc>
        <w:tc>
          <w:tcPr>
            <w:tcW w:w="570" w:type="pct"/>
            <w:vMerge w:val="continue"/>
            <w:vAlign w:val="center"/>
          </w:tcPr>
          <w:p w14:paraId="0BB2AFB3">
            <w:pPr>
              <w:pStyle w:val="60"/>
              <w:adjustRightInd w:val="0"/>
              <w:snapToGrid w:val="0"/>
              <w:rPr>
                <w:rFonts w:hint="default" w:ascii="Times New Roman" w:hAnsi="Times New Roman" w:eastAsia="宋体" w:cs="Times New Roman"/>
                <w:sz w:val="21"/>
                <w:u w:val="single"/>
                <w:lang w:eastAsia="zh-CN"/>
              </w:rPr>
            </w:pPr>
          </w:p>
        </w:tc>
      </w:tr>
      <w:tr w14:paraId="64BBC9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200" w:type="pct"/>
            <w:vAlign w:val="center"/>
          </w:tcPr>
          <w:p w14:paraId="497F9D2C">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val="en-US" w:eastAsia="zh-CN"/>
              </w:rPr>
              <w:t>7</w:t>
            </w:r>
          </w:p>
        </w:tc>
        <w:tc>
          <w:tcPr>
            <w:tcW w:w="504" w:type="pct"/>
            <w:vAlign w:val="center"/>
          </w:tcPr>
          <w:p w14:paraId="7AF1E99B">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废弃的含油抹布和劳保用品</w:t>
            </w:r>
          </w:p>
        </w:tc>
        <w:tc>
          <w:tcPr>
            <w:tcW w:w="403" w:type="pct"/>
            <w:vAlign w:val="center"/>
          </w:tcPr>
          <w:p w14:paraId="751470FC">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固态</w:t>
            </w:r>
          </w:p>
        </w:tc>
        <w:tc>
          <w:tcPr>
            <w:tcW w:w="705" w:type="pct"/>
            <w:vAlign w:val="center"/>
          </w:tcPr>
          <w:p w14:paraId="52A743E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棉质</w:t>
            </w:r>
          </w:p>
        </w:tc>
        <w:tc>
          <w:tcPr>
            <w:tcW w:w="1057" w:type="pct"/>
            <w:vAlign w:val="center"/>
          </w:tcPr>
          <w:p w14:paraId="0A33E0A6">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设备清洁</w:t>
            </w:r>
          </w:p>
        </w:tc>
        <w:tc>
          <w:tcPr>
            <w:tcW w:w="352" w:type="pct"/>
            <w:vAlign w:val="center"/>
          </w:tcPr>
          <w:p w14:paraId="3BC6536E">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HW49</w:t>
            </w:r>
          </w:p>
        </w:tc>
        <w:tc>
          <w:tcPr>
            <w:tcW w:w="856" w:type="pct"/>
            <w:vAlign w:val="center"/>
          </w:tcPr>
          <w:p w14:paraId="1BC913CD">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900-041-49（T/In）</w:t>
            </w:r>
          </w:p>
        </w:tc>
        <w:tc>
          <w:tcPr>
            <w:tcW w:w="352" w:type="pct"/>
            <w:vAlign w:val="center"/>
          </w:tcPr>
          <w:p w14:paraId="7192326C">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0.05</w:t>
            </w:r>
          </w:p>
        </w:tc>
        <w:tc>
          <w:tcPr>
            <w:tcW w:w="570" w:type="pct"/>
            <w:vMerge w:val="continue"/>
            <w:vAlign w:val="center"/>
          </w:tcPr>
          <w:p w14:paraId="55E93243">
            <w:pPr>
              <w:autoSpaceDE w:val="0"/>
              <w:autoSpaceDN w:val="0"/>
              <w:adjustRightInd w:val="0"/>
              <w:snapToGrid w:val="0"/>
              <w:jc w:val="center"/>
              <w:rPr>
                <w:rFonts w:hint="default" w:ascii="Times New Roman" w:hAnsi="Times New Roman" w:eastAsia="宋体" w:cs="Times New Roman"/>
                <w:kern w:val="0"/>
                <w:sz w:val="2"/>
                <w:szCs w:val="2"/>
                <w:u w:val="single"/>
                <w:lang w:eastAsia="en-US"/>
              </w:rPr>
            </w:pPr>
          </w:p>
        </w:tc>
      </w:tr>
      <w:tr w14:paraId="0661C99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200" w:type="pct"/>
            <w:vAlign w:val="center"/>
          </w:tcPr>
          <w:p w14:paraId="124FD6C2">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val="en-US" w:eastAsia="zh-CN"/>
              </w:rPr>
              <w:t>8</w:t>
            </w:r>
          </w:p>
        </w:tc>
        <w:tc>
          <w:tcPr>
            <w:tcW w:w="504" w:type="pct"/>
            <w:vAlign w:val="center"/>
          </w:tcPr>
          <w:p w14:paraId="0F1093E4">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废油桶</w:t>
            </w:r>
          </w:p>
        </w:tc>
        <w:tc>
          <w:tcPr>
            <w:tcW w:w="403" w:type="pct"/>
            <w:vAlign w:val="center"/>
          </w:tcPr>
          <w:p w14:paraId="236918B7">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固态</w:t>
            </w:r>
          </w:p>
        </w:tc>
        <w:tc>
          <w:tcPr>
            <w:tcW w:w="705" w:type="pct"/>
            <w:vAlign w:val="center"/>
          </w:tcPr>
          <w:p w14:paraId="3CC607B2">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油类物质</w:t>
            </w:r>
          </w:p>
        </w:tc>
        <w:tc>
          <w:tcPr>
            <w:tcW w:w="1057" w:type="pct"/>
            <w:vAlign w:val="center"/>
          </w:tcPr>
          <w:p w14:paraId="2FDFD682">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矿物油储存</w:t>
            </w:r>
          </w:p>
        </w:tc>
        <w:tc>
          <w:tcPr>
            <w:tcW w:w="352" w:type="pct"/>
            <w:vAlign w:val="center"/>
          </w:tcPr>
          <w:p w14:paraId="43752464">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HW08</w:t>
            </w:r>
          </w:p>
        </w:tc>
        <w:tc>
          <w:tcPr>
            <w:tcW w:w="856" w:type="pct"/>
            <w:vAlign w:val="center"/>
          </w:tcPr>
          <w:p w14:paraId="179884D1">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900-249-08（T，I）</w:t>
            </w:r>
          </w:p>
        </w:tc>
        <w:tc>
          <w:tcPr>
            <w:tcW w:w="352" w:type="pct"/>
            <w:vAlign w:val="center"/>
          </w:tcPr>
          <w:p w14:paraId="48A8C67F">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0.2</w:t>
            </w:r>
          </w:p>
        </w:tc>
        <w:tc>
          <w:tcPr>
            <w:tcW w:w="570" w:type="pct"/>
            <w:vAlign w:val="center"/>
          </w:tcPr>
          <w:p w14:paraId="026C2FC8">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暂存至危废贮存库，</w:t>
            </w:r>
            <w:r>
              <w:rPr>
                <w:rFonts w:hint="default" w:ascii="Times New Roman" w:hAnsi="Times New Roman" w:eastAsia="宋体" w:cs="Times New Roman"/>
                <w:sz w:val="21"/>
                <w:u w:val="single"/>
                <w:lang w:val="en-US" w:eastAsia="zh-CN"/>
              </w:rPr>
              <w:t>之后作为项目</w:t>
            </w:r>
            <w:r>
              <w:rPr>
                <w:rFonts w:hint="default" w:ascii="Times New Roman" w:hAnsi="Times New Roman" w:eastAsia="宋体" w:cs="Times New Roman"/>
                <w:sz w:val="21"/>
                <w:u w:val="single"/>
                <w:lang w:eastAsia="zh-CN"/>
              </w:rPr>
              <w:t>废包装容器</w:t>
            </w:r>
            <w:r>
              <w:rPr>
                <w:rFonts w:hint="default" w:ascii="Times New Roman" w:hAnsi="Times New Roman" w:eastAsia="宋体" w:cs="Times New Roman"/>
                <w:sz w:val="21"/>
                <w:u w:val="single"/>
                <w:lang w:val="en-US" w:eastAsia="zh-CN"/>
              </w:rPr>
              <w:t>原料进行再生</w:t>
            </w:r>
            <w:r>
              <w:rPr>
                <w:rFonts w:hint="default" w:ascii="Times New Roman" w:hAnsi="Times New Roman" w:eastAsia="宋体" w:cs="Times New Roman"/>
                <w:sz w:val="21"/>
                <w:u w:val="single"/>
                <w:lang w:eastAsia="zh-CN"/>
              </w:rPr>
              <w:t>利用</w:t>
            </w:r>
          </w:p>
        </w:tc>
      </w:tr>
      <w:tr w14:paraId="372F2A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6" w:hRule="atLeast"/>
        </w:trPr>
        <w:tc>
          <w:tcPr>
            <w:tcW w:w="200" w:type="pct"/>
            <w:vAlign w:val="center"/>
          </w:tcPr>
          <w:p w14:paraId="63D71601">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val="en-US" w:eastAsia="zh-CN"/>
              </w:rPr>
              <w:t>9</w:t>
            </w:r>
          </w:p>
        </w:tc>
        <w:tc>
          <w:tcPr>
            <w:tcW w:w="504" w:type="pct"/>
            <w:vAlign w:val="center"/>
          </w:tcPr>
          <w:p w14:paraId="2375B467">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污水处理站污泥</w:t>
            </w:r>
          </w:p>
        </w:tc>
        <w:tc>
          <w:tcPr>
            <w:tcW w:w="403" w:type="pct"/>
            <w:vAlign w:val="center"/>
          </w:tcPr>
          <w:p w14:paraId="590B75F7">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固态</w:t>
            </w:r>
          </w:p>
        </w:tc>
        <w:tc>
          <w:tcPr>
            <w:tcW w:w="705" w:type="pct"/>
            <w:vAlign w:val="center"/>
          </w:tcPr>
          <w:p w14:paraId="6E940278">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油类物质</w:t>
            </w:r>
            <w:r>
              <w:rPr>
                <w:rFonts w:hint="default" w:ascii="Times New Roman" w:hAnsi="Times New Roman" w:eastAsia="宋体" w:cs="Times New Roman"/>
                <w:sz w:val="21"/>
                <w:u w:val="single"/>
                <w:lang w:eastAsia="zh-CN"/>
              </w:rPr>
              <w:t>等</w:t>
            </w:r>
          </w:p>
        </w:tc>
        <w:tc>
          <w:tcPr>
            <w:tcW w:w="1057" w:type="pct"/>
            <w:vAlign w:val="center"/>
          </w:tcPr>
          <w:p w14:paraId="59629DEF">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zh-CN"/>
              </w:rPr>
              <w:t>絮凝沉淀</w:t>
            </w:r>
          </w:p>
        </w:tc>
        <w:tc>
          <w:tcPr>
            <w:tcW w:w="352" w:type="pct"/>
            <w:vAlign w:val="center"/>
          </w:tcPr>
          <w:p w14:paraId="674D9C9F">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HW08</w:t>
            </w:r>
          </w:p>
        </w:tc>
        <w:tc>
          <w:tcPr>
            <w:tcW w:w="856" w:type="pct"/>
            <w:vAlign w:val="center"/>
          </w:tcPr>
          <w:p w14:paraId="7CD6BEDA">
            <w:pPr>
              <w:pStyle w:val="60"/>
              <w:adjustRightInd w:val="0"/>
              <w:snapToGrid w:val="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900-210-08（T，I）</w:t>
            </w:r>
          </w:p>
        </w:tc>
        <w:tc>
          <w:tcPr>
            <w:tcW w:w="352" w:type="pct"/>
            <w:vAlign w:val="center"/>
          </w:tcPr>
          <w:p w14:paraId="40F28524">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59.4</w:t>
            </w:r>
          </w:p>
        </w:tc>
        <w:tc>
          <w:tcPr>
            <w:tcW w:w="570" w:type="pct"/>
            <w:vAlign w:val="center"/>
          </w:tcPr>
          <w:p w14:paraId="50668FEC">
            <w:pPr>
              <w:pStyle w:val="60"/>
              <w:adjustRightInd w:val="0"/>
              <w:snapToGrid w:val="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暂存至危废贮存库</w:t>
            </w:r>
          </w:p>
        </w:tc>
      </w:tr>
      <w:bookmarkEnd w:id="294"/>
    </w:tbl>
    <w:p w14:paraId="4ACF70BB">
      <w:pPr>
        <w:pStyle w:val="48"/>
        <w:spacing w:before="0" w:line="360" w:lineRule="auto"/>
        <w:ind w:firstLine="0" w:firstLineChars="0"/>
        <w:jc w:val="center"/>
        <w:rPr>
          <w:rFonts w:hint="default" w:ascii="Times New Roman" w:hAnsi="Times New Roman" w:eastAsia="宋体" w:cs="Times New Roman"/>
          <w:sz w:val="24"/>
          <w:szCs w:val="21"/>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425" w:num="1"/>
          <w:docGrid w:type="lines" w:linePitch="312" w:charSpace="0"/>
        </w:sectPr>
      </w:pPr>
    </w:p>
    <w:p w14:paraId="471B161D">
      <w:pPr>
        <w:pStyle w:val="5"/>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color w:val="000000"/>
          <w:sz w:val="24"/>
          <w:u w:val="single"/>
        </w:rPr>
      </w:pPr>
      <w:r>
        <w:rPr>
          <w:rFonts w:hint="default" w:ascii="Times New Roman" w:hAnsi="Times New Roman" w:eastAsia="宋体" w:cs="Times New Roman"/>
          <w:sz w:val="24"/>
          <w:u w:val="single"/>
        </w:rPr>
        <w:t>5.5.</w:t>
      </w:r>
      <w:r>
        <w:rPr>
          <w:rFonts w:hint="default" w:ascii="Times New Roman" w:hAnsi="Times New Roman" w:eastAsia="宋体" w:cs="Times New Roman"/>
          <w:sz w:val="24"/>
          <w:u w:val="single"/>
          <w:lang w:val="en-US" w:eastAsia="zh-CN"/>
        </w:rPr>
        <w:t>2.</w:t>
      </w:r>
      <w:r>
        <w:rPr>
          <w:rFonts w:hint="default" w:ascii="Times New Roman" w:hAnsi="Times New Roman" w:eastAsia="宋体" w:cs="Times New Roman"/>
          <w:sz w:val="24"/>
          <w:u w:val="single"/>
        </w:rPr>
        <w:t>5</w:t>
      </w:r>
      <w:r>
        <w:rPr>
          <w:rFonts w:hint="default" w:ascii="Times New Roman" w:hAnsi="Times New Roman" w:eastAsia="宋体" w:cs="Times New Roman"/>
          <w:sz w:val="24"/>
          <w:u w:val="single"/>
          <w:lang w:val="en-US" w:eastAsia="zh-CN"/>
        </w:rPr>
        <w:t>扩建部分</w:t>
      </w:r>
      <w:r>
        <w:rPr>
          <w:rFonts w:hint="default" w:ascii="Times New Roman" w:hAnsi="Times New Roman" w:eastAsia="宋体" w:cs="Times New Roman"/>
          <w:color w:val="000000"/>
          <w:sz w:val="24"/>
          <w:u w:val="single"/>
        </w:rPr>
        <w:t>污染源强统计</w:t>
      </w:r>
    </w:p>
    <w:p w14:paraId="7FC3F2DC">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u w:val="single"/>
        </w:rPr>
      </w:pPr>
      <w:r>
        <w:rPr>
          <w:rFonts w:hint="default" w:ascii="Times New Roman" w:hAnsi="Times New Roman" w:eastAsia="宋体" w:cs="Times New Roman"/>
          <w:b/>
          <w:u w:val="single"/>
        </w:rPr>
        <w:t>表5.5-1</w:t>
      </w:r>
      <w:r>
        <w:rPr>
          <w:rFonts w:hint="default" w:ascii="Times New Roman" w:hAnsi="Times New Roman" w:eastAsia="宋体" w:cs="Times New Roman"/>
          <w:b/>
          <w:u w:val="single"/>
          <w:lang w:val="en-US" w:eastAsia="zh-CN"/>
        </w:rPr>
        <w:t>6</w:t>
      </w:r>
      <w:r>
        <w:rPr>
          <w:rFonts w:hint="default" w:ascii="Times New Roman" w:hAnsi="Times New Roman" w:eastAsia="宋体" w:cs="Times New Roman"/>
          <w:b/>
          <w:u w:val="single"/>
        </w:rPr>
        <w:t xml:space="preserve">  本项目扩建部分污染物汇总</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1"/>
        <w:gridCol w:w="1160"/>
        <w:gridCol w:w="1168"/>
        <w:gridCol w:w="1144"/>
        <w:gridCol w:w="975"/>
        <w:gridCol w:w="975"/>
        <w:gridCol w:w="1162"/>
        <w:gridCol w:w="1157"/>
      </w:tblGrid>
      <w:tr w14:paraId="62FF32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Align w:val="center"/>
          </w:tcPr>
          <w:p w14:paraId="0F5BA41F">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bookmarkStart w:id="295" w:name="_Hlk132720245"/>
            <w:r>
              <w:rPr>
                <w:rFonts w:hint="default" w:ascii="Times New Roman" w:hAnsi="Times New Roman" w:eastAsia="宋体" w:cs="Times New Roman"/>
                <w:b/>
                <w:kern w:val="0"/>
                <w:szCs w:val="21"/>
                <w:u w:val="single"/>
              </w:rPr>
              <w:t>类别</w:t>
            </w:r>
          </w:p>
        </w:tc>
        <w:tc>
          <w:tcPr>
            <w:tcW w:w="680" w:type="pct"/>
            <w:vAlign w:val="center"/>
          </w:tcPr>
          <w:p w14:paraId="631301EC">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排放源</w:t>
            </w:r>
          </w:p>
        </w:tc>
        <w:tc>
          <w:tcPr>
            <w:tcW w:w="685" w:type="pct"/>
            <w:vAlign w:val="center"/>
          </w:tcPr>
          <w:p w14:paraId="30EABE4B">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污染物</w:t>
            </w:r>
          </w:p>
        </w:tc>
        <w:tc>
          <w:tcPr>
            <w:tcW w:w="671" w:type="pct"/>
            <w:vAlign w:val="center"/>
          </w:tcPr>
          <w:p w14:paraId="5D479CB6">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产生量t/a</w:t>
            </w:r>
          </w:p>
        </w:tc>
        <w:tc>
          <w:tcPr>
            <w:tcW w:w="572" w:type="pct"/>
            <w:vAlign w:val="center"/>
          </w:tcPr>
          <w:p w14:paraId="0D0A2663">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产生浓度mg/m</w:t>
            </w:r>
            <w:r>
              <w:rPr>
                <w:rFonts w:hint="default" w:ascii="Times New Roman" w:hAnsi="Times New Roman" w:eastAsia="宋体" w:cs="Times New Roman"/>
                <w:b/>
                <w:kern w:val="0"/>
                <w:szCs w:val="21"/>
                <w:u w:val="single"/>
                <w:vertAlign w:val="superscript"/>
              </w:rPr>
              <w:t>3</w:t>
            </w:r>
          </w:p>
        </w:tc>
        <w:tc>
          <w:tcPr>
            <w:tcW w:w="572" w:type="pct"/>
            <w:vAlign w:val="center"/>
          </w:tcPr>
          <w:p w14:paraId="540640AA">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排放量t/a</w:t>
            </w:r>
          </w:p>
        </w:tc>
        <w:tc>
          <w:tcPr>
            <w:tcW w:w="681" w:type="pct"/>
            <w:vAlign w:val="center"/>
          </w:tcPr>
          <w:p w14:paraId="3BDC3562">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排放速率kg/h</w:t>
            </w:r>
          </w:p>
        </w:tc>
        <w:tc>
          <w:tcPr>
            <w:tcW w:w="678" w:type="pct"/>
            <w:vAlign w:val="center"/>
          </w:tcPr>
          <w:p w14:paraId="7EA058F1">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排放浓度</w:t>
            </w:r>
          </w:p>
          <w:p w14:paraId="046B298C">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mg/m</w:t>
            </w:r>
            <w:r>
              <w:rPr>
                <w:rFonts w:hint="default" w:ascii="Times New Roman" w:hAnsi="Times New Roman" w:eastAsia="宋体" w:cs="Times New Roman"/>
                <w:b/>
                <w:kern w:val="0"/>
                <w:szCs w:val="21"/>
                <w:u w:val="single"/>
                <w:vertAlign w:val="superscript"/>
              </w:rPr>
              <w:t>3</w:t>
            </w:r>
          </w:p>
        </w:tc>
      </w:tr>
      <w:tr w14:paraId="160860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72" w:hRule="atLeast"/>
        </w:trPr>
        <w:tc>
          <w:tcPr>
            <w:tcW w:w="458" w:type="pct"/>
            <w:vMerge w:val="restart"/>
            <w:vAlign w:val="center"/>
          </w:tcPr>
          <w:p w14:paraId="3BE553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废气</w:t>
            </w:r>
          </w:p>
          <w:p w14:paraId="1BD16DA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有组织</w:t>
            </w:r>
          </w:p>
        </w:tc>
        <w:tc>
          <w:tcPr>
            <w:tcW w:w="680" w:type="pct"/>
            <w:vMerge w:val="restart"/>
            <w:vAlign w:val="center"/>
          </w:tcPr>
          <w:p w14:paraId="5F3D7B9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RCO催化燃烧装置+15m排气筒DA001</w:t>
            </w:r>
          </w:p>
        </w:tc>
        <w:tc>
          <w:tcPr>
            <w:tcW w:w="685" w:type="pct"/>
            <w:vAlign w:val="center"/>
          </w:tcPr>
          <w:p w14:paraId="659DC18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VOCs</w:t>
            </w:r>
          </w:p>
        </w:tc>
        <w:tc>
          <w:tcPr>
            <w:tcW w:w="671" w:type="pct"/>
            <w:vAlign w:val="center"/>
          </w:tcPr>
          <w:p w14:paraId="37BEAC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30.78</w:t>
            </w:r>
          </w:p>
        </w:tc>
        <w:tc>
          <w:tcPr>
            <w:tcW w:w="572" w:type="pct"/>
            <w:vAlign w:val="center"/>
          </w:tcPr>
          <w:p w14:paraId="71424CE6">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513</w:t>
            </w:r>
          </w:p>
        </w:tc>
        <w:tc>
          <w:tcPr>
            <w:tcW w:w="572" w:type="pct"/>
            <w:vAlign w:val="center"/>
          </w:tcPr>
          <w:p w14:paraId="55556AD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1.54</w:t>
            </w:r>
          </w:p>
        </w:tc>
        <w:tc>
          <w:tcPr>
            <w:tcW w:w="681" w:type="pct"/>
            <w:vAlign w:val="center"/>
          </w:tcPr>
          <w:p w14:paraId="2B4856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0.29</w:t>
            </w:r>
          </w:p>
        </w:tc>
        <w:tc>
          <w:tcPr>
            <w:tcW w:w="678" w:type="pct"/>
            <w:vAlign w:val="center"/>
          </w:tcPr>
          <w:p w14:paraId="43C699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4.9</w:t>
            </w:r>
          </w:p>
        </w:tc>
      </w:tr>
      <w:tr w14:paraId="128E62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6" w:hRule="atLeast"/>
        </w:trPr>
        <w:tc>
          <w:tcPr>
            <w:tcW w:w="458" w:type="pct"/>
            <w:vMerge w:val="continue"/>
            <w:vAlign w:val="center"/>
          </w:tcPr>
          <w:p w14:paraId="32FAD53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10EC818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7D91526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苯</w:t>
            </w:r>
          </w:p>
        </w:tc>
        <w:tc>
          <w:tcPr>
            <w:tcW w:w="671" w:type="pct"/>
            <w:vAlign w:val="center"/>
          </w:tcPr>
          <w:p w14:paraId="3232F601">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0.9234</w:t>
            </w:r>
          </w:p>
        </w:tc>
        <w:tc>
          <w:tcPr>
            <w:tcW w:w="572" w:type="pct"/>
            <w:vAlign w:val="center"/>
          </w:tcPr>
          <w:p w14:paraId="34AC3691">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15.39</w:t>
            </w:r>
          </w:p>
        </w:tc>
        <w:tc>
          <w:tcPr>
            <w:tcW w:w="572" w:type="pct"/>
            <w:vAlign w:val="center"/>
          </w:tcPr>
          <w:p w14:paraId="2FD924E1">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0.0462</w:t>
            </w:r>
          </w:p>
        </w:tc>
        <w:tc>
          <w:tcPr>
            <w:tcW w:w="681" w:type="pct"/>
            <w:vAlign w:val="center"/>
          </w:tcPr>
          <w:p w14:paraId="42B0742F">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0.0087</w:t>
            </w:r>
          </w:p>
        </w:tc>
        <w:tc>
          <w:tcPr>
            <w:tcW w:w="678" w:type="pct"/>
            <w:vAlign w:val="center"/>
          </w:tcPr>
          <w:p w14:paraId="5B316F41">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0.15</w:t>
            </w:r>
          </w:p>
        </w:tc>
      </w:tr>
      <w:tr w14:paraId="376615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56" w:hRule="atLeast"/>
        </w:trPr>
        <w:tc>
          <w:tcPr>
            <w:tcW w:w="458" w:type="pct"/>
            <w:vMerge w:val="continue"/>
            <w:vAlign w:val="center"/>
          </w:tcPr>
          <w:p w14:paraId="0F69750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766BDE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59161D9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甲苯</w:t>
            </w:r>
          </w:p>
        </w:tc>
        <w:tc>
          <w:tcPr>
            <w:tcW w:w="671" w:type="pct"/>
            <w:vAlign w:val="center"/>
          </w:tcPr>
          <w:p w14:paraId="1AD913C3">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0.9234</w:t>
            </w:r>
          </w:p>
        </w:tc>
        <w:tc>
          <w:tcPr>
            <w:tcW w:w="572" w:type="pct"/>
            <w:vAlign w:val="center"/>
          </w:tcPr>
          <w:p w14:paraId="1BC07749">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15.39</w:t>
            </w:r>
          </w:p>
        </w:tc>
        <w:tc>
          <w:tcPr>
            <w:tcW w:w="572" w:type="pct"/>
            <w:vAlign w:val="center"/>
          </w:tcPr>
          <w:p w14:paraId="2E828B77">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0.0462</w:t>
            </w:r>
          </w:p>
        </w:tc>
        <w:tc>
          <w:tcPr>
            <w:tcW w:w="681" w:type="pct"/>
            <w:vAlign w:val="center"/>
          </w:tcPr>
          <w:p w14:paraId="18717183">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0.0087</w:t>
            </w:r>
          </w:p>
        </w:tc>
        <w:tc>
          <w:tcPr>
            <w:tcW w:w="678" w:type="pct"/>
            <w:vAlign w:val="center"/>
          </w:tcPr>
          <w:p w14:paraId="58CF16CB">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0.15</w:t>
            </w:r>
          </w:p>
        </w:tc>
      </w:tr>
      <w:tr w14:paraId="11AD24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 w:hRule="atLeast"/>
        </w:trPr>
        <w:tc>
          <w:tcPr>
            <w:tcW w:w="458" w:type="pct"/>
            <w:vMerge w:val="continue"/>
            <w:vAlign w:val="center"/>
          </w:tcPr>
          <w:p w14:paraId="09BFAC6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4E5A975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4E9EB19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二甲苯</w:t>
            </w:r>
          </w:p>
        </w:tc>
        <w:tc>
          <w:tcPr>
            <w:tcW w:w="671" w:type="pct"/>
            <w:vAlign w:val="center"/>
          </w:tcPr>
          <w:p w14:paraId="0F45647B">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0.9234</w:t>
            </w:r>
          </w:p>
        </w:tc>
        <w:tc>
          <w:tcPr>
            <w:tcW w:w="572" w:type="pct"/>
            <w:vAlign w:val="center"/>
          </w:tcPr>
          <w:p w14:paraId="0BB0CF5D">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15.39</w:t>
            </w:r>
          </w:p>
        </w:tc>
        <w:tc>
          <w:tcPr>
            <w:tcW w:w="572" w:type="pct"/>
            <w:vAlign w:val="center"/>
          </w:tcPr>
          <w:p w14:paraId="06F13DEF">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0.0462</w:t>
            </w:r>
          </w:p>
        </w:tc>
        <w:tc>
          <w:tcPr>
            <w:tcW w:w="681" w:type="pct"/>
            <w:vAlign w:val="center"/>
          </w:tcPr>
          <w:p w14:paraId="43B827AA">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0.0087</w:t>
            </w:r>
          </w:p>
        </w:tc>
        <w:tc>
          <w:tcPr>
            <w:tcW w:w="678" w:type="pct"/>
            <w:vAlign w:val="center"/>
          </w:tcPr>
          <w:p w14:paraId="44D92D5B">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0.15</w:t>
            </w:r>
          </w:p>
        </w:tc>
      </w:tr>
      <w:tr w14:paraId="2AF94A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restart"/>
            <w:vAlign w:val="center"/>
          </w:tcPr>
          <w:p w14:paraId="1ACAE97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废气</w:t>
            </w:r>
          </w:p>
          <w:p w14:paraId="228539D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无组织</w:t>
            </w:r>
          </w:p>
        </w:tc>
        <w:tc>
          <w:tcPr>
            <w:tcW w:w="680" w:type="pct"/>
            <w:vMerge w:val="restart"/>
            <w:vAlign w:val="center"/>
          </w:tcPr>
          <w:p w14:paraId="4CB114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危险废物综合处置车间</w:t>
            </w:r>
          </w:p>
        </w:tc>
        <w:tc>
          <w:tcPr>
            <w:tcW w:w="685" w:type="pct"/>
            <w:vAlign w:val="center"/>
          </w:tcPr>
          <w:p w14:paraId="60D4D3D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VOCs</w:t>
            </w:r>
          </w:p>
        </w:tc>
        <w:tc>
          <w:tcPr>
            <w:tcW w:w="671" w:type="pct"/>
            <w:vAlign w:val="center"/>
          </w:tcPr>
          <w:p w14:paraId="53B478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1.62</w:t>
            </w:r>
          </w:p>
        </w:tc>
        <w:tc>
          <w:tcPr>
            <w:tcW w:w="572" w:type="pct"/>
            <w:vAlign w:val="center"/>
          </w:tcPr>
          <w:p w14:paraId="6FC40B67">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szCs w:val="21"/>
                <w:u w:val="single"/>
              </w:rPr>
              <w:t>/</w:t>
            </w:r>
          </w:p>
        </w:tc>
        <w:tc>
          <w:tcPr>
            <w:tcW w:w="572" w:type="pct"/>
            <w:vAlign w:val="center"/>
          </w:tcPr>
          <w:p w14:paraId="390F974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1.62</w:t>
            </w:r>
          </w:p>
        </w:tc>
        <w:tc>
          <w:tcPr>
            <w:tcW w:w="681" w:type="pct"/>
            <w:vAlign w:val="center"/>
          </w:tcPr>
          <w:p w14:paraId="2FEC74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0.31</w:t>
            </w:r>
          </w:p>
        </w:tc>
        <w:tc>
          <w:tcPr>
            <w:tcW w:w="678" w:type="pct"/>
            <w:vAlign w:val="center"/>
          </w:tcPr>
          <w:p w14:paraId="004BE35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184126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1CECAB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6CFA30F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643CAEB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苯</w:t>
            </w:r>
          </w:p>
        </w:tc>
        <w:tc>
          <w:tcPr>
            <w:tcW w:w="671" w:type="pct"/>
            <w:vAlign w:val="center"/>
          </w:tcPr>
          <w:p w14:paraId="2BA609EF">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0.0486</w:t>
            </w:r>
          </w:p>
        </w:tc>
        <w:tc>
          <w:tcPr>
            <w:tcW w:w="572" w:type="pct"/>
            <w:vAlign w:val="center"/>
          </w:tcPr>
          <w:p w14:paraId="109995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572" w:type="pct"/>
            <w:vAlign w:val="center"/>
          </w:tcPr>
          <w:p w14:paraId="05C37729">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0.0486</w:t>
            </w:r>
          </w:p>
        </w:tc>
        <w:tc>
          <w:tcPr>
            <w:tcW w:w="681" w:type="pct"/>
            <w:vAlign w:val="center"/>
          </w:tcPr>
          <w:p w14:paraId="6B4FB3BE">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0.0093</w:t>
            </w:r>
          </w:p>
        </w:tc>
        <w:tc>
          <w:tcPr>
            <w:tcW w:w="678" w:type="pct"/>
            <w:vAlign w:val="center"/>
          </w:tcPr>
          <w:p w14:paraId="3D24B4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7D092B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160F6CE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371938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4D58328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甲苯</w:t>
            </w:r>
          </w:p>
        </w:tc>
        <w:tc>
          <w:tcPr>
            <w:tcW w:w="671" w:type="pct"/>
            <w:vAlign w:val="center"/>
          </w:tcPr>
          <w:p w14:paraId="13368F30">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0.0486</w:t>
            </w:r>
          </w:p>
        </w:tc>
        <w:tc>
          <w:tcPr>
            <w:tcW w:w="572" w:type="pct"/>
            <w:vAlign w:val="center"/>
          </w:tcPr>
          <w:p w14:paraId="6DB645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572" w:type="pct"/>
            <w:vAlign w:val="center"/>
          </w:tcPr>
          <w:p w14:paraId="4FE9289B">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0.0486</w:t>
            </w:r>
          </w:p>
        </w:tc>
        <w:tc>
          <w:tcPr>
            <w:tcW w:w="681" w:type="pct"/>
            <w:vAlign w:val="center"/>
          </w:tcPr>
          <w:p w14:paraId="72418B44">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0.0093</w:t>
            </w:r>
          </w:p>
        </w:tc>
        <w:tc>
          <w:tcPr>
            <w:tcW w:w="678" w:type="pct"/>
            <w:vAlign w:val="center"/>
          </w:tcPr>
          <w:p w14:paraId="6FF5EA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0A9A8D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330A70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0B9450D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20C2849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二甲苯</w:t>
            </w:r>
          </w:p>
        </w:tc>
        <w:tc>
          <w:tcPr>
            <w:tcW w:w="671" w:type="pct"/>
            <w:vAlign w:val="center"/>
          </w:tcPr>
          <w:p w14:paraId="27F60B9D">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0.0486</w:t>
            </w:r>
          </w:p>
        </w:tc>
        <w:tc>
          <w:tcPr>
            <w:tcW w:w="572" w:type="pct"/>
            <w:vAlign w:val="center"/>
          </w:tcPr>
          <w:p w14:paraId="5899C2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572" w:type="pct"/>
            <w:vAlign w:val="center"/>
          </w:tcPr>
          <w:p w14:paraId="246DCD21">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0.0486</w:t>
            </w:r>
          </w:p>
        </w:tc>
        <w:tc>
          <w:tcPr>
            <w:tcW w:w="681" w:type="pct"/>
            <w:vAlign w:val="center"/>
          </w:tcPr>
          <w:p w14:paraId="041A0F64">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0.0093</w:t>
            </w:r>
          </w:p>
        </w:tc>
        <w:tc>
          <w:tcPr>
            <w:tcW w:w="678" w:type="pct"/>
            <w:vAlign w:val="center"/>
          </w:tcPr>
          <w:p w14:paraId="0825C63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47D0C0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0737364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restart"/>
            <w:vAlign w:val="center"/>
          </w:tcPr>
          <w:p w14:paraId="1905656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污水处理站</w:t>
            </w:r>
          </w:p>
        </w:tc>
        <w:tc>
          <w:tcPr>
            <w:tcW w:w="685" w:type="pct"/>
            <w:vAlign w:val="center"/>
          </w:tcPr>
          <w:p w14:paraId="1F8945E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NH</w:t>
            </w:r>
            <w:r>
              <w:rPr>
                <w:rFonts w:hint="default" w:ascii="Times New Roman" w:hAnsi="Times New Roman" w:eastAsia="宋体" w:cs="Times New Roman"/>
                <w:sz w:val="21"/>
                <w:szCs w:val="21"/>
                <w:u w:val="single"/>
                <w:vertAlign w:val="subscript"/>
              </w:rPr>
              <w:t>3</w:t>
            </w:r>
          </w:p>
        </w:tc>
        <w:tc>
          <w:tcPr>
            <w:tcW w:w="671" w:type="pct"/>
            <w:vAlign w:val="center"/>
          </w:tcPr>
          <w:p w14:paraId="1E0D4F96">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0.0261</w:t>
            </w:r>
          </w:p>
        </w:tc>
        <w:tc>
          <w:tcPr>
            <w:tcW w:w="572" w:type="pct"/>
            <w:vAlign w:val="center"/>
          </w:tcPr>
          <w:p w14:paraId="0FE604F3">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szCs w:val="21"/>
                <w:u w:val="single"/>
              </w:rPr>
              <w:t>/</w:t>
            </w:r>
          </w:p>
        </w:tc>
        <w:tc>
          <w:tcPr>
            <w:tcW w:w="572" w:type="pct"/>
            <w:vAlign w:val="center"/>
          </w:tcPr>
          <w:p w14:paraId="1D720597">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0.0261</w:t>
            </w:r>
          </w:p>
        </w:tc>
        <w:tc>
          <w:tcPr>
            <w:tcW w:w="681" w:type="pct"/>
            <w:vAlign w:val="center"/>
          </w:tcPr>
          <w:p w14:paraId="77447D5F">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0.0066</w:t>
            </w:r>
          </w:p>
        </w:tc>
        <w:tc>
          <w:tcPr>
            <w:tcW w:w="678" w:type="pct"/>
            <w:vAlign w:val="center"/>
          </w:tcPr>
          <w:p w14:paraId="54D069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52C212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603BD89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60B968A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55C129D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H</w:t>
            </w:r>
            <w:r>
              <w:rPr>
                <w:rFonts w:hint="default" w:ascii="Times New Roman" w:hAnsi="Times New Roman" w:eastAsia="宋体" w:cs="Times New Roman"/>
                <w:sz w:val="21"/>
                <w:szCs w:val="21"/>
                <w:u w:val="single"/>
                <w:vertAlign w:val="subscript"/>
              </w:rPr>
              <w:t>2</w:t>
            </w:r>
            <w:r>
              <w:rPr>
                <w:rFonts w:hint="default" w:ascii="Times New Roman" w:hAnsi="Times New Roman" w:eastAsia="宋体" w:cs="Times New Roman"/>
                <w:sz w:val="21"/>
                <w:szCs w:val="21"/>
                <w:u w:val="single"/>
              </w:rPr>
              <w:t>S</w:t>
            </w:r>
          </w:p>
        </w:tc>
        <w:tc>
          <w:tcPr>
            <w:tcW w:w="671" w:type="pct"/>
            <w:vAlign w:val="center"/>
          </w:tcPr>
          <w:p w14:paraId="0152B66C">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0.0008</w:t>
            </w:r>
          </w:p>
        </w:tc>
        <w:tc>
          <w:tcPr>
            <w:tcW w:w="572" w:type="pct"/>
            <w:vAlign w:val="center"/>
          </w:tcPr>
          <w:p w14:paraId="4C0CF836">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szCs w:val="21"/>
                <w:u w:val="single"/>
              </w:rPr>
              <w:t>/</w:t>
            </w:r>
          </w:p>
        </w:tc>
        <w:tc>
          <w:tcPr>
            <w:tcW w:w="572" w:type="pct"/>
            <w:vAlign w:val="center"/>
          </w:tcPr>
          <w:p w14:paraId="7DE21429">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0.0008</w:t>
            </w:r>
          </w:p>
        </w:tc>
        <w:tc>
          <w:tcPr>
            <w:tcW w:w="681" w:type="pct"/>
            <w:vAlign w:val="center"/>
          </w:tcPr>
          <w:p w14:paraId="7CF020CC">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0.0002</w:t>
            </w:r>
          </w:p>
        </w:tc>
        <w:tc>
          <w:tcPr>
            <w:tcW w:w="678" w:type="pct"/>
            <w:vAlign w:val="center"/>
          </w:tcPr>
          <w:p w14:paraId="474851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4A94A3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restart"/>
            <w:vAlign w:val="center"/>
          </w:tcPr>
          <w:p w14:paraId="3A13C67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废水</w:t>
            </w:r>
          </w:p>
        </w:tc>
        <w:tc>
          <w:tcPr>
            <w:tcW w:w="680" w:type="pct"/>
            <w:vMerge w:val="restart"/>
            <w:vAlign w:val="center"/>
          </w:tcPr>
          <w:p w14:paraId="575FE7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default" w:ascii="Times New Roman" w:hAnsi="Times New Roman" w:eastAsia="宋体" w:cs="Times New Roman"/>
                <w:color w:val="000000"/>
                <w:kern w:val="0"/>
                <w:szCs w:val="21"/>
                <w:u w:val="single"/>
                <w:lang w:val="en-US" w:eastAsia="zh-CN"/>
              </w:rPr>
              <w:t>综合清洗废水</w:t>
            </w:r>
          </w:p>
          <w:p w14:paraId="701E9B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7392</w:t>
            </w:r>
          </w:p>
        </w:tc>
        <w:tc>
          <w:tcPr>
            <w:tcW w:w="685" w:type="pct"/>
            <w:vAlign w:val="center"/>
          </w:tcPr>
          <w:p w14:paraId="6E326D9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pH（无量纲）</w:t>
            </w:r>
          </w:p>
        </w:tc>
        <w:tc>
          <w:tcPr>
            <w:tcW w:w="671" w:type="pct"/>
            <w:vAlign w:val="center"/>
          </w:tcPr>
          <w:p w14:paraId="11CFAE0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w:t>
            </w:r>
          </w:p>
        </w:tc>
        <w:tc>
          <w:tcPr>
            <w:tcW w:w="572" w:type="pct"/>
            <w:vAlign w:val="center"/>
          </w:tcPr>
          <w:p w14:paraId="0678581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9~10</w:t>
            </w:r>
          </w:p>
        </w:tc>
        <w:tc>
          <w:tcPr>
            <w:tcW w:w="572" w:type="pct"/>
            <w:vAlign w:val="center"/>
          </w:tcPr>
          <w:p w14:paraId="5091813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rPr>
              <w:t>/</w:t>
            </w:r>
          </w:p>
        </w:tc>
        <w:tc>
          <w:tcPr>
            <w:tcW w:w="681" w:type="pct"/>
            <w:vAlign w:val="center"/>
          </w:tcPr>
          <w:p w14:paraId="61AAFB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47555E2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6~9</w:t>
            </w:r>
          </w:p>
        </w:tc>
      </w:tr>
      <w:tr w14:paraId="3D4E64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2B46635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1E00B217">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685" w:type="pct"/>
            <w:vAlign w:val="center"/>
          </w:tcPr>
          <w:p w14:paraId="584ED0E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苯</w:t>
            </w:r>
          </w:p>
        </w:tc>
        <w:tc>
          <w:tcPr>
            <w:tcW w:w="1144" w:type="dxa"/>
            <w:vAlign w:val="center"/>
          </w:tcPr>
          <w:p w14:paraId="12E19379">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0.003</w:t>
            </w:r>
          </w:p>
        </w:tc>
        <w:tc>
          <w:tcPr>
            <w:tcW w:w="572" w:type="pct"/>
            <w:vAlign w:val="center"/>
          </w:tcPr>
          <w:p w14:paraId="07A3A55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0.</w:t>
            </w:r>
            <w:r>
              <w:rPr>
                <w:rFonts w:hint="default" w:ascii="Times New Roman" w:hAnsi="Times New Roman" w:eastAsia="宋体" w:cs="Times New Roman"/>
                <w:color w:val="000000"/>
                <w:kern w:val="0"/>
                <w:szCs w:val="21"/>
                <w:u w:val="single"/>
                <w:lang w:val="en-US" w:eastAsia="zh-CN"/>
              </w:rPr>
              <w:t>4</w:t>
            </w:r>
          </w:p>
        </w:tc>
        <w:tc>
          <w:tcPr>
            <w:tcW w:w="975" w:type="dxa"/>
            <w:vAlign w:val="center"/>
          </w:tcPr>
          <w:p w14:paraId="20BB48FD">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681" w:type="pct"/>
            <w:vAlign w:val="center"/>
          </w:tcPr>
          <w:p w14:paraId="62BD968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6E1DE81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0.21</w:t>
            </w:r>
          </w:p>
        </w:tc>
      </w:tr>
      <w:tr w14:paraId="68CAA4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3D2A8A5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531D50CA">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685" w:type="pct"/>
            <w:vAlign w:val="center"/>
          </w:tcPr>
          <w:p w14:paraId="12908BD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甲苯</w:t>
            </w:r>
          </w:p>
        </w:tc>
        <w:tc>
          <w:tcPr>
            <w:tcW w:w="1144" w:type="dxa"/>
            <w:vAlign w:val="center"/>
          </w:tcPr>
          <w:p w14:paraId="3522F5EC">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10.40</w:t>
            </w:r>
          </w:p>
        </w:tc>
        <w:tc>
          <w:tcPr>
            <w:tcW w:w="572" w:type="pct"/>
            <w:vAlign w:val="center"/>
          </w:tcPr>
          <w:p w14:paraId="47D279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 xml:space="preserve">0.4 </w:t>
            </w:r>
          </w:p>
        </w:tc>
        <w:tc>
          <w:tcPr>
            <w:tcW w:w="975" w:type="dxa"/>
            <w:vAlign w:val="center"/>
          </w:tcPr>
          <w:p w14:paraId="5240E4D6">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681" w:type="pct"/>
            <w:vAlign w:val="center"/>
          </w:tcPr>
          <w:p w14:paraId="35E396C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47E20CD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0.21</w:t>
            </w:r>
          </w:p>
        </w:tc>
      </w:tr>
      <w:tr w14:paraId="1C6434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458" w:type="pct"/>
            <w:vMerge w:val="continue"/>
            <w:vAlign w:val="center"/>
          </w:tcPr>
          <w:p w14:paraId="6BB117E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4D618A4E">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685" w:type="pct"/>
            <w:vAlign w:val="center"/>
          </w:tcPr>
          <w:p w14:paraId="189EC66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COD</w:t>
            </w:r>
            <w:r>
              <w:rPr>
                <w:rFonts w:hint="default" w:ascii="Times New Roman" w:hAnsi="Times New Roman" w:eastAsia="宋体" w:cs="Times New Roman"/>
                <w:color w:val="000000"/>
                <w:kern w:val="0"/>
                <w:szCs w:val="21"/>
                <w:u w:val="single"/>
                <w:vertAlign w:val="subscript"/>
              </w:rPr>
              <w:t>Cr</w:t>
            </w:r>
          </w:p>
        </w:tc>
        <w:tc>
          <w:tcPr>
            <w:tcW w:w="1144" w:type="dxa"/>
            <w:vAlign w:val="center"/>
          </w:tcPr>
          <w:p w14:paraId="2C8C7A2B">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2.62</w:t>
            </w:r>
          </w:p>
        </w:tc>
        <w:tc>
          <w:tcPr>
            <w:tcW w:w="572" w:type="pct"/>
            <w:vAlign w:val="center"/>
          </w:tcPr>
          <w:p w14:paraId="2748B8E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lang w:val="en-US" w:eastAsia="zh-CN"/>
              </w:rPr>
              <w:t>1407.59</w:t>
            </w:r>
          </w:p>
        </w:tc>
        <w:tc>
          <w:tcPr>
            <w:tcW w:w="975" w:type="dxa"/>
            <w:vAlign w:val="center"/>
          </w:tcPr>
          <w:p w14:paraId="6E19C1DF">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681" w:type="pct"/>
            <w:vAlign w:val="center"/>
          </w:tcPr>
          <w:p w14:paraId="3995FC3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203714C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300.8</w:t>
            </w:r>
          </w:p>
        </w:tc>
      </w:tr>
      <w:tr w14:paraId="4124B7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2B68F4E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08281F02">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685" w:type="pct"/>
            <w:vAlign w:val="center"/>
          </w:tcPr>
          <w:p w14:paraId="06CC3F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BOD</w:t>
            </w:r>
            <w:r>
              <w:rPr>
                <w:rFonts w:hint="default" w:ascii="Times New Roman" w:hAnsi="Times New Roman" w:eastAsia="宋体" w:cs="Times New Roman"/>
                <w:color w:val="000000"/>
                <w:kern w:val="0"/>
                <w:szCs w:val="21"/>
                <w:u w:val="single"/>
                <w:vertAlign w:val="subscript"/>
              </w:rPr>
              <w:t>5</w:t>
            </w:r>
          </w:p>
        </w:tc>
        <w:tc>
          <w:tcPr>
            <w:tcW w:w="1144" w:type="dxa"/>
            <w:vAlign w:val="center"/>
          </w:tcPr>
          <w:p w14:paraId="4B92F9CB">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6.07</w:t>
            </w:r>
          </w:p>
        </w:tc>
        <w:tc>
          <w:tcPr>
            <w:tcW w:w="572" w:type="pct"/>
            <w:vAlign w:val="center"/>
          </w:tcPr>
          <w:p w14:paraId="62FD719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lang w:val="en-US" w:eastAsia="zh-CN"/>
              </w:rPr>
              <w:t>354.8</w:t>
            </w:r>
          </w:p>
        </w:tc>
        <w:tc>
          <w:tcPr>
            <w:tcW w:w="975" w:type="dxa"/>
            <w:vAlign w:val="center"/>
          </w:tcPr>
          <w:p w14:paraId="6D117C82">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681" w:type="pct"/>
            <w:vAlign w:val="center"/>
          </w:tcPr>
          <w:p w14:paraId="665DE16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1DCDB01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40.3</w:t>
            </w:r>
          </w:p>
        </w:tc>
      </w:tr>
      <w:tr w14:paraId="571751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5B6D32F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1661A998">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685" w:type="pct"/>
            <w:vAlign w:val="center"/>
          </w:tcPr>
          <w:p w14:paraId="0500F9A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SS</w:t>
            </w:r>
          </w:p>
        </w:tc>
        <w:tc>
          <w:tcPr>
            <w:tcW w:w="1144" w:type="dxa"/>
            <w:vAlign w:val="center"/>
          </w:tcPr>
          <w:p w14:paraId="39554498">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0.89</w:t>
            </w:r>
          </w:p>
        </w:tc>
        <w:tc>
          <w:tcPr>
            <w:tcW w:w="572" w:type="pct"/>
            <w:vAlign w:val="center"/>
          </w:tcPr>
          <w:p w14:paraId="4047944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lang w:val="en-US" w:eastAsia="zh-CN"/>
              </w:rPr>
              <w:t>820.63</w:t>
            </w:r>
          </w:p>
        </w:tc>
        <w:tc>
          <w:tcPr>
            <w:tcW w:w="975" w:type="dxa"/>
            <w:vAlign w:val="center"/>
          </w:tcPr>
          <w:p w14:paraId="20C173C0">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0.30</w:t>
            </w:r>
          </w:p>
        </w:tc>
        <w:tc>
          <w:tcPr>
            <w:tcW w:w="681" w:type="pct"/>
            <w:vAlign w:val="center"/>
          </w:tcPr>
          <w:p w14:paraId="1B5DC18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4F316B7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32.2</w:t>
            </w:r>
          </w:p>
        </w:tc>
      </w:tr>
      <w:tr w14:paraId="3C42FB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64256AC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181CED78">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685" w:type="pct"/>
            <w:vAlign w:val="center"/>
          </w:tcPr>
          <w:p w14:paraId="79CB3B8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石油类</w:t>
            </w:r>
          </w:p>
        </w:tc>
        <w:tc>
          <w:tcPr>
            <w:tcW w:w="1144" w:type="dxa"/>
            <w:vAlign w:val="center"/>
          </w:tcPr>
          <w:p w14:paraId="1263DE21">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0.69</w:t>
            </w:r>
          </w:p>
        </w:tc>
        <w:tc>
          <w:tcPr>
            <w:tcW w:w="572" w:type="pct"/>
            <w:vAlign w:val="center"/>
          </w:tcPr>
          <w:p w14:paraId="28712C2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lang w:val="en-US" w:eastAsia="zh-CN"/>
              </w:rPr>
              <w:t>119.9</w:t>
            </w:r>
          </w:p>
        </w:tc>
        <w:tc>
          <w:tcPr>
            <w:tcW w:w="975" w:type="dxa"/>
            <w:vAlign w:val="center"/>
          </w:tcPr>
          <w:p w14:paraId="3690CD95">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681" w:type="pct"/>
            <w:vAlign w:val="center"/>
          </w:tcPr>
          <w:p w14:paraId="428EA98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3BB1C59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18.5</w:t>
            </w:r>
          </w:p>
        </w:tc>
      </w:tr>
      <w:tr w14:paraId="28E83CE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1E606BC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0370A0DE">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685" w:type="pct"/>
            <w:vAlign w:val="center"/>
          </w:tcPr>
          <w:p w14:paraId="544AF88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lang w:val="en-US" w:eastAsia="zh-CN"/>
              </w:rPr>
              <w:t>氨氮</w:t>
            </w:r>
          </w:p>
        </w:tc>
        <w:tc>
          <w:tcPr>
            <w:tcW w:w="1144" w:type="dxa"/>
            <w:vAlign w:val="center"/>
          </w:tcPr>
          <w:p w14:paraId="591F2DE2">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single"/>
                <w:lang w:val="en-US" w:eastAsia="zh-CN" w:bidi="ar"/>
              </w:rPr>
              <w:t>0.29</w:t>
            </w:r>
          </w:p>
        </w:tc>
        <w:tc>
          <w:tcPr>
            <w:tcW w:w="572" w:type="pct"/>
            <w:vAlign w:val="center"/>
          </w:tcPr>
          <w:p w14:paraId="051B008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lang w:val="en-US" w:eastAsia="zh-CN"/>
              </w:rPr>
              <w:t>94</w:t>
            </w:r>
          </w:p>
        </w:tc>
        <w:tc>
          <w:tcPr>
            <w:tcW w:w="975" w:type="dxa"/>
            <w:vAlign w:val="center"/>
          </w:tcPr>
          <w:p w14:paraId="16D83929">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681" w:type="pct"/>
            <w:vAlign w:val="center"/>
          </w:tcPr>
          <w:p w14:paraId="1871522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209D277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18.0</w:t>
            </w:r>
          </w:p>
        </w:tc>
      </w:tr>
      <w:tr w14:paraId="7DE46C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3AE4BA3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64EFF11C">
            <w:pPr>
              <w:keepNext w:val="0"/>
              <w:keepLines w:val="0"/>
              <w:widowControl/>
              <w:suppressLineNumbers w:val="0"/>
              <w:adjustRightInd w:val="0"/>
              <w:snapToGrid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685" w:type="pct"/>
            <w:vAlign w:val="center"/>
          </w:tcPr>
          <w:p w14:paraId="1892ADB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single"/>
                <w:lang w:val="en-US" w:eastAsia="zh-CN"/>
              </w:rPr>
            </w:pPr>
            <w:r>
              <w:rPr>
                <w:rFonts w:hint="eastAsia" w:ascii="Times New Roman" w:hAnsi="Times New Roman" w:cs="Times New Roman"/>
                <w:color w:val="000000"/>
                <w:kern w:val="0"/>
                <w:szCs w:val="21"/>
                <w:u w:val="single"/>
                <w:lang w:val="en-US" w:eastAsia="zh-CN"/>
              </w:rPr>
              <w:t>LAS</w:t>
            </w:r>
          </w:p>
        </w:tc>
        <w:tc>
          <w:tcPr>
            <w:tcW w:w="1144" w:type="dxa"/>
            <w:vAlign w:val="center"/>
          </w:tcPr>
          <w:p w14:paraId="79C07734">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572" w:type="pct"/>
            <w:vAlign w:val="center"/>
          </w:tcPr>
          <w:p w14:paraId="27154D2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kern w:val="0"/>
                <w:szCs w:val="21"/>
                <w:u w:val="none"/>
                <w:lang w:val="en-US" w:eastAsia="zh-CN"/>
              </w:rPr>
            </w:pPr>
            <w:r>
              <w:rPr>
                <w:rFonts w:hint="default" w:ascii="Times New Roman" w:hAnsi="Times New Roman" w:eastAsia="宋体" w:cs="Times New Roman"/>
                <w:color w:val="000000"/>
                <w:kern w:val="0"/>
                <w:szCs w:val="21"/>
                <w:u w:val="none"/>
                <w:lang w:val="en-US" w:eastAsia="zh-CN"/>
              </w:rPr>
              <w:t>39.79</w:t>
            </w:r>
          </w:p>
        </w:tc>
        <w:tc>
          <w:tcPr>
            <w:tcW w:w="975" w:type="dxa"/>
            <w:vAlign w:val="center"/>
          </w:tcPr>
          <w:p w14:paraId="00F96B3E">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681" w:type="pct"/>
            <w:vAlign w:val="center"/>
          </w:tcPr>
          <w:p w14:paraId="7A54B76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none"/>
              </w:rPr>
            </w:pPr>
          </w:p>
        </w:tc>
        <w:tc>
          <w:tcPr>
            <w:tcW w:w="678" w:type="pct"/>
            <w:vAlign w:val="center"/>
          </w:tcPr>
          <w:p w14:paraId="3626C77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none"/>
              </w:rPr>
            </w:pPr>
            <w:r>
              <w:rPr>
                <w:rFonts w:hint="default" w:ascii="Times New Roman" w:hAnsi="Times New Roman" w:eastAsia="宋体" w:cs="Times New Roman"/>
                <w:i w:val="0"/>
                <w:iCs w:val="0"/>
                <w:color w:val="000000"/>
                <w:kern w:val="0"/>
                <w:sz w:val="21"/>
                <w:szCs w:val="21"/>
                <w:u w:val="none"/>
                <w:lang w:val="en-US" w:eastAsia="zh-CN" w:bidi="ar"/>
              </w:rPr>
              <w:t>7.958</w:t>
            </w:r>
          </w:p>
        </w:tc>
      </w:tr>
      <w:tr w14:paraId="7E1A0E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0721938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restart"/>
            <w:vAlign w:val="center"/>
          </w:tcPr>
          <w:p w14:paraId="304E743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生活污水</w:t>
            </w:r>
          </w:p>
          <w:p w14:paraId="4CF230A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528</w:t>
            </w:r>
            <w:r>
              <w:rPr>
                <w:rFonts w:hint="default" w:ascii="Times New Roman" w:hAnsi="Times New Roman" w:eastAsia="宋体" w:cs="Times New Roman"/>
                <w:szCs w:val="21"/>
                <w:u w:val="single"/>
              </w:rPr>
              <w:t>m</w:t>
            </w:r>
            <w:r>
              <w:rPr>
                <w:rFonts w:hint="default" w:ascii="Times New Roman" w:hAnsi="Times New Roman" w:eastAsia="宋体" w:cs="Times New Roman"/>
                <w:szCs w:val="21"/>
                <w:u w:val="single"/>
                <w:vertAlign w:val="superscript"/>
              </w:rPr>
              <w:t>3</w:t>
            </w:r>
            <w:r>
              <w:rPr>
                <w:rFonts w:hint="default" w:ascii="Times New Roman" w:hAnsi="Times New Roman" w:eastAsia="宋体" w:cs="Times New Roman"/>
                <w:szCs w:val="21"/>
                <w:u w:val="single"/>
              </w:rPr>
              <w:t>/a</w:t>
            </w:r>
          </w:p>
        </w:tc>
        <w:tc>
          <w:tcPr>
            <w:tcW w:w="685" w:type="pct"/>
            <w:vAlign w:val="center"/>
          </w:tcPr>
          <w:p w14:paraId="0DA4763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pH</w:t>
            </w:r>
          </w:p>
        </w:tc>
        <w:tc>
          <w:tcPr>
            <w:tcW w:w="671" w:type="pct"/>
            <w:vAlign w:val="center"/>
          </w:tcPr>
          <w:p w14:paraId="3C13BFA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1BE525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6~9</w:t>
            </w:r>
          </w:p>
        </w:tc>
        <w:tc>
          <w:tcPr>
            <w:tcW w:w="572" w:type="pct"/>
            <w:vAlign w:val="center"/>
          </w:tcPr>
          <w:p w14:paraId="4073A7E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81" w:type="pct"/>
            <w:vAlign w:val="center"/>
          </w:tcPr>
          <w:p w14:paraId="648253D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2438D8E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6~9</w:t>
            </w:r>
          </w:p>
        </w:tc>
      </w:tr>
      <w:tr w14:paraId="2CEEBD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232BA97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5F9085E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6216638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COD</w:t>
            </w:r>
            <w:r>
              <w:rPr>
                <w:rFonts w:hint="default" w:ascii="Times New Roman" w:hAnsi="Times New Roman" w:eastAsia="宋体" w:cs="Times New Roman"/>
                <w:color w:val="000000"/>
                <w:kern w:val="0"/>
                <w:szCs w:val="21"/>
                <w:u w:val="single"/>
                <w:vertAlign w:val="subscript"/>
              </w:rPr>
              <w:t>Cr</w:t>
            </w:r>
          </w:p>
        </w:tc>
        <w:tc>
          <w:tcPr>
            <w:tcW w:w="671" w:type="pct"/>
            <w:vAlign w:val="center"/>
          </w:tcPr>
          <w:p w14:paraId="3424BD7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0.18</w:t>
            </w:r>
          </w:p>
        </w:tc>
        <w:tc>
          <w:tcPr>
            <w:tcW w:w="572" w:type="pct"/>
            <w:vAlign w:val="center"/>
          </w:tcPr>
          <w:p w14:paraId="4F3B671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350</w:t>
            </w:r>
          </w:p>
        </w:tc>
        <w:tc>
          <w:tcPr>
            <w:tcW w:w="572" w:type="pct"/>
            <w:vAlign w:val="center"/>
          </w:tcPr>
          <w:p w14:paraId="196596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0.16</w:t>
            </w:r>
          </w:p>
        </w:tc>
        <w:tc>
          <w:tcPr>
            <w:tcW w:w="681" w:type="pct"/>
            <w:vAlign w:val="center"/>
          </w:tcPr>
          <w:p w14:paraId="0ECF3A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16B1C73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300</w:t>
            </w:r>
          </w:p>
        </w:tc>
      </w:tr>
      <w:tr w14:paraId="6BB834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5C422F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3E398A6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30BCFB6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BOD</w:t>
            </w:r>
            <w:r>
              <w:rPr>
                <w:rFonts w:hint="default" w:ascii="Times New Roman" w:hAnsi="Times New Roman" w:eastAsia="宋体" w:cs="Times New Roman"/>
                <w:color w:val="000000"/>
                <w:kern w:val="0"/>
                <w:szCs w:val="21"/>
                <w:u w:val="single"/>
                <w:vertAlign w:val="subscript"/>
              </w:rPr>
              <w:t>5</w:t>
            </w:r>
          </w:p>
        </w:tc>
        <w:tc>
          <w:tcPr>
            <w:tcW w:w="671" w:type="pct"/>
            <w:vAlign w:val="center"/>
          </w:tcPr>
          <w:p w14:paraId="5FDD4E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0.11</w:t>
            </w:r>
          </w:p>
        </w:tc>
        <w:tc>
          <w:tcPr>
            <w:tcW w:w="572" w:type="pct"/>
            <w:vAlign w:val="center"/>
          </w:tcPr>
          <w:p w14:paraId="3E187D2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200</w:t>
            </w:r>
          </w:p>
        </w:tc>
        <w:tc>
          <w:tcPr>
            <w:tcW w:w="572" w:type="pct"/>
            <w:vAlign w:val="center"/>
          </w:tcPr>
          <w:p w14:paraId="2CBC67C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0.079</w:t>
            </w:r>
          </w:p>
        </w:tc>
        <w:tc>
          <w:tcPr>
            <w:tcW w:w="681" w:type="pct"/>
            <w:vAlign w:val="center"/>
          </w:tcPr>
          <w:p w14:paraId="1073802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31FFD12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150</w:t>
            </w:r>
          </w:p>
        </w:tc>
      </w:tr>
      <w:tr w14:paraId="3C10C6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7192A1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0E19A3F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7C5610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SS</w:t>
            </w:r>
          </w:p>
        </w:tc>
        <w:tc>
          <w:tcPr>
            <w:tcW w:w="671" w:type="pct"/>
            <w:vAlign w:val="center"/>
          </w:tcPr>
          <w:p w14:paraId="34467DC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0.11</w:t>
            </w:r>
          </w:p>
        </w:tc>
        <w:tc>
          <w:tcPr>
            <w:tcW w:w="572" w:type="pct"/>
            <w:vAlign w:val="center"/>
          </w:tcPr>
          <w:p w14:paraId="0F073E7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200</w:t>
            </w:r>
          </w:p>
        </w:tc>
        <w:tc>
          <w:tcPr>
            <w:tcW w:w="572" w:type="pct"/>
            <w:vAlign w:val="center"/>
          </w:tcPr>
          <w:p w14:paraId="69F1125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0.079</w:t>
            </w:r>
          </w:p>
        </w:tc>
        <w:tc>
          <w:tcPr>
            <w:tcW w:w="681" w:type="pct"/>
            <w:vAlign w:val="center"/>
          </w:tcPr>
          <w:p w14:paraId="1ACE9E4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1AA1B09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150</w:t>
            </w:r>
          </w:p>
        </w:tc>
      </w:tr>
      <w:tr w14:paraId="65AF8B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3127BAC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7CE2519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0AE7A4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氨氮</w:t>
            </w:r>
          </w:p>
        </w:tc>
        <w:tc>
          <w:tcPr>
            <w:tcW w:w="671" w:type="pct"/>
            <w:vAlign w:val="center"/>
          </w:tcPr>
          <w:p w14:paraId="1CFB51D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0.013</w:t>
            </w:r>
          </w:p>
        </w:tc>
        <w:tc>
          <w:tcPr>
            <w:tcW w:w="572" w:type="pct"/>
            <w:vAlign w:val="center"/>
          </w:tcPr>
          <w:p w14:paraId="67F968A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25</w:t>
            </w:r>
          </w:p>
        </w:tc>
        <w:tc>
          <w:tcPr>
            <w:tcW w:w="572" w:type="pct"/>
            <w:vAlign w:val="center"/>
          </w:tcPr>
          <w:p w14:paraId="5DB507C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0.011</w:t>
            </w:r>
          </w:p>
        </w:tc>
        <w:tc>
          <w:tcPr>
            <w:tcW w:w="681" w:type="pct"/>
            <w:vAlign w:val="center"/>
          </w:tcPr>
          <w:p w14:paraId="14A0163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5B2FBD7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20</w:t>
            </w:r>
          </w:p>
        </w:tc>
      </w:tr>
      <w:tr w14:paraId="6DC5C6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2BF0C36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2EED80E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6703883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Cs w:val="21"/>
                <w:u w:val="single"/>
              </w:rPr>
            </w:pPr>
            <w:r>
              <w:rPr>
                <w:rFonts w:hint="default" w:ascii="Times New Roman" w:hAnsi="Times New Roman" w:eastAsia="宋体" w:cs="Times New Roman"/>
                <w:color w:val="000000"/>
                <w:kern w:val="0"/>
                <w:szCs w:val="21"/>
                <w:u w:val="single"/>
              </w:rPr>
              <w:t>动植物油</w:t>
            </w:r>
          </w:p>
        </w:tc>
        <w:tc>
          <w:tcPr>
            <w:tcW w:w="671" w:type="pct"/>
            <w:vAlign w:val="center"/>
          </w:tcPr>
          <w:p w14:paraId="543F488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0.026</w:t>
            </w:r>
          </w:p>
        </w:tc>
        <w:tc>
          <w:tcPr>
            <w:tcW w:w="572" w:type="pct"/>
            <w:vAlign w:val="center"/>
          </w:tcPr>
          <w:p w14:paraId="334C467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50</w:t>
            </w:r>
          </w:p>
        </w:tc>
        <w:tc>
          <w:tcPr>
            <w:tcW w:w="572" w:type="pct"/>
            <w:vAlign w:val="center"/>
          </w:tcPr>
          <w:p w14:paraId="76FC4C6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0.026</w:t>
            </w:r>
          </w:p>
        </w:tc>
        <w:tc>
          <w:tcPr>
            <w:tcW w:w="681" w:type="pct"/>
            <w:vAlign w:val="center"/>
          </w:tcPr>
          <w:p w14:paraId="10B8B0F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4F2EAD0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50</w:t>
            </w:r>
          </w:p>
        </w:tc>
      </w:tr>
      <w:tr w14:paraId="23987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Align w:val="center"/>
          </w:tcPr>
          <w:p w14:paraId="50D33F4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噪声</w:t>
            </w:r>
          </w:p>
        </w:tc>
        <w:tc>
          <w:tcPr>
            <w:tcW w:w="680" w:type="pct"/>
            <w:vAlign w:val="center"/>
          </w:tcPr>
          <w:p w14:paraId="2B5B68F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撕碎机、破碎机等设备</w:t>
            </w:r>
          </w:p>
        </w:tc>
        <w:tc>
          <w:tcPr>
            <w:tcW w:w="685" w:type="pct"/>
            <w:vAlign w:val="center"/>
          </w:tcPr>
          <w:p w14:paraId="139EB8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Leq（A）</w:t>
            </w:r>
          </w:p>
        </w:tc>
        <w:tc>
          <w:tcPr>
            <w:tcW w:w="671" w:type="pct"/>
            <w:vAlign w:val="center"/>
          </w:tcPr>
          <w:p w14:paraId="7C6F5C0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70~85dB</w:t>
            </w:r>
          </w:p>
        </w:tc>
        <w:tc>
          <w:tcPr>
            <w:tcW w:w="572" w:type="pct"/>
            <w:vAlign w:val="center"/>
          </w:tcPr>
          <w:p w14:paraId="73D908D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w:t>
            </w:r>
          </w:p>
        </w:tc>
        <w:tc>
          <w:tcPr>
            <w:tcW w:w="572" w:type="pct"/>
            <w:vAlign w:val="center"/>
          </w:tcPr>
          <w:p w14:paraId="17A9B0D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＜65dB</w:t>
            </w:r>
          </w:p>
        </w:tc>
        <w:tc>
          <w:tcPr>
            <w:tcW w:w="681" w:type="pct"/>
            <w:vAlign w:val="center"/>
          </w:tcPr>
          <w:p w14:paraId="05D24C5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0C31BE7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00D77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restart"/>
            <w:vAlign w:val="center"/>
          </w:tcPr>
          <w:p w14:paraId="6136BED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固废</w:t>
            </w:r>
          </w:p>
        </w:tc>
        <w:tc>
          <w:tcPr>
            <w:tcW w:w="680" w:type="pct"/>
            <w:vMerge w:val="restart"/>
            <w:vAlign w:val="center"/>
          </w:tcPr>
          <w:p w14:paraId="56DFBAA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危险废物综合处置车间</w:t>
            </w:r>
          </w:p>
        </w:tc>
        <w:tc>
          <w:tcPr>
            <w:tcW w:w="685" w:type="pct"/>
            <w:vAlign w:val="center"/>
          </w:tcPr>
          <w:p w14:paraId="765CF72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废渣</w:t>
            </w:r>
          </w:p>
        </w:tc>
        <w:tc>
          <w:tcPr>
            <w:tcW w:w="671" w:type="pct"/>
            <w:vAlign w:val="center"/>
          </w:tcPr>
          <w:p w14:paraId="717C927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22</w:t>
            </w:r>
          </w:p>
        </w:tc>
        <w:tc>
          <w:tcPr>
            <w:tcW w:w="572" w:type="pct"/>
            <w:vAlign w:val="center"/>
          </w:tcPr>
          <w:p w14:paraId="3E1EF23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00AB113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22</w:t>
            </w:r>
          </w:p>
        </w:tc>
        <w:tc>
          <w:tcPr>
            <w:tcW w:w="681" w:type="pct"/>
            <w:vAlign w:val="center"/>
          </w:tcPr>
          <w:p w14:paraId="5D28F67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4E279C2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5A43C9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4E0990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7F7975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1BCD8A77">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废含铅电解液</w:t>
            </w:r>
          </w:p>
        </w:tc>
        <w:tc>
          <w:tcPr>
            <w:tcW w:w="671" w:type="pct"/>
            <w:vAlign w:val="center"/>
          </w:tcPr>
          <w:p w14:paraId="06CA877D">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0.2</w:t>
            </w:r>
          </w:p>
        </w:tc>
        <w:tc>
          <w:tcPr>
            <w:tcW w:w="572" w:type="pct"/>
            <w:vAlign w:val="center"/>
          </w:tcPr>
          <w:p w14:paraId="01DD4D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0B9E13DC">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0.2</w:t>
            </w:r>
          </w:p>
        </w:tc>
        <w:tc>
          <w:tcPr>
            <w:tcW w:w="681" w:type="pct"/>
            <w:vAlign w:val="center"/>
          </w:tcPr>
          <w:p w14:paraId="5618989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3CE2750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4AFFC6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36FB1E5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1CBBEF2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53873ED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废残液</w:t>
            </w:r>
          </w:p>
        </w:tc>
        <w:tc>
          <w:tcPr>
            <w:tcW w:w="671" w:type="pct"/>
            <w:vAlign w:val="center"/>
          </w:tcPr>
          <w:p w14:paraId="0DD498F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367.2</w:t>
            </w:r>
          </w:p>
        </w:tc>
        <w:tc>
          <w:tcPr>
            <w:tcW w:w="572" w:type="pct"/>
            <w:vAlign w:val="center"/>
          </w:tcPr>
          <w:p w14:paraId="6E00338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69CC9C8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367.2</w:t>
            </w:r>
          </w:p>
        </w:tc>
        <w:tc>
          <w:tcPr>
            <w:tcW w:w="681" w:type="pct"/>
            <w:vAlign w:val="center"/>
          </w:tcPr>
          <w:p w14:paraId="0F2CC5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1594D62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2A0DE3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23B4410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5D38F88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1A27300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废滤纸</w:t>
            </w:r>
          </w:p>
        </w:tc>
        <w:tc>
          <w:tcPr>
            <w:tcW w:w="671" w:type="pct"/>
            <w:vAlign w:val="center"/>
          </w:tcPr>
          <w:p w14:paraId="45A9823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500</w:t>
            </w:r>
          </w:p>
        </w:tc>
        <w:tc>
          <w:tcPr>
            <w:tcW w:w="572" w:type="pct"/>
            <w:vAlign w:val="center"/>
          </w:tcPr>
          <w:p w14:paraId="083BBBC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3C1FBFA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500</w:t>
            </w:r>
          </w:p>
        </w:tc>
        <w:tc>
          <w:tcPr>
            <w:tcW w:w="681" w:type="pct"/>
            <w:vAlign w:val="center"/>
          </w:tcPr>
          <w:p w14:paraId="331C455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36A3D45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0419DB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50C1D34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Align w:val="center"/>
          </w:tcPr>
          <w:p w14:paraId="7540606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废气处理</w:t>
            </w:r>
          </w:p>
        </w:tc>
        <w:tc>
          <w:tcPr>
            <w:tcW w:w="685" w:type="pct"/>
            <w:vAlign w:val="center"/>
          </w:tcPr>
          <w:p w14:paraId="6AC12CF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废活性炭</w:t>
            </w:r>
          </w:p>
        </w:tc>
        <w:tc>
          <w:tcPr>
            <w:tcW w:w="671" w:type="pct"/>
            <w:vAlign w:val="center"/>
          </w:tcPr>
          <w:p w14:paraId="1F1B13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u w:val="single"/>
              </w:rPr>
              <w:t>1.</w:t>
            </w:r>
            <w:r>
              <w:rPr>
                <w:rFonts w:hint="default" w:ascii="Times New Roman" w:hAnsi="Times New Roman" w:eastAsia="宋体" w:cs="Times New Roman"/>
                <w:u w:val="single"/>
                <w:lang w:val="en-US" w:eastAsia="zh-CN"/>
              </w:rPr>
              <w:t>5</w:t>
            </w:r>
          </w:p>
        </w:tc>
        <w:tc>
          <w:tcPr>
            <w:tcW w:w="572" w:type="pct"/>
            <w:vAlign w:val="center"/>
          </w:tcPr>
          <w:p w14:paraId="71F21BE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7249D04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u w:val="single"/>
              </w:rPr>
              <w:t>1.</w:t>
            </w:r>
            <w:r>
              <w:rPr>
                <w:rFonts w:hint="default" w:ascii="Times New Roman" w:hAnsi="Times New Roman" w:eastAsia="宋体" w:cs="Times New Roman"/>
                <w:u w:val="single"/>
                <w:lang w:val="en-US" w:eastAsia="zh-CN"/>
              </w:rPr>
              <w:t>5</w:t>
            </w:r>
          </w:p>
        </w:tc>
        <w:tc>
          <w:tcPr>
            <w:tcW w:w="681" w:type="pct"/>
            <w:vAlign w:val="center"/>
          </w:tcPr>
          <w:p w14:paraId="56E381B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38857B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1F9777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154D128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restart"/>
            <w:vAlign w:val="center"/>
          </w:tcPr>
          <w:p w14:paraId="4567055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机械设备维修保养</w:t>
            </w:r>
          </w:p>
        </w:tc>
        <w:tc>
          <w:tcPr>
            <w:tcW w:w="685" w:type="pct"/>
            <w:vAlign w:val="center"/>
          </w:tcPr>
          <w:p w14:paraId="6FD1CFC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废矿物油</w:t>
            </w:r>
          </w:p>
        </w:tc>
        <w:tc>
          <w:tcPr>
            <w:tcW w:w="671" w:type="pct"/>
            <w:vAlign w:val="center"/>
          </w:tcPr>
          <w:p w14:paraId="6A09B1D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1</w:t>
            </w:r>
          </w:p>
        </w:tc>
        <w:tc>
          <w:tcPr>
            <w:tcW w:w="572" w:type="pct"/>
            <w:vAlign w:val="center"/>
          </w:tcPr>
          <w:p w14:paraId="5748F2E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110986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1</w:t>
            </w:r>
          </w:p>
        </w:tc>
        <w:tc>
          <w:tcPr>
            <w:tcW w:w="681" w:type="pct"/>
            <w:vAlign w:val="center"/>
          </w:tcPr>
          <w:p w14:paraId="7B05D63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7011D0F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782620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1730A5D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5CD16F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63983A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废弃的含油抹布和劳保用品</w:t>
            </w:r>
          </w:p>
        </w:tc>
        <w:tc>
          <w:tcPr>
            <w:tcW w:w="671" w:type="pct"/>
            <w:vAlign w:val="center"/>
          </w:tcPr>
          <w:p w14:paraId="18732E3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0.05</w:t>
            </w:r>
          </w:p>
        </w:tc>
        <w:tc>
          <w:tcPr>
            <w:tcW w:w="572" w:type="pct"/>
            <w:vAlign w:val="center"/>
          </w:tcPr>
          <w:p w14:paraId="415F7AF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2DF3197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0.05</w:t>
            </w:r>
          </w:p>
        </w:tc>
        <w:tc>
          <w:tcPr>
            <w:tcW w:w="681" w:type="pct"/>
            <w:vAlign w:val="center"/>
          </w:tcPr>
          <w:p w14:paraId="13D7EC4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5AD3AF9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38BBF3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3354DC1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56F4229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6CD8F2C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废油桶</w:t>
            </w:r>
          </w:p>
        </w:tc>
        <w:tc>
          <w:tcPr>
            <w:tcW w:w="671" w:type="pct"/>
            <w:vAlign w:val="center"/>
          </w:tcPr>
          <w:p w14:paraId="57953C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0.2</w:t>
            </w:r>
          </w:p>
        </w:tc>
        <w:tc>
          <w:tcPr>
            <w:tcW w:w="572" w:type="pct"/>
            <w:vAlign w:val="center"/>
          </w:tcPr>
          <w:p w14:paraId="7BB6AA3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59F55D5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0.2</w:t>
            </w:r>
          </w:p>
        </w:tc>
        <w:tc>
          <w:tcPr>
            <w:tcW w:w="681" w:type="pct"/>
            <w:vAlign w:val="center"/>
          </w:tcPr>
          <w:p w14:paraId="4F270B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412AF8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3320AC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0AD7598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Align w:val="center"/>
          </w:tcPr>
          <w:p w14:paraId="23CD7B2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污水处理</w:t>
            </w:r>
          </w:p>
        </w:tc>
        <w:tc>
          <w:tcPr>
            <w:tcW w:w="685" w:type="pct"/>
            <w:vAlign w:val="center"/>
          </w:tcPr>
          <w:p w14:paraId="323F36E9">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污泥</w:t>
            </w:r>
          </w:p>
        </w:tc>
        <w:tc>
          <w:tcPr>
            <w:tcW w:w="671" w:type="pct"/>
            <w:vAlign w:val="center"/>
          </w:tcPr>
          <w:p w14:paraId="390E7622">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eastAsia="zh-CN"/>
              </w:rPr>
            </w:pPr>
            <w:r>
              <w:rPr>
                <w:rFonts w:hint="default" w:ascii="Times New Roman" w:hAnsi="Times New Roman" w:eastAsia="宋体" w:cs="Times New Roman"/>
                <w:u w:val="single"/>
                <w:lang w:eastAsia="zh-CN"/>
              </w:rPr>
              <w:t>59.4</w:t>
            </w:r>
          </w:p>
        </w:tc>
        <w:tc>
          <w:tcPr>
            <w:tcW w:w="572" w:type="pct"/>
            <w:vAlign w:val="center"/>
          </w:tcPr>
          <w:p w14:paraId="47F353E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3746C3A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59.4</w:t>
            </w:r>
          </w:p>
        </w:tc>
        <w:tc>
          <w:tcPr>
            <w:tcW w:w="681" w:type="pct"/>
            <w:vAlign w:val="center"/>
          </w:tcPr>
          <w:p w14:paraId="27D45B6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22407A3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2C48FB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495018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Align w:val="center"/>
          </w:tcPr>
          <w:p w14:paraId="2CCFA0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员工办公</w:t>
            </w:r>
          </w:p>
        </w:tc>
        <w:tc>
          <w:tcPr>
            <w:tcW w:w="685" w:type="pct"/>
            <w:vAlign w:val="center"/>
          </w:tcPr>
          <w:p w14:paraId="46EBC6A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生活垃圾</w:t>
            </w:r>
          </w:p>
        </w:tc>
        <w:tc>
          <w:tcPr>
            <w:tcW w:w="671" w:type="pct"/>
            <w:vAlign w:val="center"/>
          </w:tcPr>
          <w:p w14:paraId="70668A4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15.6t/a</w:t>
            </w:r>
          </w:p>
        </w:tc>
        <w:tc>
          <w:tcPr>
            <w:tcW w:w="572" w:type="pct"/>
            <w:vAlign w:val="center"/>
          </w:tcPr>
          <w:p w14:paraId="16954BC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572" w:type="pct"/>
            <w:vAlign w:val="center"/>
          </w:tcPr>
          <w:p w14:paraId="1687BB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15.6t/a</w:t>
            </w:r>
          </w:p>
        </w:tc>
        <w:tc>
          <w:tcPr>
            <w:tcW w:w="681" w:type="pct"/>
            <w:vAlign w:val="center"/>
          </w:tcPr>
          <w:p w14:paraId="74F954E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678" w:type="pct"/>
            <w:vAlign w:val="center"/>
          </w:tcPr>
          <w:p w14:paraId="79EBDF6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bookmarkEnd w:id="295"/>
    </w:tbl>
    <w:p w14:paraId="045584D0">
      <w:pPr>
        <w:pStyle w:val="3"/>
        <w:spacing w:before="0" w:after="0" w:line="360" w:lineRule="auto"/>
        <w:jc w:val="left"/>
        <w:rPr>
          <w:rFonts w:hint="default" w:ascii="Times New Roman" w:hAnsi="Times New Roman" w:eastAsia="宋体" w:cs="Times New Roman"/>
          <w:u w:val="single"/>
        </w:rPr>
      </w:pPr>
      <w:bookmarkStart w:id="296" w:name="_Toc123733100"/>
      <w:bookmarkStart w:id="297" w:name="_Toc106961894"/>
      <w:bookmarkStart w:id="298" w:name="_Toc1747"/>
      <w:r>
        <w:rPr>
          <w:rFonts w:hint="default" w:ascii="Times New Roman" w:hAnsi="Times New Roman" w:eastAsia="宋体" w:cs="Times New Roman"/>
          <w:kern w:val="0"/>
          <w:sz w:val="30"/>
          <w:szCs w:val="28"/>
          <w:u w:val="single"/>
        </w:rPr>
        <w:t>5.6非正常工况污染源源强核算</w:t>
      </w:r>
      <w:bookmarkEnd w:id="296"/>
      <w:bookmarkEnd w:id="297"/>
      <w:bookmarkEnd w:id="298"/>
    </w:p>
    <w:p w14:paraId="738785EC">
      <w:pPr>
        <w:pStyle w:val="48"/>
        <w:spacing w:before="0" w:line="360" w:lineRule="auto"/>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结合本项目产排污特点，项目的非正常工况考虑废气处理设施出现故障时的污染物排放情况，对收集的有组织废气处理失效；</w:t>
      </w:r>
      <w:r>
        <w:rPr>
          <w:rFonts w:hint="default" w:ascii="Times New Roman" w:hAnsi="Times New Roman" w:eastAsia="宋体" w:cs="Times New Roman"/>
          <w:sz w:val="24"/>
          <w:u w:val="single"/>
          <w:lang w:val="en-US" w:eastAsia="zh-CN"/>
        </w:rPr>
        <w:t>由于项目污水处理站有足够的处理能力，且项目拟配套50m</w:t>
      </w:r>
      <w:r>
        <w:rPr>
          <w:rFonts w:hint="default" w:ascii="Times New Roman" w:hAnsi="Times New Roman" w:eastAsia="宋体" w:cs="Times New Roman"/>
          <w:sz w:val="24"/>
          <w:u w:val="single"/>
          <w:vertAlign w:val="superscript"/>
          <w:lang w:val="en-US" w:eastAsia="zh-CN"/>
        </w:rPr>
        <w:t>3</w:t>
      </w:r>
      <w:r>
        <w:rPr>
          <w:rFonts w:hint="default" w:ascii="Times New Roman" w:hAnsi="Times New Roman" w:eastAsia="宋体" w:cs="Times New Roman"/>
          <w:sz w:val="24"/>
          <w:u w:val="single"/>
          <w:lang w:val="en-US" w:eastAsia="zh-CN"/>
        </w:rPr>
        <w:t>的蓄水池和400m</w:t>
      </w:r>
      <w:r>
        <w:rPr>
          <w:rFonts w:hint="default" w:ascii="Times New Roman" w:hAnsi="Times New Roman" w:eastAsia="宋体" w:cs="Times New Roman"/>
          <w:sz w:val="24"/>
          <w:u w:val="single"/>
          <w:vertAlign w:val="superscript"/>
          <w:lang w:val="en-US" w:eastAsia="zh-CN"/>
        </w:rPr>
        <w:t>3</w:t>
      </w:r>
      <w:r>
        <w:rPr>
          <w:rFonts w:hint="default" w:ascii="Times New Roman" w:hAnsi="Times New Roman" w:eastAsia="宋体" w:cs="Times New Roman"/>
          <w:sz w:val="24"/>
          <w:u w:val="single"/>
          <w:lang w:val="en-US" w:eastAsia="zh-CN"/>
        </w:rPr>
        <w:t>的事故池，可贮存至少10d的生产废水量，可满足污水处理站故障情况下的废水收集，因此不考虑生产废水的事故排放</w:t>
      </w:r>
      <w:r>
        <w:rPr>
          <w:rFonts w:hint="default" w:ascii="Times New Roman" w:hAnsi="Times New Roman" w:eastAsia="宋体" w:cs="Times New Roman"/>
          <w:sz w:val="24"/>
          <w:u w:val="single"/>
        </w:rPr>
        <w:t>。</w:t>
      </w:r>
    </w:p>
    <w:p w14:paraId="446734F0">
      <w:pPr>
        <w:pStyle w:val="48"/>
        <w:spacing w:before="0" w:line="360" w:lineRule="auto"/>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项目污染物非正常排放情况见下表。</w:t>
      </w:r>
    </w:p>
    <w:p w14:paraId="45B8438D">
      <w:pPr>
        <w:pStyle w:val="48"/>
        <w:spacing w:before="0" w:line="360" w:lineRule="auto"/>
        <w:ind w:firstLine="0" w:firstLineChars="0"/>
        <w:jc w:val="center"/>
        <w:rPr>
          <w:rFonts w:hint="default" w:ascii="Times New Roman" w:hAnsi="Times New Roman" w:eastAsia="宋体" w:cs="Times New Roman"/>
          <w:b/>
          <w:u w:val="single"/>
        </w:rPr>
      </w:pPr>
      <w:r>
        <w:rPr>
          <w:rFonts w:hint="default" w:ascii="Times New Roman" w:hAnsi="Times New Roman" w:eastAsia="宋体" w:cs="Times New Roman"/>
          <w:b/>
          <w:sz w:val="21"/>
          <w:szCs w:val="18"/>
          <w:u w:val="single"/>
        </w:rPr>
        <w:t>表5.6-1 非正常工况废气和废水排放情况表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81"/>
        <w:gridCol w:w="1160"/>
        <w:gridCol w:w="1168"/>
        <w:gridCol w:w="1144"/>
        <w:gridCol w:w="975"/>
        <w:gridCol w:w="975"/>
        <w:gridCol w:w="1162"/>
        <w:gridCol w:w="1157"/>
      </w:tblGrid>
      <w:tr w14:paraId="65C64A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Align w:val="center"/>
          </w:tcPr>
          <w:p w14:paraId="7F35E11A">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类别</w:t>
            </w:r>
          </w:p>
        </w:tc>
        <w:tc>
          <w:tcPr>
            <w:tcW w:w="680" w:type="pct"/>
            <w:vAlign w:val="center"/>
          </w:tcPr>
          <w:p w14:paraId="5E83265B">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排放源</w:t>
            </w:r>
          </w:p>
        </w:tc>
        <w:tc>
          <w:tcPr>
            <w:tcW w:w="685" w:type="pct"/>
            <w:vAlign w:val="center"/>
          </w:tcPr>
          <w:p w14:paraId="3AB048C6">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污染物</w:t>
            </w:r>
          </w:p>
        </w:tc>
        <w:tc>
          <w:tcPr>
            <w:tcW w:w="671" w:type="pct"/>
            <w:vAlign w:val="center"/>
          </w:tcPr>
          <w:p w14:paraId="77032D0D">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产生量t/a</w:t>
            </w:r>
          </w:p>
        </w:tc>
        <w:tc>
          <w:tcPr>
            <w:tcW w:w="572" w:type="pct"/>
            <w:vAlign w:val="center"/>
          </w:tcPr>
          <w:p w14:paraId="6B7064FF">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产生浓度mg/m</w:t>
            </w:r>
            <w:r>
              <w:rPr>
                <w:rFonts w:hint="default" w:ascii="Times New Roman" w:hAnsi="Times New Roman" w:eastAsia="宋体" w:cs="Times New Roman"/>
                <w:b/>
                <w:kern w:val="0"/>
                <w:szCs w:val="21"/>
                <w:u w:val="single"/>
                <w:vertAlign w:val="superscript"/>
              </w:rPr>
              <w:t>3</w:t>
            </w:r>
          </w:p>
        </w:tc>
        <w:tc>
          <w:tcPr>
            <w:tcW w:w="572" w:type="pct"/>
            <w:vAlign w:val="center"/>
          </w:tcPr>
          <w:p w14:paraId="0730B98D">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排放量t/a</w:t>
            </w:r>
          </w:p>
        </w:tc>
        <w:tc>
          <w:tcPr>
            <w:tcW w:w="681" w:type="pct"/>
            <w:vAlign w:val="center"/>
          </w:tcPr>
          <w:p w14:paraId="58D11561">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排放速率kg/h</w:t>
            </w:r>
          </w:p>
        </w:tc>
        <w:tc>
          <w:tcPr>
            <w:tcW w:w="678" w:type="pct"/>
            <w:vAlign w:val="center"/>
          </w:tcPr>
          <w:p w14:paraId="50502AB2">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排放浓度</w:t>
            </w:r>
          </w:p>
          <w:p w14:paraId="57D0DD77">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mg/m</w:t>
            </w:r>
            <w:r>
              <w:rPr>
                <w:rFonts w:hint="default" w:ascii="Times New Roman" w:hAnsi="Times New Roman" w:eastAsia="宋体" w:cs="Times New Roman"/>
                <w:b/>
                <w:kern w:val="0"/>
                <w:szCs w:val="21"/>
                <w:u w:val="single"/>
                <w:vertAlign w:val="superscript"/>
              </w:rPr>
              <w:t>3</w:t>
            </w:r>
          </w:p>
        </w:tc>
      </w:tr>
      <w:tr w14:paraId="76DA52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restart"/>
            <w:vAlign w:val="center"/>
          </w:tcPr>
          <w:p w14:paraId="3CB0BB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废气</w:t>
            </w:r>
          </w:p>
          <w:p w14:paraId="554AE5D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有组织</w:t>
            </w:r>
          </w:p>
        </w:tc>
        <w:tc>
          <w:tcPr>
            <w:tcW w:w="680" w:type="pct"/>
            <w:vMerge w:val="restart"/>
            <w:vAlign w:val="center"/>
          </w:tcPr>
          <w:p w14:paraId="6C4E82B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RCO催化燃烧装置+15m排气筒DA001</w:t>
            </w:r>
          </w:p>
        </w:tc>
        <w:tc>
          <w:tcPr>
            <w:tcW w:w="685" w:type="pct"/>
            <w:vAlign w:val="center"/>
          </w:tcPr>
          <w:p w14:paraId="29EC84B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VOCs</w:t>
            </w:r>
          </w:p>
        </w:tc>
        <w:tc>
          <w:tcPr>
            <w:tcW w:w="671" w:type="pct"/>
            <w:vAlign w:val="center"/>
          </w:tcPr>
          <w:p w14:paraId="59C57D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61.56</w:t>
            </w:r>
          </w:p>
        </w:tc>
        <w:tc>
          <w:tcPr>
            <w:tcW w:w="572" w:type="pct"/>
            <w:vAlign w:val="center"/>
          </w:tcPr>
          <w:p w14:paraId="5C44250C">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1026</w:t>
            </w:r>
          </w:p>
        </w:tc>
        <w:tc>
          <w:tcPr>
            <w:tcW w:w="572" w:type="pct"/>
            <w:vAlign w:val="center"/>
          </w:tcPr>
          <w:p w14:paraId="200218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61.56</w:t>
            </w:r>
          </w:p>
        </w:tc>
        <w:tc>
          <w:tcPr>
            <w:tcW w:w="681" w:type="pct"/>
            <w:vAlign w:val="center"/>
          </w:tcPr>
          <w:p w14:paraId="526097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11.66</w:t>
            </w:r>
          </w:p>
        </w:tc>
        <w:tc>
          <w:tcPr>
            <w:tcW w:w="678" w:type="pct"/>
            <w:vAlign w:val="center"/>
          </w:tcPr>
          <w:p w14:paraId="2892B7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1026</w:t>
            </w:r>
          </w:p>
        </w:tc>
      </w:tr>
      <w:tr w14:paraId="1D97FA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72AD4EE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4EA88EC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5531B6B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苯</w:t>
            </w:r>
          </w:p>
        </w:tc>
        <w:tc>
          <w:tcPr>
            <w:tcW w:w="671" w:type="pct"/>
            <w:vAlign w:val="center"/>
          </w:tcPr>
          <w:p w14:paraId="35C6B126">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0.9234</w:t>
            </w:r>
          </w:p>
        </w:tc>
        <w:tc>
          <w:tcPr>
            <w:tcW w:w="572" w:type="pct"/>
            <w:vAlign w:val="center"/>
          </w:tcPr>
          <w:p w14:paraId="3803D053">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15.39</w:t>
            </w:r>
          </w:p>
        </w:tc>
        <w:tc>
          <w:tcPr>
            <w:tcW w:w="572" w:type="pct"/>
            <w:vAlign w:val="center"/>
          </w:tcPr>
          <w:p w14:paraId="58D3E373">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1.8468</w:t>
            </w:r>
          </w:p>
        </w:tc>
        <w:tc>
          <w:tcPr>
            <w:tcW w:w="681" w:type="pct"/>
            <w:vAlign w:val="center"/>
          </w:tcPr>
          <w:p w14:paraId="3BEAC67E">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0.184</w:t>
            </w:r>
          </w:p>
        </w:tc>
        <w:tc>
          <w:tcPr>
            <w:tcW w:w="678" w:type="pct"/>
            <w:vAlign w:val="center"/>
          </w:tcPr>
          <w:p w14:paraId="40C5FBF2">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15.39</w:t>
            </w:r>
          </w:p>
        </w:tc>
      </w:tr>
      <w:tr w14:paraId="274DD0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304AE08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4AEE1E6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249FC7A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甲苯</w:t>
            </w:r>
          </w:p>
        </w:tc>
        <w:tc>
          <w:tcPr>
            <w:tcW w:w="671" w:type="pct"/>
            <w:vAlign w:val="center"/>
          </w:tcPr>
          <w:p w14:paraId="01D138BC">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0.9234</w:t>
            </w:r>
          </w:p>
        </w:tc>
        <w:tc>
          <w:tcPr>
            <w:tcW w:w="572" w:type="pct"/>
            <w:vAlign w:val="center"/>
          </w:tcPr>
          <w:p w14:paraId="3F94FC00">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15.39</w:t>
            </w:r>
          </w:p>
        </w:tc>
        <w:tc>
          <w:tcPr>
            <w:tcW w:w="572" w:type="pct"/>
            <w:vAlign w:val="center"/>
          </w:tcPr>
          <w:p w14:paraId="7902C4E6">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1.8468</w:t>
            </w:r>
          </w:p>
        </w:tc>
        <w:tc>
          <w:tcPr>
            <w:tcW w:w="681" w:type="pct"/>
            <w:vAlign w:val="center"/>
          </w:tcPr>
          <w:p w14:paraId="4A875CD0">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0.184</w:t>
            </w:r>
          </w:p>
        </w:tc>
        <w:tc>
          <w:tcPr>
            <w:tcW w:w="678" w:type="pct"/>
            <w:vAlign w:val="center"/>
          </w:tcPr>
          <w:p w14:paraId="57E4CF6A">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15.39</w:t>
            </w:r>
          </w:p>
        </w:tc>
      </w:tr>
      <w:tr w14:paraId="57DBAB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7634AF8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3AD8DEC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36808B4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二甲苯</w:t>
            </w:r>
          </w:p>
        </w:tc>
        <w:tc>
          <w:tcPr>
            <w:tcW w:w="671" w:type="pct"/>
            <w:vAlign w:val="center"/>
          </w:tcPr>
          <w:p w14:paraId="5FA10781">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0.9234</w:t>
            </w:r>
          </w:p>
        </w:tc>
        <w:tc>
          <w:tcPr>
            <w:tcW w:w="572" w:type="pct"/>
            <w:vAlign w:val="center"/>
          </w:tcPr>
          <w:p w14:paraId="7801F67A">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15.39</w:t>
            </w:r>
          </w:p>
        </w:tc>
        <w:tc>
          <w:tcPr>
            <w:tcW w:w="572" w:type="pct"/>
            <w:vAlign w:val="center"/>
          </w:tcPr>
          <w:p w14:paraId="0CB2D8DE">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1.8468</w:t>
            </w:r>
          </w:p>
        </w:tc>
        <w:tc>
          <w:tcPr>
            <w:tcW w:w="681" w:type="pct"/>
            <w:vAlign w:val="center"/>
          </w:tcPr>
          <w:p w14:paraId="159E05CF">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0.184</w:t>
            </w:r>
          </w:p>
        </w:tc>
        <w:tc>
          <w:tcPr>
            <w:tcW w:w="678" w:type="pct"/>
            <w:vAlign w:val="center"/>
          </w:tcPr>
          <w:p w14:paraId="49258785">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15.39</w:t>
            </w:r>
          </w:p>
        </w:tc>
      </w:tr>
      <w:tr w14:paraId="69FBD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3BFFCFA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restart"/>
            <w:vAlign w:val="center"/>
          </w:tcPr>
          <w:p w14:paraId="71316CE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危废贮存仓库排气筒DA002</w:t>
            </w:r>
          </w:p>
        </w:tc>
        <w:tc>
          <w:tcPr>
            <w:tcW w:w="685" w:type="pct"/>
            <w:vAlign w:val="center"/>
          </w:tcPr>
          <w:p w14:paraId="6B19260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VOCs</w:t>
            </w:r>
          </w:p>
        </w:tc>
        <w:tc>
          <w:tcPr>
            <w:tcW w:w="1144" w:type="dxa"/>
            <w:vAlign w:val="center"/>
          </w:tcPr>
          <w:p w14:paraId="6FC0A40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2.67</w:t>
            </w:r>
          </w:p>
        </w:tc>
        <w:tc>
          <w:tcPr>
            <w:tcW w:w="572" w:type="pct"/>
            <w:vAlign w:val="center"/>
          </w:tcPr>
          <w:p w14:paraId="1788BD9A">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33.9</w:t>
            </w:r>
          </w:p>
        </w:tc>
        <w:tc>
          <w:tcPr>
            <w:tcW w:w="975" w:type="dxa"/>
            <w:vAlign w:val="center"/>
          </w:tcPr>
          <w:p w14:paraId="4961048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u w:val="single"/>
              </w:rPr>
            </w:pPr>
            <w:r>
              <w:rPr>
                <w:rFonts w:hint="default" w:ascii="Times New Roman" w:hAnsi="Times New Roman" w:eastAsia="宋体" w:cs="Times New Roman"/>
                <w:u w:val="single"/>
                <w:lang w:val="en-US" w:eastAsia="zh-CN"/>
              </w:rPr>
              <w:t>2.67</w:t>
            </w:r>
          </w:p>
        </w:tc>
        <w:tc>
          <w:tcPr>
            <w:tcW w:w="681" w:type="pct"/>
            <w:vAlign w:val="center"/>
          </w:tcPr>
          <w:p w14:paraId="71A21442">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0.3</w:t>
            </w:r>
          </w:p>
        </w:tc>
        <w:tc>
          <w:tcPr>
            <w:tcW w:w="1157" w:type="dxa"/>
            <w:vAlign w:val="center"/>
          </w:tcPr>
          <w:p w14:paraId="4B481AD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u w:val="single"/>
              </w:rPr>
            </w:pPr>
            <w:r>
              <w:rPr>
                <w:rFonts w:hint="default" w:ascii="Times New Roman" w:hAnsi="Times New Roman" w:eastAsia="宋体" w:cs="Times New Roman"/>
                <w:u w:val="single"/>
                <w:lang w:val="en-US" w:eastAsia="zh-CN"/>
              </w:rPr>
              <w:t>33.9</w:t>
            </w:r>
          </w:p>
        </w:tc>
      </w:tr>
      <w:tr w14:paraId="3A9327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36F131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4A0CD99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2A73BB2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硫酸雾</w:t>
            </w:r>
          </w:p>
        </w:tc>
        <w:tc>
          <w:tcPr>
            <w:tcW w:w="1144" w:type="dxa"/>
            <w:vAlign w:val="center"/>
          </w:tcPr>
          <w:p w14:paraId="57D4782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0.23</w:t>
            </w:r>
          </w:p>
        </w:tc>
        <w:tc>
          <w:tcPr>
            <w:tcW w:w="572" w:type="pct"/>
            <w:vAlign w:val="center"/>
          </w:tcPr>
          <w:p w14:paraId="74476719">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9.6</w:t>
            </w:r>
          </w:p>
        </w:tc>
        <w:tc>
          <w:tcPr>
            <w:tcW w:w="975" w:type="dxa"/>
            <w:vAlign w:val="center"/>
          </w:tcPr>
          <w:p w14:paraId="28C6C44A">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u w:val="single"/>
              </w:rPr>
            </w:pPr>
            <w:r>
              <w:rPr>
                <w:rFonts w:hint="default" w:ascii="Times New Roman" w:hAnsi="Times New Roman" w:eastAsia="宋体" w:cs="Times New Roman"/>
                <w:szCs w:val="21"/>
                <w:u w:val="single"/>
                <w:lang w:val="en-US" w:eastAsia="zh-CN"/>
              </w:rPr>
              <w:t>0.1566</w:t>
            </w:r>
          </w:p>
        </w:tc>
        <w:tc>
          <w:tcPr>
            <w:tcW w:w="1162" w:type="dxa"/>
            <w:vAlign w:val="center"/>
          </w:tcPr>
          <w:p w14:paraId="7CF0BD33">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szCs w:val="21"/>
                <w:u w:val="single"/>
                <w:lang w:val="en-US" w:eastAsia="zh-CN"/>
              </w:rPr>
              <w:t>0.020</w:t>
            </w:r>
          </w:p>
        </w:tc>
        <w:tc>
          <w:tcPr>
            <w:tcW w:w="1157" w:type="dxa"/>
            <w:vAlign w:val="center"/>
          </w:tcPr>
          <w:p w14:paraId="47F9DC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u w:val="single"/>
              </w:rPr>
            </w:pPr>
            <w:r>
              <w:rPr>
                <w:rFonts w:hint="default" w:ascii="Times New Roman" w:hAnsi="Times New Roman" w:eastAsia="宋体" w:cs="Times New Roman"/>
                <w:szCs w:val="21"/>
                <w:u w:val="single"/>
                <w:lang w:val="en-US" w:eastAsia="zh-CN"/>
              </w:rPr>
              <w:t>2.0</w:t>
            </w:r>
          </w:p>
        </w:tc>
      </w:tr>
      <w:tr w14:paraId="1BF96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restart"/>
            <w:vAlign w:val="center"/>
          </w:tcPr>
          <w:p w14:paraId="4D28FF2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废气无组织</w:t>
            </w:r>
          </w:p>
        </w:tc>
        <w:tc>
          <w:tcPr>
            <w:tcW w:w="680" w:type="pct"/>
            <w:vMerge w:val="restart"/>
            <w:vAlign w:val="center"/>
          </w:tcPr>
          <w:p w14:paraId="131D1BB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lang w:eastAsia="zh-CN"/>
              </w:rPr>
              <w:t>危险废物综合处置车间</w:t>
            </w:r>
          </w:p>
        </w:tc>
        <w:tc>
          <w:tcPr>
            <w:tcW w:w="685" w:type="pct"/>
            <w:vAlign w:val="center"/>
          </w:tcPr>
          <w:p w14:paraId="13F6EDE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szCs w:val="21"/>
                <w:u w:val="single"/>
              </w:rPr>
              <w:t>VOCs</w:t>
            </w:r>
          </w:p>
        </w:tc>
        <w:tc>
          <w:tcPr>
            <w:tcW w:w="671" w:type="pct"/>
            <w:vAlign w:val="center"/>
          </w:tcPr>
          <w:p w14:paraId="34FCCC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1.62</w:t>
            </w:r>
          </w:p>
        </w:tc>
        <w:tc>
          <w:tcPr>
            <w:tcW w:w="572" w:type="pct"/>
            <w:vAlign w:val="center"/>
          </w:tcPr>
          <w:p w14:paraId="384270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572" w:type="pct"/>
            <w:vAlign w:val="center"/>
          </w:tcPr>
          <w:p w14:paraId="180229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1.62</w:t>
            </w:r>
          </w:p>
        </w:tc>
        <w:tc>
          <w:tcPr>
            <w:tcW w:w="681" w:type="pct"/>
            <w:vAlign w:val="center"/>
          </w:tcPr>
          <w:p w14:paraId="07C8F3E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0.31</w:t>
            </w:r>
          </w:p>
        </w:tc>
        <w:tc>
          <w:tcPr>
            <w:tcW w:w="678" w:type="pct"/>
            <w:vAlign w:val="center"/>
          </w:tcPr>
          <w:p w14:paraId="2E2915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384ED3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2FA34BF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535AD1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255D6C5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szCs w:val="21"/>
                <w:u w:val="single"/>
              </w:rPr>
              <w:t>苯</w:t>
            </w:r>
          </w:p>
        </w:tc>
        <w:tc>
          <w:tcPr>
            <w:tcW w:w="671" w:type="pct"/>
            <w:vAlign w:val="center"/>
          </w:tcPr>
          <w:p w14:paraId="6D631C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572" w:type="pct"/>
            <w:vAlign w:val="center"/>
          </w:tcPr>
          <w:p w14:paraId="06EC15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572" w:type="pct"/>
            <w:vAlign w:val="center"/>
          </w:tcPr>
          <w:p w14:paraId="26E6B1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681" w:type="pct"/>
            <w:vAlign w:val="center"/>
          </w:tcPr>
          <w:p w14:paraId="0C82AD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0.0093</w:t>
            </w:r>
          </w:p>
        </w:tc>
        <w:tc>
          <w:tcPr>
            <w:tcW w:w="678" w:type="pct"/>
            <w:vAlign w:val="center"/>
          </w:tcPr>
          <w:p w14:paraId="430110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376E0C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124939B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0AD26DA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70D680C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szCs w:val="21"/>
                <w:u w:val="single"/>
              </w:rPr>
              <w:t>甲苯</w:t>
            </w:r>
          </w:p>
        </w:tc>
        <w:tc>
          <w:tcPr>
            <w:tcW w:w="671" w:type="pct"/>
            <w:vAlign w:val="center"/>
          </w:tcPr>
          <w:p w14:paraId="32EFC7D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572" w:type="pct"/>
            <w:vAlign w:val="center"/>
          </w:tcPr>
          <w:p w14:paraId="3F59625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572" w:type="pct"/>
            <w:vAlign w:val="center"/>
          </w:tcPr>
          <w:p w14:paraId="30407C5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681" w:type="pct"/>
            <w:vAlign w:val="center"/>
          </w:tcPr>
          <w:p w14:paraId="25DFF03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0.0093</w:t>
            </w:r>
          </w:p>
        </w:tc>
        <w:tc>
          <w:tcPr>
            <w:tcW w:w="678" w:type="pct"/>
            <w:vAlign w:val="center"/>
          </w:tcPr>
          <w:p w14:paraId="3680942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64C61A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61E2E94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776C752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7EF02D4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szCs w:val="21"/>
                <w:u w:val="single"/>
              </w:rPr>
              <w:t>二甲苯</w:t>
            </w:r>
          </w:p>
        </w:tc>
        <w:tc>
          <w:tcPr>
            <w:tcW w:w="671" w:type="pct"/>
            <w:vAlign w:val="center"/>
          </w:tcPr>
          <w:p w14:paraId="29B016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572" w:type="pct"/>
            <w:vAlign w:val="center"/>
          </w:tcPr>
          <w:p w14:paraId="5A0D76E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572" w:type="pct"/>
            <w:vAlign w:val="center"/>
          </w:tcPr>
          <w:p w14:paraId="284C57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681" w:type="pct"/>
            <w:vAlign w:val="center"/>
          </w:tcPr>
          <w:p w14:paraId="517979D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0.0093</w:t>
            </w:r>
          </w:p>
        </w:tc>
        <w:tc>
          <w:tcPr>
            <w:tcW w:w="678" w:type="pct"/>
            <w:vAlign w:val="center"/>
          </w:tcPr>
          <w:p w14:paraId="3F5D5C2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250FB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28BE9C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028410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3EF8B8B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lang w:val="en-US" w:eastAsia="zh-CN"/>
              </w:rPr>
              <w:t>硫酸雾</w:t>
            </w:r>
          </w:p>
        </w:tc>
        <w:tc>
          <w:tcPr>
            <w:tcW w:w="671" w:type="pct"/>
            <w:vAlign w:val="center"/>
          </w:tcPr>
          <w:p w14:paraId="519B300F">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szCs w:val="21"/>
                <w:u w:val="single"/>
              </w:rPr>
              <w:t>0.0</w:t>
            </w:r>
            <w:r>
              <w:rPr>
                <w:rFonts w:hint="default" w:ascii="Times New Roman" w:hAnsi="Times New Roman" w:eastAsia="宋体" w:cs="Times New Roman"/>
                <w:szCs w:val="21"/>
                <w:u w:val="single"/>
                <w:lang w:val="en-US" w:eastAsia="zh-CN"/>
              </w:rPr>
              <w:t>174</w:t>
            </w:r>
          </w:p>
        </w:tc>
        <w:tc>
          <w:tcPr>
            <w:tcW w:w="572" w:type="pct"/>
            <w:vAlign w:val="center"/>
          </w:tcPr>
          <w:p w14:paraId="2A1E2B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572" w:type="pct"/>
            <w:vAlign w:val="center"/>
          </w:tcPr>
          <w:p w14:paraId="63FA7F82">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szCs w:val="21"/>
                <w:u w:val="single"/>
              </w:rPr>
              <w:t>0.0</w:t>
            </w:r>
            <w:r>
              <w:rPr>
                <w:rFonts w:hint="default" w:ascii="Times New Roman" w:hAnsi="Times New Roman" w:eastAsia="宋体" w:cs="Times New Roman"/>
                <w:szCs w:val="21"/>
                <w:u w:val="single"/>
                <w:lang w:val="en-US" w:eastAsia="zh-CN"/>
              </w:rPr>
              <w:t>174</w:t>
            </w:r>
          </w:p>
        </w:tc>
        <w:tc>
          <w:tcPr>
            <w:tcW w:w="681" w:type="pct"/>
            <w:vAlign w:val="center"/>
          </w:tcPr>
          <w:p w14:paraId="4441FB32">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0.0022</w:t>
            </w:r>
          </w:p>
        </w:tc>
        <w:tc>
          <w:tcPr>
            <w:tcW w:w="678" w:type="pct"/>
            <w:vAlign w:val="center"/>
          </w:tcPr>
          <w:p w14:paraId="19481F3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4A529D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28" w:hRule="atLeast"/>
        </w:trPr>
        <w:tc>
          <w:tcPr>
            <w:tcW w:w="458" w:type="pct"/>
            <w:vMerge w:val="continue"/>
            <w:vAlign w:val="center"/>
          </w:tcPr>
          <w:p w14:paraId="03612B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restart"/>
            <w:vAlign w:val="center"/>
          </w:tcPr>
          <w:p w14:paraId="581565E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污水处理站</w:t>
            </w:r>
          </w:p>
        </w:tc>
        <w:tc>
          <w:tcPr>
            <w:tcW w:w="685" w:type="pct"/>
            <w:vAlign w:val="center"/>
          </w:tcPr>
          <w:p w14:paraId="538B557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szCs w:val="21"/>
                <w:u w:val="single"/>
              </w:rPr>
              <w:t>NH</w:t>
            </w:r>
            <w:r>
              <w:rPr>
                <w:rFonts w:hint="default" w:ascii="Times New Roman" w:hAnsi="Times New Roman" w:eastAsia="宋体" w:cs="Times New Roman"/>
                <w:sz w:val="21"/>
                <w:szCs w:val="21"/>
                <w:u w:val="single"/>
                <w:vertAlign w:val="subscript"/>
              </w:rPr>
              <w:t>3</w:t>
            </w:r>
          </w:p>
        </w:tc>
        <w:tc>
          <w:tcPr>
            <w:tcW w:w="1144" w:type="dxa"/>
            <w:vAlign w:val="center"/>
          </w:tcPr>
          <w:p w14:paraId="109840C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w:t>
            </w:r>
            <w:r>
              <w:rPr>
                <w:rFonts w:hint="default" w:ascii="Times New Roman" w:hAnsi="Times New Roman" w:eastAsia="宋体" w:cs="Times New Roman"/>
                <w:szCs w:val="21"/>
                <w:u w:val="single"/>
                <w:lang w:val="en-US" w:eastAsia="zh-CN"/>
              </w:rPr>
              <w:t>612</w:t>
            </w:r>
          </w:p>
        </w:tc>
        <w:tc>
          <w:tcPr>
            <w:tcW w:w="572" w:type="pct"/>
            <w:vAlign w:val="center"/>
          </w:tcPr>
          <w:p w14:paraId="3696F6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975" w:type="dxa"/>
            <w:vAlign w:val="center"/>
          </w:tcPr>
          <w:p w14:paraId="62A33AC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w:t>
            </w:r>
            <w:r>
              <w:rPr>
                <w:rFonts w:hint="default" w:ascii="Times New Roman" w:hAnsi="Times New Roman" w:eastAsia="宋体" w:cs="Times New Roman"/>
                <w:szCs w:val="21"/>
                <w:u w:val="single"/>
                <w:lang w:val="en-US" w:eastAsia="zh-CN"/>
              </w:rPr>
              <w:t>612</w:t>
            </w:r>
          </w:p>
        </w:tc>
        <w:tc>
          <w:tcPr>
            <w:tcW w:w="681" w:type="pct"/>
            <w:vAlign w:val="center"/>
          </w:tcPr>
          <w:p w14:paraId="762270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0.00</w:t>
            </w:r>
            <w:r>
              <w:rPr>
                <w:rFonts w:hint="default" w:ascii="Times New Roman" w:hAnsi="Times New Roman" w:eastAsia="宋体" w:cs="Times New Roman"/>
                <w:u w:val="single"/>
                <w:lang w:val="en-US" w:eastAsia="zh-CN"/>
              </w:rPr>
              <w:t>0</w:t>
            </w:r>
            <w:r>
              <w:rPr>
                <w:rFonts w:hint="default" w:ascii="Times New Roman" w:hAnsi="Times New Roman" w:eastAsia="宋体" w:cs="Times New Roman"/>
                <w:u w:val="single"/>
              </w:rPr>
              <w:t>66</w:t>
            </w:r>
          </w:p>
        </w:tc>
        <w:tc>
          <w:tcPr>
            <w:tcW w:w="678" w:type="pct"/>
            <w:vAlign w:val="center"/>
          </w:tcPr>
          <w:p w14:paraId="03B1B9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21E5DB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58" w:type="pct"/>
            <w:vMerge w:val="continue"/>
            <w:vAlign w:val="center"/>
          </w:tcPr>
          <w:p w14:paraId="6250E7D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0" w:type="pct"/>
            <w:vMerge w:val="continue"/>
            <w:vAlign w:val="center"/>
          </w:tcPr>
          <w:p w14:paraId="6462F73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685" w:type="pct"/>
            <w:vAlign w:val="center"/>
          </w:tcPr>
          <w:p w14:paraId="759BCDF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szCs w:val="21"/>
                <w:u w:val="single"/>
              </w:rPr>
              <w:t>H</w:t>
            </w:r>
            <w:r>
              <w:rPr>
                <w:rFonts w:hint="default" w:ascii="Times New Roman" w:hAnsi="Times New Roman" w:eastAsia="宋体" w:cs="Times New Roman"/>
                <w:sz w:val="21"/>
                <w:szCs w:val="21"/>
                <w:u w:val="single"/>
                <w:vertAlign w:val="subscript"/>
              </w:rPr>
              <w:t>2</w:t>
            </w:r>
            <w:r>
              <w:rPr>
                <w:rFonts w:hint="default" w:ascii="Times New Roman" w:hAnsi="Times New Roman" w:eastAsia="宋体" w:cs="Times New Roman"/>
                <w:sz w:val="21"/>
                <w:szCs w:val="21"/>
                <w:u w:val="single"/>
              </w:rPr>
              <w:t>S</w:t>
            </w:r>
          </w:p>
        </w:tc>
        <w:tc>
          <w:tcPr>
            <w:tcW w:w="1144" w:type="dxa"/>
            <w:vAlign w:val="center"/>
          </w:tcPr>
          <w:p w14:paraId="56A3138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w:t>
            </w:r>
            <w:r>
              <w:rPr>
                <w:rFonts w:hint="default" w:ascii="Times New Roman" w:hAnsi="Times New Roman" w:eastAsia="宋体" w:cs="Times New Roman"/>
                <w:szCs w:val="21"/>
                <w:u w:val="single"/>
                <w:lang w:val="en-US" w:eastAsia="zh-CN"/>
              </w:rPr>
              <w:t>182</w:t>
            </w:r>
          </w:p>
        </w:tc>
        <w:tc>
          <w:tcPr>
            <w:tcW w:w="572" w:type="pct"/>
            <w:vAlign w:val="center"/>
          </w:tcPr>
          <w:p w14:paraId="657C44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975" w:type="dxa"/>
            <w:vAlign w:val="center"/>
          </w:tcPr>
          <w:p w14:paraId="0A13751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w:t>
            </w:r>
            <w:r>
              <w:rPr>
                <w:rFonts w:hint="default" w:ascii="Times New Roman" w:hAnsi="Times New Roman" w:eastAsia="宋体" w:cs="Times New Roman"/>
                <w:szCs w:val="21"/>
                <w:u w:val="single"/>
                <w:lang w:val="en-US" w:eastAsia="zh-CN"/>
              </w:rPr>
              <w:t>182</w:t>
            </w:r>
          </w:p>
        </w:tc>
        <w:tc>
          <w:tcPr>
            <w:tcW w:w="681" w:type="pct"/>
            <w:vAlign w:val="center"/>
          </w:tcPr>
          <w:p w14:paraId="28A8E2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w:t>
            </w:r>
            <w:r>
              <w:rPr>
                <w:rFonts w:hint="default" w:ascii="Times New Roman" w:hAnsi="Times New Roman" w:eastAsia="宋体" w:cs="Times New Roman"/>
                <w:u w:val="single"/>
                <w:lang w:val="en-US" w:eastAsia="zh-CN"/>
              </w:rPr>
              <w:t>0</w:t>
            </w:r>
            <w:r>
              <w:rPr>
                <w:rFonts w:hint="default" w:ascii="Times New Roman" w:hAnsi="Times New Roman" w:eastAsia="宋体" w:cs="Times New Roman"/>
                <w:u w:val="single"/>
              </w:rPr>
              <w:t>002</w:t>
            </w:r>
          </w:p>
        </w:tc>
        <w:tc>
          <w:tcPr>
            <w:tcW w:w="678" w:type="pct"/>
            <w:vAlign w:val="center"/>
          </w:tcPr>
          <w:p w14:paraId="3444F1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bl>
    <w:p w14:paraId="16E3E7CE">
      <w:pPr>
        <w:pStyle w:val="3"/>
        <w:spacing w:before="0" w:after="0" w:line="360" w:lineRule="auto"/>
        <w:jc w:val="left"/>
        <w:rPr>
          <w:rFonts w:hint="default" w:ascii="Times New Roman" w:hAnsi="Times New Roman" w:eastAsia="宋体" w:cs="Times New Roman"/>
          <w:u w:val="single"/>
        </w:rPr>
      </w:pPr>
      <w:bookmarkStart w:id="299" w:name="_Toc123733101"/>
      <w:bookmarkStart w:id="300" w:name="_Toc20923"/>
      <w:bookmarkStart w:id="301" w:name="_Toc106961895"/>
      <w:r>
        <w:rPr>
          <w:rFonts w:hint="default" w:ascii="Times New Roman" w:hAnsi="Times New Roman" w:eastAsia="宋体" w:cs="Times New Roman"/>
          <w:kern w:val="0"/>
          <w:sz w:val="30"/>
          <w:szCs w:val="28"/>
          <w:u w:val="single"/>
        </w:rPr>
        <w:t>5.7全厂</w:t>
      </w:r>
      <w:r>
        <w:rPr>
          <w:rFonts w:hint="default" w:ascii="Times New Roman" w:hAnsi="Times New Roman" w:eastAsia="宋体" w:cs="Times New Roman"/>
          <w:kern w:val="0"/>
          <w:sz w:val="30"/>
          <w:szCs w:val="28"/>
          <w:u w:val="single"/>
          <w:lang w:val="en-US" w:eastAsia="zh-CN"/>
        </w:rPr>
        <w:t>搬迁扩建前后</w:t>
      </w:r>
      <w:r>
        <w:rPr>
          <w:rFonts w:hint="default" w:ascii="Times New Roman" w:hAnsi="Times New Roman" w:eastAsia="宋体" w:cs="Times New Roman"/>
          <w:kern w:val="0"/>
          <w:sz w:val="30"/>
          <w:szCs w:val="28"/>
          <w:u w:val="single"/>
        </w:rPr>
        <w:t>“三本账”分析</w:t>
      </w:r>
      <w:bookmarkEnd w:id="299"/>
      <w:bookmarkEnd w:id="300"/>
      <w:bookmarkEnd w:id="301"/>
    </w:p>
    <w:p w14:paraId="51648F95">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项目完成</w:t>
      </w:r>
      <w:r>
        <w:rPr>
          <w:rFonts w:hint="default" w:ascii="Times New Roman" w:hAnsi="Times New Roman" w:eastAsia="宋体" w:cs="Times New Roman"/>
          <w:sz w:val="24"/>
          <w:szCs w:val="24"/>
          <w:u w:val="single"/>
          <w:lang w:val="en-US" w:eastAsia="zh-CN"/>
        </w:rPr>
        <w:t>搬迁</w:t>
      </w:r>
      <w:r>
        <w:rPr>
          <w:rFonts w:hint="default" w:ascii="Times New Roman" w:hAnsi="Times New Roman" w:eastAsia="宋体" w:cs="Times New Roman"/>
          <w:sz w:val="24"/>
          <w:szCs w:val="24"/>
          <w:u w:val="single"/>
        </w:rPr>
        <w:t>扩建后，全厂污染物排放“三本账”情况见下表：</w:t>
      </w:r>
    </w:p>
    <w:p w14:paraId="6D4AA637">
      <w:pPr>
        <w:spacing w:line="360" w:lineRule="auto"/>
        <w:jc w:val="center"/>
        <w:rPr>
          <w:rFonts w:hint="default" w:ascii="Times New Roman" w:hAnsi="Times New Roman" w:eastAsia="宋体" w:cs="Times New Roman"/>
          <w:b/>
          <w:u w:val="single"/>
        </w:rPr>
      </w:pPr>
    </w:p>
    <w:p w14:paraId="772C29E6">
      <w:pPr>
        <w:spacing w:line="360" w:lineRule="auto"/>
        <w:jc w:val="center"/>
        <w:rPr>
          <w:rFonts w:hint="default" w:ascii="Times New Roman" w:hAnsi="Times New Roman" w:eastAsia="宋体" w:cs="Times New Roman"/>
          <w:b/>
          <w:u w:val="single"/>
        </w:rPr>
      </w:pPr>
    </w:p>
    <w:p w14:paraId="3E005290">
      <w:pPr>
        <w:spacing w:line="360" w:lineRule="auto"/>
        <w:jc w:val="center"/>
        <w:rPr>
          <w:rFonts w:hint="default" w:ascii="Times New Roman" w:hAnsi="Times New Roman" w:eastAsia="宋体" w:cs="Times New Roman"/>
          <w:b/>
          <w:u w:val="single"/>
        </w:rPr>
      </w:pPr>
    </w:p>
    <w:p w14:paraId="41A49C54">
      <w:pPr>
        <w:spacing w:line="360" w:lineRule="auto"/>
        <w:jc w:val="center"/>
        <w:rPr>
          <w:rFonts w:hint="default" w:ascii="Times New Roman" w:hAnsi="Times New Roman" w:eastAsia="宋体" w:cs="Times New Roman"/>
          <w:b/>
          <w:u w:val="single"/>
        </w:rPr>
      </w:pPr>
      <w:r>
        <w:rPr>
          <w:rFonts w:hint="default" w:ascii="Times New Roman" w:hAnsi="Times New Roman" w:eastAsia="宋体" w:cs="Times New Roman"/>
          <w:b/>
          <w:u w:val="single"/>
        </w:rPr>
        <w:t>表5.7-1</w:t>
      </w:r>
      <w:r>
        <w:rPr>
          <w:rFonts w:hint="default" w:ascii="Times New Roman" w:hAnsi="Times New Roman" w:eastAsia="宋体" w:cs="Times New Roman"/>
          <w:b/>
          <w:u w:val="single"/>
        </w:rPr>
        <w:tab/>
      </w:r>
      <w:r>
        <w:rPr>
          <w:rFonts w:hint="default" w:ascii="Times New Roman" w:hAnsi="Times New Roman" w:eastAsia="宋体" w:cs="Times New Roman"/>
          <w:b/>
          <w:u w:val="single"/>
        </w:rPr>
        <w:t>全厂污染物排放“三本账”分析表 t/a</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7"/>
        <w:gridCol w:w="1492"/>
        <w:gridCol w:w="1208"/>
        <w:gridCol w:w="1025"/>
        <w:gridCol w:w="1232"/>
        <w:gridCol w:w="1353"/>
        <w:gridCol w:w="1365"/>
      </w:tblGrid>
      <w:tr w14:paraId="5743B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Align w:val="center"/>
          </w:tcPr>
          <w:p w14:paraId="20F5C8C1">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类别</w:t>
            </w:r>
          </w:p>
        </w:tc>
        <w:tc>
          <w:tcPr>
            <w:tcW w:w="875" w:type="pct"/>
            <w:vAlign w:val="center"/>
          </w:tcPr>
          <w:p w14:paraId="54040051">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污染物</w:t>
            </w:r>
          </w:p>
        </w:tc>
        <w:tc>
          <w:tcPr>
            <w:tcW w:w="708" w:type="pct"/>
            <w:vAlign w:val="center"/>
          </w:tcPr>
          <w:p w14:paraId="28F6810E">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lang w:val="en-US" w:eastAsia="zh-CN"/>
              </w:rPr>
              <w:t>搬迁</w:t>
            </w:r>
            <w:r>
              <w:rPr>
                <w:rFonts w:hint="default" w:ascii="Times New Roman" w:hAnsi="Times New Roman" w:eastAsia="宋体" w:cs="Times New Roman"/>
                <w:b/>
                <w:kern w:val="0"/>
                <w:szCs w:val="21"/>
                <w:u w:val="single"/>
              </w:rPr>
              <w:t>扩建前排放量t/a</w:t>
            </w:r>
          </w:p>
        </w:tc>
        <w:tc>
          <w:tcPr>
            <w:tcW w:w="601" w:type="pct"/>
            <w:vAlign w:val="center"/>
          </w:tcPr>
          <w:p w14:paraId="025D401F">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以新带老削减量t/a</w:t>
            </w:r>
          </w:p>
        </w:tc>
        <w:tc>
          <w:tcPr>
            <w:tcW w:w="722" w:type="pct"/>
            <w:vAlign w:val="center"/>
          </w:tcPr>
          <w:p w14:paraId="50C6A843">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lang w:val="en-US" w:eastAsia="zh-CN"/>
              </w:rPr>
              <w:t>搬迁</w:t>
            </w:r>
            <w:r>
              <w:rPr>
                <w:rFonts w:hint="default" w:ascii="Times New Roman" w:hAnsi="Times New Roman" w:eastAsia="宋体" w:cs="Times New Roman"/>
                <w:b/>
                <w:kern w:val="0"/>
                <w:szCs w:val="21"/>
                <w:u w:val="single"/>
              </w:rPr>
              <w:t>扩建项目排放量t/a</w:t>
            </w:r>
          </w:p>
        </w:tc>
        <w:tc>
          <w:tcPr>
            <w:tcW w:w="793" w:type="pct"/>
            <w:vAlign w:val="center"/>
          </w:tcPr>
          <w:p w14:paraId="168F9E8F">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lang w:val="en-US" w:eastAsia="zh-CN"/>
              </w:rPr>
              <w:t>搬迁</w:t>
            </w:r>
            <w:r>
              <w:rPr>
                <w:rFonts w:hint="default" w:ascii="Times New Roman" w:hAnsi="Times New Roman" w:eastAsia="宋体" w:cs="Times New Roman"/>
                <w:b/>
                <w:kern w:val="0"/>
                <w:szCs w:val="21"/>
                <w:u w:val="single"/>
              </w:rPr>
              <w:t>扩建后全厂排放量t/a</w:t>
            </w:r>
          </w:p>
        </w:tc>
        <w:tc>
          <w:tcPr>
            <w:tcW w:w="800" w:type="pct"/>
            <w:vAlign w:val="center"/>
          </w:tcPr>
          <w:p w14:paraId="29D54ED9">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全厂排放变化量</w:t>
            </w:r>
          </w:p>
          <w:p w14:paraId="72033E6A">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t/a</w:t>
            </w:r>
          </w:p>
        </w:tc>
      </w:tr>
      <w:tr w14:paraId="4F9CA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restart"/>
            <w:vAlign w:val="center"/>
          </w:tcPr>
          <w:p w14:paraId="29739DE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废气</w:t>
            </w:r>
          </w:p>
          <w:p w14:paraId="093ED7F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有组织</w:t>
            </w:r>
          </w:p>
        </w:tc>
        <w:tc>
          <w:tcPr>
            <w:tcW w:w="875" w:type="pct"/>
            <w:vAlign w:val="center"/>
          </w:tcPr>
          <w:p w14:paraId="5AF6281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VOCs</w:t>
            </w:r>
          </w:p>
        </w:tc>
        <w:tc>
          <w:tcPr>
            <w:tcW w:w="708" w:type="pct"/>
            <w:vAlign w:val="center"/>
          </w:tcPr>
          <w:p w14:paraId="280D463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0.1314</w:t>
            </w:r>
          </w:p>
        </w:tc>
        <w:tc>
          <w:tcPr>
            <w:tcW w:w="601" w:type="pct"/>
            <w:vAlign w:val="center"/>
          </w:tcPr>
          <w:p w14:paraId="1C68F0B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vAlign w:val="center"/>
          </w:tcPr>
          <w:p w14:paraId="2E632D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rPr>
              <w:t>1</w:t>
            </w:r>
            <w:r>
              <w:rPr>
                <w:rFonts w:hint="default" w:ascii="Times New Roman" w:hAnsi="Times New Roman" w:eastAsia="宋体" w:cs="Times New Roman"/>
                <w:szCs w:val="21"/>
                <w:u w:val="single"/>
                <w:lang w:val="en-US" w:eastAsia="zh-CN"/>
              </w:rPr>
              <w:t>.807</w:t>
            </w:r>
          </w:p>
        </w:tc>
        <w:tc>
          <w:tcPr>
            <w:tcW w:w="793" w:type="pct"/>
            <w:vAlign w:val="center"/>
          </w:tcPr>
          <w:p w14:paraId="77FBE4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w:t>
            </w:r>
            <w:r>
              <w:rPr>
                <w:rFonts w:hint="default" w:ascii="Times New Roman" w:hAnsi="Times New Roman" w:eastAsia="宋体" w:cs="Times New Roman"/>
                <w:szCs w:val="21"/>
                <w:u w:val="single"/>
                <w:lang w:val="en-US" w:eastAsia="zh-CN"/>
              </w:rPr>
              <w:t>.807</w:t>
            </w:r>
          </w:p>
        </w:tc>
        <w:tc>
          <w:tcPr>
            <w:tcW w:w="800" w:type="pct"/>
            <w:vAlign w:val="center"/>
          </w:tcPr>
          <w:p w14:paraId="6D5B6B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rPr>
              <w:t>+</w:t>
            </w:r>
            <w:r>
              <w:rPr>
                <w:rFonts w:hint="default" w:ascii="Times New Roman" w:hAnsi="Times New Roman" w:eastAsia="宋体" w:cs="Times New Roman"/>
                <w:szCs w:val="21"/>
                <w:u w:val="single"/>
                <w:lang w:val="en-US" w:eastAsia="zh-CN"/>
              </w:rPr>
              <w:t>1.6756</w:t>
            </w:r>
          </w:p>
        </w:tc>
      </w:tr>
      <w:tr w14:paraId="59F4B1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06447FC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5E44EDF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硫酸雾</w:t>
            </w:r>
          </w:p>
        </w:tc>
        <w:tc>
          <w:tcPr>
            <w:tcW w:w="708" w:type="pct"/>
            <w:vAlign w:val="center"/>
          </w:tcPr>
          <w:p w14:paraId="0EBD8DB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lang w:val="en-US" w:eastAsia="zh-CN"/>
              </w:rPr>
            </w:pPr>
            <w:r>
              <w:rPr>
                <w:rFonts w:hint="default" w:ascii="Times New Roman" w:hAnsi="Times New Roman" w:eastAsia="宋体" w:cs="Times New Roman"/>
                <w:color w:val="000000"/>
                <w:szCs w:val="21"/>
                <w:u w:val="single"/>
                <w:lang w:val="en-US" w:eastAsia="zh-CN"/>
              </w:rPr>
              <w:t>0</w:t>
            </w:r>
          </w:p>
        </w:tc>
        <w:tc>
          <w:tcPr>
            <w:tcW w:w="601" w:type="pct"/>
            <w:vAlign w:val="center"/>
          </w:tcPr>
          <w:p w14:paraId="268C2E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lang w:val="en-US" w:eastAsia="zh-CN"/>
              </w:rPr>
              <w:t>0</w:t>
            </w:r>
          </w:p>
        </w:tc>
        <w:tc>
          <w:tcPr>
            <w:tcW w:w="722" w:type="pct"/>
            <w:vAlign w:val="center"/>
          </w:tcPr>
          <w:p w14:paraId="53E8BD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lang w:val="en-US" w:eastAsia="zh-CN"/>
              </w:rPr>
              <w:t>0.1566</w:t>
            </w:r>
          </w:p>
        </w:tc>
        <w:tc>
          <w:tcPr>
            <w:tcW w:w="793" w:type="pct"/>
            <w:vAlign w:val="center"/>
          </w:tcPr>
          <w:p w14:paraId="003BB0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rPr>
            </w:pPr>
            <w:r>
              <w:rPr>
                <w:rFonts w:hint="default" w:ascii="Times New Roman" w:hAnsi="Times New Roman" w:eastAsia="宋体" w:cs="Times New Roman"/>
                <w:szCs w:val="21"/>
                <w:u w:val="single"/>
                <w:lang w:val="en-US" w:eastAsia="zh-CN"/>
              </w:rPr>
              <w:t>0.1566</w:t>
            </w:r>
          </w:p>
        </w:tc>
        <w:tc>
          <w:tcPr>
            <w:tcW w:w="800" w:type="pct"/>
            <w:vAlign w:val="center"/>
          </w:tcPr>
          <w:p w14:paraId="459FB2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rPr>
            </w:pPr>
            <w:r>
              <w:rPr>
                <w:rFonts w:hint="default" w:ascii="Times New Roman" w:hAnsi="Times New Roman" w:eastAsia="宋体" w:cs="Times New Roman"/>
                <w:szCs w:val="21"/>
                <w:u w:val="single"/>
                <w:lang w:val="en-US" w:eastAsia="zh-CN"/>
              </w:rPr>
              <w:t>+0.1566</w:t>
            </w:r>
          </w:p>
        </w:tc>
      </w:tr>
      <w:tr w14:paraId="54ED8C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2C5913D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218403A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苯</w:t>
            </w:r>
          </w:p>
        </w:tc>
        <w:tc>
          <w:tcPr>
            <w:tcW w:w="708" w:type="pct"/>
            <w:vAlign w:val="center"/>
          </w:tcPr>
          <w:p w14:paraId="1AD959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601" w:type="pct"/>
            <w:vAlign w:val="center"/>
          </w:tcPr>
          <w:p w14:paraId="123372C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vAlign w:val="center"/>
          </w:tcPr>
          <w:p w14:paraId="1C2F16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0.0462</w:t>
            </w:r>
          </w:p>
        </w:tc>
        <w:tc>
          <w:tcPr>
            <w:tcW w:w="793" w:type="pct"/>
            <w:vAlign w:val="center"/>
          </w:tcPr>
          <w:p w14:paraId="5AE984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0.0462</w:t>
            </w:r>
          </w:p>
        </w:tc>
        <w:tc>
          <w:tcPr>
            <w:tcW w:w="800" w:type="pct"/>
            <w:vAlign w:val="center"/>
          </w:tcPr>
          <w:p w14:paraId="7D2E73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+0.0462</w:t>
            </w:r>
          </w:p>
        </w:tc>
      </w:tr>
      <w:tr w14:paraId="0FD1A5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2A1CB6A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70326CC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甲苯</w:t>
            </w:r>
          </w:p>
        </w:tc>
        <w:tc>
          <w:tcPr>
            <w:tcW w:w="708" w:type="pct"/>
            <w:vAlign w:val="center"/>
          </w:tcPr>
          <w:p w14:paraId="2D25B80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601" w:type="pct"/>
            <w:vAlign w:val="center"/>
          </w:tcPr>
          <w:p w14:paraId="5428C8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vAlign w:val="center"/>
          </w:tcPr>
          <w:p w14:paraId="63F4A69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0.0462</w:t>
            </w:r>
          </w:p>
        </w:tc>
        <w:tc>
          <w:tcPr>
            <w:tcW w:w="793" w:type="pct"/>
            <w:vAlign w:val="center"/>
          </w:tcPr>
          <w:p w14:paraId="5FFBEA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0.0462</w:t>
            </w:r>
          </w:p>
        </w:tc>
        <w:tc>
          <w:tcPr>
            <w:tcW w:w="800" w:type="pct"/>
            <w:vAlign w:val="center"/>
          </w:tcPr>
          <w:p w14:paraId="0E66147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+0.0462</w:t>
            </w:r>
          </w:p>
        </w:tc>
      </w:tr>
      <w:tr w14:paraId="1AD2F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692278E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76E7FDC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二甲苯</w:t>
            </w:r>
          </w:p>
        </w:tc>
        <w:tc>
          <w:tcPr>
            <w:tcW w:w="708" w:type="pct"/>
            <w:vAlign w:val="center"/>
          </w:tcPr>
          <w:p w14:paraId="7E675C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601" w:type="pct"/>
            <w:vAlign w:val="center"/>
          </w:tcPr>
          <w:p w14:paraId="0BC42DE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126D8F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0.0462</w:t>
            </w:r>
          </w:p>
        </w:tc>
        <w:tc>
          <w:tcPr>
            <w:tcW w:w="793" w:type="pct"/>
            <w:vAlign w:val="center"/>
          </w:tcPr>
          <w:p w14:paraId="71B4EF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0.0462</w:t>
            </w:r>
          </w:p>
        </w:tc>
        <w:tc>
          <w:tcPr>
            <w:tcW w:w="800" w:type="pct"/>
            <w:vAlign w:val="center"/>
          </w:tcPr>
          <w:p w14:paraId="59EAC6D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+0.0462</w:t>
            </w:r>
          </w:p>
        </w:tc>
      </w:tr>
      <w:tr w14:paraId="5868C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restart"/>
            <w:vAlign w:val="center"/>
          </w:tcPr>
          <w:p w14:paraId="61BECC4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废气</w:t>
            </w:r>
          </w:p>
          <w:p w14:paraId="4D6D2ED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无组织</w:t>
            </w:r>
          </w:p>
        </w:tc>
        <w:tc>
          <w:tcPr>
            <w:tcW w:w="875" w:type="pct"/>
            <w:vAlign w:val="center"/>
          </w:tcPr>
          <w:p w14:paraId="7BA15ED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VOCs</w:t>
            </w:r>
          </w:p>
        </w:tc>
        <w:tc>
          <w:tcPr>
            <w:tcW w:w="708" w:type="pct"/>
            <w:vAlign w:val="center"/>
          </w:tcPr>
          <w:p w14:paraId="4707F8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color w:val="000000"/>
                <w:szCs w:val="21"/>
                <w:u w:val="single"/>
              </w:rPr>
              <w:t>0.</w:t>
            </w:r>
            <w:r>
              <w:rPr>
                <w:rFonts w:hint="default" w:ascii="Times New Roman" w:hAnsi="Times New Roman" w:eastAsia="宋体" w:cs="Times New Roman"/>
                <w:color w:val="000000"/>
                <w:szCs w:val="21"/>
                <w:u w:val="single"/>
                <w:lang w:val="en-US" w:eastAsia="zh-CN"/>
              </w:rPr>
              <w:t>2374</w:t>
            </w:r>
          </w:p>
        </w:tc>
        <w:tc>
          <w:tcPr>
            <w:tcW w:w="601" w:type="pct"/>
            <w:vAlign w:val="center"/>
          </w:tcPr>
          <w:p w14:paraId="0684CE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vAlign w:val="center"/>
          </w:tcPr>
          <w:p w14:paraId="1EBF501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u w:val="single"/>
                <w:lang w:val="en-US" w:eastAsia="zh-CN"/>
              </w:rPr>
              <w:t>1.8574</w:t>
            </w:r>
          </w:p>
        </w:tc>
        <w:tc>
          <w:tcPr>
            <w:tcW w:w="793" w:type="pct"/>
            <w:vAlign w:val="center"/>
          </w:tcPr>
          <w:p w14:paraId="30DE1E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lang w:val="en-US" w:eastAsia="zh-CN"/>
              </w:rPr>
              <w:t>1.8574</w:t>
            </w:r>
          </w:p>
        </w:tc>
        <w:tc>
          <w:tcPr>
            <w:tcW w:w="800" w:type="pct"/>
            <w:vAlign w:val="center"/>
          </w:tcPr>
          <w:p w14:paraId="3483BAC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u w:val="single"/>
              </w:rPr>
              <w:t>+1.</w:t>
            </w:r>
            <w:r>
              <w:rPr>
                <w:rFonts w:hint="default" w:ascii="Times New Roman" w:hAnsi="Times New Roman" w:eastAsia="宋体" w:cs="Times New Roman"/>
                <w:u w:val="single"/>
                <w:lang w:val="en-US" w:eastAsia="zh-CN"/>
              </w:rPr>
              <w:t>62</w:t>
            </w:r>
          </w:p>
        </w:tc>
      </w:tr>
      <w:tr w14:paraId="3F488C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46C4512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1FB853F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sz w:val="21"/>
                <w:szCs w:val="21"/>
                <w:u w:val="single"/>
                <w:lang w:val="en-US" w:eastAsia="zh-CN"/>
              </w:rPr>
              <w:t>硫酸雾</w:t>
            </w:r>
          </w:p>
        </w:tc>
        <w:tc>
          <w:tcPr>
            <w:tcW w:w="708" w:type="pct"/>
            <w:vAlign w:val="center"/>
          </w:tcPr>
          <w:p w14:paraId="0700AF8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lang w:val="en-US" w:eastAsia="zh-CN"/>
              </w:rPr>
            </w:pPr>
            <w:r>
              <w:rPr>
                <w:rFonts w:hint="default" w:ascii="Times New Roman" w:hAnsi="Times New Roman" w:eastAsia="宋体" w:cs="Times New Roman"/>
                <w:color w:val="000000"/>
                <w:szCs w:val="21"/>
                <w:u w:val="single"/>
                <w:lang w:val="en-US" w:eastAsia="zh-CN"/>
              </w:rPr>
              <w:t>0</w:t>
            </w:r>
          </w:p>
        </w:tc>
        <w:tc>
          <w:tcPr>
            <w:tcW w:w="601" w:type="pct"/>
            <w:vAlign w:val="center"/>
          </w:tcPr>
          <w:p w14:paraId="38EA13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lang w:val="en-US" w:eastAsia="zh-CN"/>
              </w:rPr>
              <w:t>0</w:t>
            </w:r>
          </w:p>
        </w:tc>
        <w:tc>
          <w:tcPr>
            <w:tcW w:w="722" w:type="pct"/>
            <w:vAlign w:val="center"/>
          </w:tcPr>
          <w:p w14:paraId="295EDDB9">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0.0174</w:t>
            </w:r>
          </w:p>
        </w:tc>
        <w:tc>
          <w:tcPr>
            <w:tcW w:w="793" w:type="pct"/>
            <w:vAlign w:val="center"/>
          </w:tcPr>
          <w:p w14:paraId="3D849BC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0.0174</w:t>
            </w:r>
          </w:p>
        </w:tc>
        <w:tc>
          <w:tcPr>
            <w:tcW w:w="800" w:type="pct"/>
            <w:vAlign w:val="center"/>
          </w:tcPr>
          <w:p w14:paraId="7226EBA8">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lang w:val="en-US" w:eastAsia="zh-CN"/>
              </w:rPr>
              <w:t>+0.0.0174</w:t>
            </w:r>
          </w:p>
        </w:tc>
      </w:tr>
      <w:tr w14:paraId="2A1668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5029DB1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bottom w:val="single" w:color="auto" w:sz="4" w:space="0"/>
            </w:tcBorders>
            <w:vAlign w:val="center"/>
          </w:tcPr>
          <w:p w14:paraId="3D61529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苯</w:t>
            </w:r>
          </w:p>
        </w:tc>
        <w:tc>
          <w:tcPr>
            <w:tcW w:w="708" w:type="pct"/>
            <w:vAlign w:val="center"/>
          </w:tcPr>
          <w:p w14:paraId="026C3F1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601" w:type="pct"/>
            <w:vAlign w:val="center"/>
          </w:tcPr>
          <w:p w14:paraId="707B5F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vAlign w:val="center"/>
          </w:tcPr>
          <w:p w14:paraId="67B477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793" w:type="pct"/>
            <w:vAlign w:val="center"/>
          </w:tcPr>
          <w:p w14:paraId="6FB140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800" w:type="pct"/>
            <w:vAlign w:val="center"/>
          </w:tcPr>
          <w:p w14:paraId="114B21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r>
      <w:tr w14:paraId="364081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5B609E9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top w:val="single" w:color="auto" w:sz="4" w:space="0"/>
            </w:tcBorders>
            <w:vAlign w:val="center"/>
          </w:tcPr>
          <w:p w14:paraId="2D29757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甲苯</w:t>
            </w:r>
          </w:p>
        </w:tc>
        <w:tc>
          <w:tcPr>
            <w:tcW w:w="708" w:type="pct"/>
            <w:vAlign w:val="center"/>
          </w:tcPr>
          <w:p w14:paraId="2230E60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601" w:type="pct"/>
            <w:vAlign w:val="center"/>
          </w:tcPr>
          <w:p w14:paraId="30EEEE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vAlign w:val="center"/>
          </w:tcPr>
          <w:p w14:paraId="3EA8A2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793" w:type="pct"/>
            <w:vAlign w:val="center"/>
          </w:tcPr>
          <w:p w14:paraId="48E541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c>
          <w:tcPr>
            <w:tcW w:w="800" w:type="pct"/>
            <w:vAlign w:val="center"/>
          </w:tcPr>
          <w:p w14:paraId="4D398FE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t>+0.0486</w:t>
            </w:r>
          </w:p>
        </w:tc>
      </w:tr>
      <w:tr w14:paraId="0A02D6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1D0A842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bottom w:val="single" w:color="auto" w:sz="4" w:space="0"/>
            </w:tcBorders>
            <w:vAlign w:val="center"/>
          </w:tcPr>
          <w:p w14:paraId="2A0067C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二甲苯</w:t>
            </w:r>
          </w:p>
        </w:tc>
        <w:tc>
          <w:tcPr>
            <w:tcW w:w="708" w:type="pct"/>
            <w:vAlign w:val="center"/>
          </w:tcPr>
          <w:p w14:paraId="6919ABE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601" w:type="pct"/>
            <w:vAlign w:val="center"/>
          </w:tcPr>
          <w:p w14:paraId="16D450E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742310D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0.0486</w:t>
            </w:r>
          </w:p>
        </w:tc>
        <w:tc>
          <w:tcPr>
            <w:tcW w:w="793" w:type="pct"/>
            <w:vAlign w:val="center"/>
          </w:tcPr>
          <w:p w14:paraId="652AEE4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0.0486</w:t>
            </w:r>
          </w:p>
        </w:tc>
        <w:tc>
          <w:tcPr>
            <w:tcW w:w="800" w:type="pct"/>
            <w:vAlign w:val="center"/>
          </w:tcPr>
          <w:p w14:paraId="11294C7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+0.0486</w:t>
            </w:r>
          </w:p>
        </w:tc>
      </w:tr>
      <w:tr w14:paraId="729F20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1618A14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top w:val="single" w:color="auto" w:sz="4" w:space="0"/>
              <w:bottom w:val="single" w:color="auto" w:sz="4" w:space="0"/>
            </w:tcBorders>
            <w:vAlign w:val="center"/>
          </w:tcPr>
          <w:p w14:paraId="749D432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NH</w:t>
            </w:r>
            <w:r>
              <w:rPr>
                <w:rFonts w:hint="default" w:ascii="Times New Roman" w:hAnsi="Times New Roman" w:eastAsia="宋体" w:cs="Times New Roman"/>
                <w:sz w:val="21"/>
                <w:szCs w:val="21"/>
                <w:u w:val="single"/>
                <w:vertAlign w:val="subscript"/>
              </w:rPr>
              <w:t>3</w:t>
            </w:r>
          </w:p>
        </w:tc>
        <w:tc>
          <w:tcPr>
            <w:tcW w:w="708" w:type="pct"/>
            <w:vAlign w:val="center"/>
          </w:tcPr>
          <w:p w14:paraId="571DBC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0.0001</w:t>
            </w:r>
          </w:p>
        </w:tc>
        <w:tc>
          <w:tcPr>
            <w:tcW w:w="601" w:type="pct"/>
            <w:vAlign w:val="center"/>
          </w:tcPr>
          <w:p w14:paraId="6B87BD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vAlign w:val="center"/>
          </w:tcPr>
          <w:p w14:paraId="19CF7C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rPr>
              <w:t>0.0</w:t>
            </w:r>
            <w:r>
              <w:rPr>
                <w:rFonts w:hint="default" w:ascii="Times New Roman" w:hAnsi="Times New Roman" w:eastAsia="宋体" w:cs="Times New Roman"/>
                <w:szCs w:val="21"/>
                <w:u w:val="single"/>
                <w:lang w:val="en-US" w:eastAsia="zh-CN"/>
              </w:rPr>
              <w:t>612</w:t>
            </w:r>
          </w:p>
        </w:tc>
        <w:tc>
          <w:tcPr>
            <w:tcW w:w="793" w:type="pct"/>
            <w:vAlign w:val="center"/>
          </w:tcPr>
          <w:p w14:paraId="51A509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eastAsia="zh-CN"/>
              </w:rPr>
            </w:pPr>
            <w:r>
              <w:rPr>
                <w:rFonts w:hint="default" w:ascii="Times New Roman" w:hAnsi="Times New Roman" w:eastAsia="宋体" w:cs="Times New Roman"/>
                <w:szCs w:val="21"/>
                <w:u w:val="single"/>
              </w:rPr>
              <w:t>0.061</w:t>
            </w:r>
            <w:r>
              <w:rPr>
                <w:rFonts w:hint="default" w:ascii="Times New Roman" w:hAnsi="Times New Roman" w:eastAsia="宋体" w:cs="Times New Roman"/>
                <w:szCs w:val="21"/>
                <w:u w:val="single"/>
                <w:lang w:val="en-US" w:eastAsia="zh-CN"/>
              </w:rPr>
              <w:t>2</w:t>
            </w:r>
          </w:p>
        </w:tc>
        <w:tc>
          <w:tcPr>
            <w:tcW w:w="800" w:type="pct"/>
            <w:vAlign w:val="center"/>
          </w:tcPr>
          <w:p w14:paraId="141C25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rPr>
              <w:t>+0.06</w:t>
            </w:r>
            <w:r>
              <w:rPr>
                <w:rFonts w:hint="default" w:ascii="Times New Roman" w:hAnsi="Times New Roman" w:eastAsia="宋体" w:cs="Times New Roman"/>
                <w:szCs w:val="21"/>
                <w:u w:val="single"/>
                <w:lang w:val="en-US" w:eastAsia="zh-CN"/>
              </w:rPr>
              <w:t>11</w:t>
            </w:r>
          </w:p>
        </w:tc>
      </w:tr>
      <w:tr w14:paraId="14C86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4C23FDE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top w:val="single" w:color="auto" w:sz="4" w:space="0"/>
            </w:tcBorders>
            <w:vAlign w:val="center"/>
          </w:tcPr>
          <w:p w14:paraId="4603E57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H</w:t>
            </w:r>
            <w:r>
              <w:rPr>
                <w:rFonts w:hint="default" w:ascii="Times New Roman" w:hAnsi="Times New Roman" w:eastAsia="宋体" w:cs="Times New Roman"/>
                <w:sz w:val="21"/>
                <w:szCs w:val="21"/>
                <w:u w:val="single"/>
                <w:vertAlign w:val="subscript"/>
              </w:rPr>
              <w:t>2</w:t>
            </w:r>
            <w:r>
              <w:rPr>
                <w:rFonts w:hint="default" w:ascii="Times New Roman" w:hAnsi="Times New Roman" w:eastAsia="宋体" w:cs="Times New Roman"/>
                <w:sz w:val="21"/>
                <w:szCs w:val="21"/>
                <w:u w:val="single"/>
              </w:rPr>
              <w:t>S</w:t>
            </w:r>
          </w:p>
        </w:tc>
        <w:tc>
          <w:tcPr>
            <w:tcW w:w="708" w:type="pct"/>
            <w:vAlign w:val="center"/>
          </w:tcPr>
          <w:p w14:paraId="2E8D2B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0.0003</w:t>
            </w:r>
          </w:p>
        </w:tc>
        <w:tc>
          <w:tcPr>
            <w:tcW w:w="601" w:type="pct"/>
            <w:vAlign w:val="center"/>
          </w:tcPr>
          <w:p w14:paraId="7317DAA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1F4A0E2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rPr>
              <w:t>0.00</w:t>
            </w:r>
            <w:r>
              <w:rPr>
                <w:rFonts w:hint="default" w:ascii="Times New Roman" w:hAnsi="Times New Roman" w:eastAsia="宋体" w:cs="Times New Roman"/>
                <w:szCs w:val="21"/>
                <w:u w:val="single"/>
                <w:lang w:val="en-US" w:eastAsia="zh-CN"/>
              </w:rPr>
              <w:t>182</w:t>
            </w:r>
          </w:p>
        </w:tc>
        <w:tc>
          <w:tcPr>
            <w:tcW w:w="793" w:type="pct"/>
            <w:vAlign w:val="center"/>
          </w:tcPr>
          <w:p w14:paraId="6FF288F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rPr>
              <w:t>0.00</w:t>
            </w:r>
            <w:r>
              <w:rPr>
                <w:rFonts w:hint="default" w:ascii="Times New Roman" w:hAnsi="Times New Roman" w:eastAsia="宋体" w:cs="Times New Roman"/>
                <w:szCs w:val="21"/>
                <w:u w:val="single"/>
                <w:lang w:val="en-US" w:eastAsia="zh-CN"/>
              </w:rPr>
              <w:t>182</w:t>
            </w:r>
          </w:p>
        </w:tc>
        <w:tc>
          <w:tcPr>
            <w:tcW w:w="800" w:type="pct"/>
            <w:vAlign w:val="center"/>
          </w:tcPr>
          <w:p w14:paraId="3909DF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rPr>
              <w:t>+0.001</w:t>
            </w:r>
            <w:r>
              <w:rPr>
                <w:rFonts w:hint="default" w:ascii="Times New Roman" w:hAnsi="Times New Roman" w:eastAsia="宋体" w:cs="Times New Roman"/>
                <w:szCs w:val="21"/>
                <w:u w:val="single"/>
                <w:lang w:val="en-US" w:eastAsia="zh-CN"/>
              </w:rPr>
              <w:t>79</w:t>
            </w:r>
          </w:p>
        </w:tc>
      </w:tr>
      <w:tr w14:paraId="361FD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restart"/>
            <w:vAlign w:val="center"/>
          </w:tcPr>
          <w:p w14:paraId="2F0B311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生产废水</w:t>
            </w:r>
          </w:p>
        </w:tc>
        <w:tc>
          <w:tcPr>
            <w:tcW w:w="875" w:type="pct"/>
            <w:vAlign w:val="center"/>
          </w:tcPr>
          <w:p w14:paraId="28B3A4C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废水量</w:t>
            </w:r>
          </w:p>
        </w:tc>
        <w:tc>
          <w:tcPr>
            <w:tcW w:w="708" w:type="pct"/>
            <w:vAlign w:val="center"/>
          </w:tcPr>
          <w:p w14:paraId="78BCC63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601" w:type="pct"/>
            <w:vAlign w:val="center"/>
          </w:tcPr>
          <w:p w14:paraId="5B03193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722" w:type="pct"/>
            <w:vAlign w:val="center"/>
          </w:tcPr>
          <w:p w14:paraId="35B3D31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7392</w:t>
            </w:r>
          </w:p>
        </w:tc>
        <w:tc>
          <w:tcPr>
            <w:tcW w:w="793" w:type="pct"/>
            <w:vAlign w:val="center"/>
          </w:tcPr>
          <w:p w14:paraId="1E9356A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kern w:val="0"/>
                <w:szCs w:val="21"/>
                <w:u w:val="single"/>
              </w:rPr>
              <w:t>7392</w:t>
            </w:r>
          </w:p>
        </w:tc>
        <w:tc>
          <w:tcPr>
            <w:tcW w:w="1365" w:type="dxa"/>
            <w:vAlign w:val="center"/>
          </w:tcPr>
          <w:p w14:paraId="7E44A0EF">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eastAsia" w:ascii="Times New Roman" w:hAnsi="Times New Roman" w:cs="Times New Roman"/>
                <w:color w:val="000000"/>
                <w:kern w:val="0"/>
                <w:szCs w:val="21"/>
                <w:u w:val="single"/>
                <w:lang w:val="en-US" w:eastAsia="zh-CN"/>
              </w:rPr>
              <w:t>+</w:t>
            </w:r>
            <w:r>
              <w:rPr>
                <w:rFonts w:hint="default" w:ascii="Times New Roman" w:hAnsi="Times New Roman" w:eastAsia="宋体" w:cs="Times New Roman"/>
                <w:color w:val="000000"/>
                <w:kern w:val="0"/>
                <w:szCs w:val="21"/>
                <w:u w:val="single"/>
              </w:rPr>
              <w:t>7392</w:t>
            </w:r>
          </w:p>
        </w:tc>
      </w:tr>
      <w:tr w14:paraId="4FC3E1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0FCFB4B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1C45110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szCs w:val="21"/>
                <w:u w:val="single"/>
              </w:rPr>
              <w:t>苯</w:t>
            </w:r>
          </w:p>
        </w:tc>
        <w:tc>
          <w:tcPr>
            <w:tcW w:w="708" w:type="pct"/>
            <w:vAlign w:val="center"/>
          </w:tcPr>
          <w:p w14:paraId="4A03D7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601" w:type="pct"/>
            <w:vAlign w:val="center"/>
          </w:tcPr>
          <w:p w14:paraId="0050778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1232" w:type="dxa"/>
            <w:vAlign w:val="center"/>
          </w:tcPr>
          <w:p w14:paraId="61EAC6D0">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1353" w:type="dxa"/>
            <w:vAlign w:val="center"/>
          </w:tcPr>
          <w:p w14:paraId="573566F5">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1365" w:type="dxa"/>
            <w:vAlign w:val="center"/>
          </w:tcPr>
          <w:p w14:paraId="01994336">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0.0015</w:t>
            </w:r>
          </w:p>
        </w:tc>
      </w:tr>
      <w:tr w14:paraId="198C23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1E14AF2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581BF74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甲苯</w:t>
            </w:r>
          </w:p>
        </w:tc>
        <w:tc>
          <w:tcPr>
            <w:tcW w:w="708" w:type="pct"/>
            <w:vAlign w:val="center"/>
          </w:tcPr>
          <w:p w14:paraId="6A41A74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601" w:type="pct"/>
            <w:vAlign w:val="center"/>
          </w:tcPr>
          <w:p w14:paraId="4AEBCE6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1232" w:type="dxa"/>
            <w:vAlign w:val="center"/>
          </w:tcPr>
          <w:p w14:paraId="550DAC15">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1353" w:type="dxa"/>
            <w:vAlign w:val="center"/>
          </w:tcPr>
          <w:p w14:paraId="3D841660">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1365" w:type="dxa"/>
            <w:vAlign w:val="center"/>
          </w:tcPr>
          <w:p w14:paraId="3E7183D4">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0.0015</w:t>
            </w:r>
          </w:p>
        </w:tc>
      </w:tr>
      <w:tr w14:paraId="4FFA17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052E7F5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4E5CFC3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COD</w:t>
            </w:r>
            <w:r>
              <w:rPr>
                <w:rFonts w:hint="default" w:ascii="Times New Roman" w:hAnsi="Times New Roman" w:eastAsia="宋体" w:cs="Times New Roman"/>
                <w:szCs w:val="21"/>
                <w:u w:val="single"/>
                <w:vertAlign w:val="subscript"/>
              </w:rPr>
              <w:t>Cr</w:t>
            </w:r>
          </w:p>
        </w:tc>
        <w:tc>
          <w:tcPr>
            <w:tcW w:w="708" w:type="pct"/>
            <w:vAlign w:val="center"/>
          </w:tcPr>
          <w:p w14:paraId="678E535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601" w:type="pct"/>
            <w:vAlign w:val="center"/>
          </w:tcPr>
          <w:p w14:paraId="3DDDC33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1232" w:type="dxa"/>
            <w:vAlign w:val="center"/>
          </w:tcPr>
          <w:p w14:paraId="6D80D782">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1353" w:type="dxa"/>
            <w:vAlign w:val="center"/>
          </w:tcPr>
          <w:p w14:paraId="6F2D8C24">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1365" w:type="dxa"/>
            <w:vAlign w:val="center"/>
          </w:tcPr>
          <w:p w14:paraId="58846A2D">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1.04</w:t>
            </w:r>
          </w:p>
        </w:tc>
      </w:tr>
      <w:tr w14:paraId="7A8B5C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4F40616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390F9DD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BOD</w:t>
            </w:r>
            <w:r>
              <w:rPr>
                <w:rFonts w:hint="default" w:ascii="Times New Roman" w:hAnsi="Times New Roman" w:eastAsia="宋体" w:cs="Times New Roman"/>
                <w:szCs w:val="21"/>
                <w:u w:val="single"/>
                <w:vertAlign w:val="subscript"/>
              </w:rPr>
              <w:t>5</w:t>
            </w:r>
          </w:p>
        </w:tc>
        <w:tc>
          <w:tcPr>
            <w:tcW w:w="708" w:type="pct"/>
            <w:vAlign w:val="center"/>
          </w:tcPr>
          <w:p w14:paraId="6B1D5C6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601" w:type="pct"/>
            <w:vAlign w:val="center"/>
          </w:tcPr>
          <w:p w14:paraId="2146AE0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1232" w:type="dxa"/>
            <w:vAlign w:val="center"/>
          </w:tcPr>
          <w:p w14:paraId="01943CFA">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1353" w:type="dxa"/>
            <w:vAlign w:val="center"/>
          </w:tcPr>
          <w:p w14:paraId="3A97BD16">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1365" w:type="dxa"/>
            <w:vAlign w:val="center"/>
          </w:tcPr>
          <w:p w14:paraId="1B856DE4">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0.13</w:t>
            </w:r>
          </w:p>
        </w:tc>
      </w:tr>
      <w:tr w14:paraId="3FA23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0" w:hRule="atLeast"/>
        </w:trPr>
        <w:tc>
          <w:tcPr>
            <w:tcW w:w="497" w:type="pct"/>
            <w:vMerge w:val="continue"/>
            <w:vAlign w:val="center"/>
          </w:tcPr>
          <w:p w14:paraId="0C74496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1F1415E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SS</w:t>
            </w:r>
          </w:p>
        </w:tc>
        <w:tc>
          <w:tcPr>
            <w:tcW w:w="708" w:type="pct"/>
            <w:vAlign w:val="center"/>
          </w:tcPr>
          <w:p w14:paraId="260DEAE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601" w:type="pct"/>
            <w:vAlign w:val="center"/>
          </w:tcPr>
          <w:p w14:paraId="5665497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1232" w:type="dxa"/>
            <w:vAlign w:val="center"/>
          </w:tcPr>
          <w:p w14:paraId="1A90AA5D">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0.30</w:t>
            </w:r>
          </w:p>
        </w:tc>
        <w:tc>
          <w:tcPr>
            <w:tcW w:w="1353" w:type="dxa"/>
            <w:vAlign w:val="center"/>
          </w:tcPr>
          <w:p w14:paraId="56C4AAD9">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0.30</w:t>
            </w:r>
          </w:p>
        </w:tc>
        <w:tc>
          <w:tcPr>
            <w:tcW w:w="1365" w:type="dxa"/>
            <w:vAlign w:val="center"/>
          </w:tcPr>
          <w:p w14:paraId="21CDF298">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0.30</w:t>
            </w:r>
          </w:p>
        </w:tc>
      </w:tr>
      <w:tr w14:paraId="0AB20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6FD72C5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77C4486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石油类</w:t>
            </w:r>
          </w:p>
        </w:tc>
        <w:tc>
          <w:tcPr>
            <w:tcW w:w="708" w:type="pct"/>
            <w:vAlign w:val="center"/>
          </w:tcPr>
          <w:p w14:paraId="3F140D4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601" w:type="pct"/>
            <w:vAlign w:val="center"/>
          </w:tcPr>
          <w:p w14:paraId="1CEE6E4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0</w:t>
            </w:r>
          </w:p>
        </w:tc>
        <w:tc>
          <w:tcPr>
            <w:tcW w:w="1232" w:type="dxa"/>
            <w:vAlign w:val="center"/>
          </w:tcPr>
          <w:p w14:paraId="03DA3998">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1353" w:type="dxa"/>
            <w:vAlign w:val="center"/>
          </w:tcPr>
          <w:p w14:paraId="64FEE7A6">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1365" w:type="dxa"/>
            <w:vAlign w:val="center"/>
          </w:tcPr>
          <w:p w14:paraId="33CFF042">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0.13</w:t>
            </w:r>
          </w:p>
        </w:tc>
      </w:tr>
      <w:tr w14:paraId="2E39DA9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48BD24C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2B621DFC">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u w:val="single"/>
                <w:lang w:val="en-US" w:eastAsia="zh-CN"/>
              </w:rPr>
            </w:pPr>
            <w:r>
              <w:rPr>
                <w:rFonts w:hint="eastAsia" w:ascii="Times New Roman" w:hAnsi="Times New Roman" w:cs="Times New Roman"/>
                <w:szCs w:val="21"/>
                <w:u w:val="single"/>
                <w:lang w:val="en-US" w:eastAsia="zh-CN"/>
              </w:rPr>
              <w:t>氨氮</w:t>
            </w:r>
          </w:p>
        </w:tc>
        <w:tc>
          <w:tcPr>
            <w:tcW w:w="1208" w:type="dxa"/>
            <w:vAlign w:val="center"/>
          </w:tcPr>
          <w:p w14:paraId="2CB256FD">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1025" w:type="dxa"/>
            <w:vAlign w:val="center"/>
          </w:tcPr>
          <w:p w14:paraId="3B7BCDB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1232" w:type="dxa"/>
            <w:vAlign w:val="center"/>
          </w:tcPr>
          <w:p w14:paraId="1ECAD153">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1353" w:type="dxa"/>
            <w:vAlign w:val="center"/>
          </w:tcPr>
          <w:p w14:paraId="52FBFF28">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1365" w:type="dxa"/>
            <w:vAlign w:val="center"/>
          </w:tcPr>
          <w:p w14:paraId="1B82EEBD">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0.14</w:t>
            </w:r>
          </w:p>
        </w:tc>
      </w:tr>
      <w:tr w14:paraId="2F4E06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61EDB8F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016ED3D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eastAsia" w:ascii="Times New Roman" w:hAnsi="Times New Roman" w:cs="Times New Roman"/>
                <w:szCs w:val="21"/>
                <w:u w:val="single"/>
                <w:lang w:val="en-US" w:eastAsia="zh-CN"/>
              </w:rPr>
              <w:t>LAS</w:t>
            </w:r>
          </w:p>
        </w:tc>
        <w:tc>
          <w:tcPr>
            <w:tcW w:w="1208" w:type="dxa"/>
            <w:vAlign w:val="center"/>
          </w:tcPr>
          <w:p w14:paraId="14ABE44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1025" w:type="dxa"/>
            <w:vAlign w:val="center"/>
          </w:tcPr>
          <w:p w14:paraId="3C40461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1232" w:type="dxa"/>
            <w:vAlign w:val="center"/>
          </w:tcPr>
          <w:p w14:paraId="3E3A9A28">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1353" w:type="dxa"/>
            <w:vAlign w:val="center"/>
          </w:tcPr>
          <w:p w14:paraId="0EFD049C">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szCs w:val="21"/>
                <w:u w:val="single"/>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1365" w:type="dxa"/>
            <w:vAlign w:val="center"/>
          </w:tcPr>
          <w:p w14:paraId="3F1C0491">
            <w:pPr>
              <w:keepNext w:val="0"/>
              <w:keepLines w:val="0"/>
              <w:widowControl/>
              <w:suppressLineNumbers w:val="0"/>
              <w:autoSpaceDE w:val="0"/>
              <w:autoSpaceDN w:val="0"/>
              <w:spacing w:before="0" w:beforeAutospacing="0" w:after="0" w:afterAutospacing="0"/>
              <w:ind w:left="0" w:right="0"/>
              <w:jc w:val="center"/>
              <w:textAlignment w:val="center"/>
              <w:rPr>
                <w:rFonts w:hint="default" w:ascii="Times New Roman" w:hAnsi="Times New Roman" w:eastAsia="宋体" w:cs="Times New Roman"/>
                <w:kern w:val="0"/>
                <w:szCs w:val="21"/>
                <w:u w:val="single"/>
              </w:rPr>
            </w:pPr>
            <w:r>
              <w:rPr>
                <w:rFonts w:hint="eastAsia" w:ascii="Times New Roman" w:hAnsi="Times New Roman" w:cs="Times New Roman"/>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0.058</w:t>
            </w:r>
          </w:p>
        </w:tc>
      </w:tr>
      <w:tr w14:paraId="2B428E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497" w:type="pct"/>
            <w:vMerge w:val="restart"/>
            <w:vAlign w:val="center"/>
          </w:tcPr>
          <w:p w14:paraId="13F74EE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生活污水</w:t>
            </w:r>
          </w:p>
        </w:tc>
        <w:tc>
          <w:tcPr>
            <w:tcW w:w="875" w:type="pct"/>
            <w:tcBorders>
              <w:bottom w:val="single" w:color="auto" w:sz="4" w:space="0"/>
            </w:tcBorders>
            <w:vAlign w:val="center"/>
          </w:tcPr>
          <w:p w14:paraId="20CCD3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废水量</w:t>
            </w:r>
          </w:p>
        </w:tc>
        <w:tc>
          <w:tcPr>
            <w:tcW w:w="708" w:type="pct"/>
            <w:tcBorders>
              <w:bottom w:val="single" w:color="auto" w:sz="4" w:space="0"/>
            </w:tcBorders>
            <w:vAlign w:val="center"/>
          </w:tcPr>
          <w:p w14:paraId="0332CD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132</w:t>
            </w:r>
          </w:p>
        </w:tc>
        <w:tc>
          <w:tcPr>
            <w:tcW w:w="601" w:type="pct"/>
            <w:tcBorders>
              <w:bottom w:val="single" w:color="auto" w:sz="4" w:space="0"/>
            </w:tcBorders>
            <w:vAlign w:val="center"/>
          </w:tcPr>
          <w:p w14:paraId="5952EA1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tcBorders>
              <w:bottom w:val="single" w:color="auto" w:sz="4" w:space="0"/>
            </w:tcBorders>
            <w:vAlign w:val="center"/>
          </w:tcPr>
          <w:p w14:paraId="5542748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528</w:t>
            </w:r>
          </w:p>
        </w:tc>
        <w:tc>
          <w:tcPr>
            <w:tcW w:w="793" w:type="pct"/>
            <w:tcBorders>
              <w:bottom w:val="single" w:color="auto" w:sz="4" w:space="0"/>
            </w:tcBorders>
            <w:vAlign w:val="center"/>
          </w:tcPr>
          <w:p w14:paraId="71436A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660</w:t>
            </w:r>
          </w:p>
        </w:tc>
        <w:tc>
          <w:tcPr>
            <w:tcW w:w="800" w:type="pct"/>
            <w:tcBorders>
              <w:bottom w:val="single" w:color="auto" w:sz="4" w:space="0"/>
            </w:tcBorders>
            <w:vAlign w:val="center"/>
          </w:tcPr>
          <w:p w14:paraId="1B7F54E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+528</w:t>
            </w:r>
          </w:p>
        </w:tc>
      </w:tr>
      <w:tr w14:paraId="09F6B2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2" w:hRule="atLeast"/>
        </w:trPr>
        <w:tc>
          <w:tcPr>
            <w:tcW w:w="497" w:type="pct"/>
            <w:vMerge w:val="continue"/>
            <w:vAlign w:val="center"/>
          </w:tcPr>
          <w:p w14:paraId="398BE9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top w:val="single" w:color="auto" w:sz="4" w:space="0"/>
              <w:bottom w:val="single" w:color="auto" w:sz="4" w:space="0"/>
            </w:tcBorders>
            <w:vAlign w:val="center"/>
          </w:tcPr>
          <w:p w14:paraId="08DCD7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CODcr</w:t>
            </w:r>
          </w:p>
        </w:tc>
        <w:tc>
          <w:tcPr>
            <w:tcW w:w="708" w:type="pct"/>
            <w:tcBorders>
              <w:top w:val="single" w:color="auto" w:sz="4" w:space="0"/>
              <w:bottom w:val="single" w:color="auto" w:sz="4" w:space="0"/>
            </w:tcBorders>
            <w:vAlign w:val="center"/>
          </w:tcPr>
          <w:p w14:paraId="51FAED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0.025</w:t>
            </w:r>
          </w:p>
        </w:tc>
        <w:tc>
          <w:tcPr>
            <w:tcW w:w="601" w:type="pct"/>
            <w:tcBorders>
              <w:top w:val="single" w:color="auto" w:sz="4" w:space="0"/>
              <w:bottom w:val="single" w:color="auto" w:sz="4" w:space="0"/>
            </w:tcBorders>
            <w:vAlign w:val="center"/>
          </w:tcPr>
          <w:p w14:paraId="1EFC98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tcBorders>
              <w:top w:val="single" w:color="auto" w:sz="4" w:space="0"/>
              <w:bottom w:val="single" w:color="auto" w:sz="4" w:space="0"/>
            </w:tcBorders>
            <w:vAlign w:val="center"/>
          </w:tcPr>
          <w:p w14:paraId="5719710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0.16</w:t>
            </w:r>
          </w:p>
        </w:tc>
        <w:tc>
          <w:tcPr>
            <w:tcW w:w="793" w:type="pct"/>
            <w:tcBorders>
              <w:top w:val="single" w:color="auto" w:sz="4" w:space="0"/>
              <w:bottom w:val="single" w:color="auto" w:sz="4" w:space="0"/>
            </w:tcBorders>
            <w:vAlign w:val="center"/>
          </w:tcPr>
          <w:p w14:paraId="62C5FEE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0.185</w:t>
            </w:r>
          </w:p>
        </w:tc>
        <w:tc>
          <w:tcPr>
            <w:tcW w:w="800" w:type="pct"/>
            <w:tcBorders>
              <w:top w:val="single" w:color="auto" w:sz="4" w:space="0"/>
              <w:bottom w:val="single" w:color="auto" w:sz="4" w:space="0"/>
            </w:tcBorders>
            <w:vAlign w:val="center"/>
          </w:tcPr>
          <w:p w14:paraId="1012587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+0.16</w:t>
            </w:r>
          </w:p>
        </w:tc>
      </w:tr>
      <w:tr w14:paraId="76308A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4" w:hRule="atLeast"/>
        </w:trPr>
        <w:tc>
          <w:tcPr>
            <w:tcW w:w="497" w:type="pct"/>
            <w:vMerge w:val="continue"/>
            <w:vAlign w:val="center"/>
          </w:tcPr>
          <w:p w14:paraId="7B2F175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top w:val="single" w:color="auto" w:sz="4" w:space="0"/>
              <w:bottom w:val="single" w:color="auto" w:sz="4" w:space="0"/>
            </w:tcBorders>
            <w:vAlign w:val="center"/>
          </w:tcPr>
          <w:p w14:paraId="2EEF80B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NH</w:t>
            </w:r>
            <w:r>
              <w:rPr>
                <w:rFonts w:hint="default" w:ascii="Times New Roman" w:hAnsi="Times New Roman" w:eastAsia="宋体" w:cs="Times New Roman"/>
                <w:color w:val="000000"/>
                <w:szCs w:val="21"/>
                <w:u w:val="single"/>
                <w:vertAlign w:val="subscript"/>
              </w:rPr>
              <w:t>3</w:t>
            </w:r>
            <w:r>
              <w:rPr>
                <w:rFonts w:hint="default" w:ascii="Times New Roman" w:hAnsi="Times New Roman" w:eastAsia="宋体" w:cs="Times New Roman"/>
                <w:color w:val="000000"/>
                <w:szCs w:val="21"/>
                <w:u w:val="single"/>
              </w:rPr>
              <w:t>-N</w:t>
            </w:r>
          </w:p>
        </w:tc>
        <w:tc>
          <w:tcPr>
            <w:tcW w:w="708" w:type="pct"/>
            <w:tcBorders>
              <w:top w:val="single" w:color="auto" w:sz="4" w:space="0"/>
              <w:bottom w:val="single" w:color="auto" w:sz="4" w:space="0"/>
            </w:tcBorders>
            <w:vAlign w:val="center"/>
          </w:tcPr>
          <w:p w14:paraId="559984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0.002</w:t>
            </w:r>
          </w:p>
        </w:tc>
        <w:tc>
          <w:tcPr>
            <w:tcW w:w="601" w:type="pct"/>
            <w:tcBorders>
              <w:top w:val="single" w:color="auto" w:sz="4" w:space="0"/>
              <w:bottom w:val="single" w:color="auto" w:sz="4" w:space="0"/>
            </w:tcBorders>
            <w:vAlign w:val="center"/>
          </w:tcPr>
          <w:p w14:paraId="47A0B2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tcBorders>
              <w:top w:val="single" w:color="auto" w:sz="4" w:space="0"/>
              <w:bottom w:val="single" w:color="auto" w:sz="4" w:space="0"/>
            </w:tcBorders>
            <w:vAlign w:val="center"/>
          </w:tcPr>
          <w:p w14:paraId="6E25D74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0.013</w:t>
            </w:r>
          </w:p>
        </w:tc>
        <w:tc>
          <w:tcPr>
            <w:tcW w:w="793" w:type="pct"/>
            <w:tcBorders>
              <w:top w:val="single" w:color="auto" w:sz="4" w:space="0"/>
              <w:bottom w:val="single" w:color="auto" w:sz="4" w:space="0"/>
            </w:tcBorders>
            <w:vAlign w:val="center"/>
          </w:tcPr>
          <w:p w14:paraId="7C21D0D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0.015</w:t>
            </w:r>
          </w:p>
        </w:tc>
        <w:tc>
          <w:tcPr>
            <w:tcW w:w="800" w:type="pct"/>
            <w:tcBorders>
              <w:top w:val="single" w:color="auto" w:sz="4" w:space="0"/>
              <w:bottom w:val="single" w:color="auto" w:sz="4" w:space="0"/>
            </w:tcBorders>
            <w:vAlign w:val="center"/>
          </w:tcPr>
          <w:p w14:paraId="240DA0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+0.013</w:t>
            </w:r>
          </w:p>
        </w:tc>
      </w:tr>
      <w:tr w14:paraId="1B2B56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 w:hRule="atLeast"/>
        </w:trPr>
        <w:tc>
          <w:tcPr>
            <w:tcW w:w="497" w:type="pct"/>
            <w:vMerge w:val="continue"/>
            <w:vAlign w:val="center"/>
          </w:tcPr>
          <w:p w14:paraId="30CA1F5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top w:val="single" w:color="auto" w:sz="4" w:space="0"/>
              <w:bottom w:val="single" w:color="auto" w:sz="4" w:space="0"/>
            </w:tcBorders>
            <w:vAlign w:val="center"/>
          </w:tcPr>
          <w:p w14:paraId="4E861A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BOD</w:t>
            </w:r>
            <w:r>
              <w:rPr>
                <w:rFonts w:hint="default" w:ascii="Times New Roman" w:hAnsi="Times New Roman" w:eastAsia="宋体" w:cs="Times New Roman"/>
                <w:color w:val="000000"/>
                <w:szCs w:val="21"/>
                <w:u w:val="single"/>
                <w:vertAlign w:val="subscript"/>
              </w:rPr>
              <w:t>5</w:t>
            </w:r>
          </w:p>
        </w:tc>
        <w:tc>
          <w:tcPr>
            <w:tcW w:w="708" w:type="pct"/>
            <w:tcBorders>
              <w:top w:val="single" w:color="auto" w:sz="4" w:space="0"/>
              <w:bottom w:val="single" w:color="auto" w:sz="4" w:space="0"/>
            </w:tcBorders>
            <w:vAlign w:val="center"/>
          </w:tcPr>
          <w:p w14:paraId="26868B3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0.011</w:t>
            </w:r>
          </w:p>
        </w:tc>
        <w:tc>
          <w:tcPr>
            <w:tcW w:w="601" w:type="pct"/>
            <w:tcBorders>
              <w:top w:val="single" w:color="auto" w:sz="4" w:space="0"/>
              <w:bottom w:val="single" w:color="auto" w:sz="4" w:space="0"/>
            </w:tcBorders>
            <w:vAlign w:val="center"/>
          </w:tcPr>
          <w:p w14:paraId="71BAB4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rPr>
              <w:t>0</w:t>
            </w:r>
          </w:p>
        </w:tc>
        <w:tc>
          <w:tcPr>
            <w:tcW w:w="722" w:type="pct"/>
            <w:tcBorders>
              <w:top w:val="single" w:color="auto" w:sz="4" w:space="0"/>
              <w:bottom w:val="single" w:color="auto" w:sz="4" w:space="0"/>
            </w:tcBorders>
            <w:vAlign w:val="center"/>
          </w:tcPr>
          <w:p w14:paraId="206D51B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0.079</w:t>
            </w:r>
          </w:p>
        </w:tc>
        <w:tc>
          <w:tcPr>
            <w:tcW w:w="793" w:type="pct"/>
            <w:tcBorders>
              <w:top w:val="single" w:color="auto" w:sz="4" w:space="0"/>
              <w:bottom w:val="single" w:color="auto" w:sz="4" w:space="0"/>
            </w:tcBorders>
            <w:vAlign w:val="center"/>
          </w:tcPr>
          <w:p w14:paraId="73F9BCE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0.090</w:t>
            </w:r>
          </w:p>
        </w:tc>
        <w:tc>
          <w:tcPr>
            <w:tcW w:w="800" w:type="pct"/>
            <w:tcBorders>
              <w:top w:val="single" w:color="auto" w:sz="4" w:space="0"/>
              <w:bottom w:val="single" w:color="auto" w:sz="4" w:space="0"/>
            </w:tcBorders>
            <w:vAlign w:val="center"/>
          </w:tcPr>
          <w:p w14:paraId="549DD9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+0.079</w:t>
            </w:r>
          </w:p>
        </w:tc>
      </w:tr>
      <w:tr w14:paraId="31CDBD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 w:hRule="atLeast"/>
        </w:trPr>
        <w:tc>
          <w:tcPr>
            <w:tcW w:w="497" w:type="pct"/>
            <w:vMerge w:val="continue"/>
            <w:vAlign w:val="center"/>
          </w:tcPr>
          <w:p w14:paraId="1E69FE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top w:val="single" w:color="auto" w:sz="4" w:space="0"/>
            </w:tcBorders>
            <w:vAlign w:val="center"/>
          </w:tcPr>
          <w:p w14:paraId="08BE5F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SS</w:t>
            </w:r>
          </w:p>
        </w:tc>
        <w:tc>
          <w:tcPr>
            <w:tcW w:w="708" w:type="pct"/>
            <w:tcBorders>
              <w:top w:val="single" w:color="auto" w:sz="4" w:space="0"/>
            </w:tcBorders>
            <w:vAlign w:val="center"/>
          </w:tcPr>
          <w:p w14:paraId="4CE4D73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0.009</w:t>
            </w:r>
          </w:p>
        </w:tc>
        <w:tc>
          <w:tcPr>
            <w:tcW w:w="601" w:type="pct"/>
            <w:tcBorders>
              <w:top w:val="single" w:color="auto" w:sz="4" w:space="0"/>
            </w:tcBorders>
            <w:vAlign w:val="center"/>
          </w:tcPr>
          <w:p w14:paraId="0723A55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722" w:type="pct"/>
            <w:tcBorders>
              <w:top w:val="single" w:color="auto" w:sz="4" w:space="0"/>
            </w:tcBorders>
            <w:vAlign w:val="center"/>
          </w:tcPr>
          <w:p w14:paraId="22B0FDB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0.079</w:t>
            </w:r>
          </w:p>
        </w:tc>
        <w:tc>
          <w:tcPr>
            <w:tcW w:w="793" w:type="pct"/>
            <w:tcBorders>
              <w:top w:val="single" w:color="auto" w:sz="4" w:space="0"/>
            </w:tcBorders>
            <w:vAlign w:val="center"/>
          </w:tcPr>
          <w:p w14:paraId="1561740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0.088</w:t>
            </w:r>
          </w:p>
        </w:tc>
        <w:tc>
          <w:tcPr>
            <w:tcW w:w="800" w:type="pct"/>
            <w:tcBorders>
              <w:top w:val="single" w:color="auto" w:sz="4" w:space="0"/>
            </w:tcBorders>
            <w:vAlign w:val="center"/>
          </w:tcPr>
          <w:p w14:paraId="46D88C0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+0.079</w:t>
            </w:r>
          </w:p>
        </w:tc>
      </w:tr>
      <w:tr w14:paraId="717E3D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8" w:hRule="atLeast"/>
        </w:trPr>
        <w:tc>
          <w:tcPr>
            <w:tcW w:w="497" w:type="pct"/>
            <w:vMerge w:val="continue"/>
            <w:vAlign w:val="center"/>
          </w:tcPr>
          <w:p w14:paraId="124338F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tcBorders>
              <w:top w:val="single" w:color="auto" w:sz="4" w:space="0"/>
            </w:tcBorders>
            <w:vAlign w:val="center"/>
          </w:tcPr>
          <w:p w14:paraId="6582B8BD">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动植物油</w:t>
            </w:r>
          </w:p>
        </w:tc>
        <w:tc>
          <w:tcPr>
            <w:tcW w:w="708" w:type="pct"/>
            <w:tcBorders>
              <w:top w:val="single" w:color="auto" w:sz="4" w:space="0"/>
            </w:tcBorders>
            <w:vAlign w:val="center"/>
          </w:tcPr>
          <w:p w14:paraId="29AE48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color w:val="000000"/>
                <w:szCs w:val="21"/>
                <w:u w:val="single"/>
              </w:rPr>
              <w:t>0.005</w:t>
            </w:r>
          </w:p>
        </w:tc>
        <w:tc>
          <w:tcPr>
            <w:tcW w:w="601" w:type="pct"/>
            <w:tcBorders>
              <w:top w:val="single" w:color="auto" w:sz="4" w:space="0"/>
            </w:tcBorders>
            <w:vAlign w:val="center"/>
          </w:tcPr>
          <w:p w14:paraId="5370B8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kern w:val="0"/>
                <w:szCs w:val="21"/>
                <w:u w:val="single"/>
              </w:rPr>
              <w:t>0</w:t>
            </w:r>
          </w:p>
        </w:tc>
        <w:tc>
          <w:tcPr>
            <w:tcW w:w="722" w:type="pct"/>
            <w:tcBorders>
              <w:top w:val="single" w:color="auto" w:sz="4" w:space="0"/>
            </w:tcBorders>
            <w:vAlign w:val="center"/>
          </w:tcPr>
          <w:p w14:paraId="0CA07FF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0.026</w:t>
            </w:r>
          </w:p>
        </w:tc>
        <w:tc>
          <w:tcPr>
            <w:tcW w:w="793" w:type="pct"/>
            <w:tcBorders>
              <w:top w:val="single" w:color="auto" w:sz="4" w:space="0"/>
            </w:tcBorders>
            <w:vAlign w:val="center"/>
          </w:tcPr>
          <w:p w14:paraId="27D2FDE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0.031</w:t>
            </w:r>
          </w:p>
        </w:tc>
        <w:tc>
          <w:tcPr>
            <w:tcW w:w="800" w:type="pct"/>
            <w:tcBorders>
              <w:top w:val="single" w:color="auto" w:sz="4" w:space="0"/>
            </w:tcBorders>
            <w:vAlign w:val="center"/>
          </w:tcPr>
          <w:p w14:paraId="4A11EA0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+0.026</w:t>
            </w:r>
          </w:p>
        </w:tc>
      </w:tr>
      <w:tr w14:paraId="11A94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Align w:val="center"/>
          </w:tcPr>
          <w:p w14:paraId="7E5518A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噪声</w:t>
            </w:r>
          </w:p>
        </w:tc>
        <w:tc>
          <w:tcPr>
            <w:tcW w:w="875" w:type="pct"/>
            <w:vAlign w:val="center"/>
          </w:tcPr>
          <w:p w14:paraId="54EABE6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设备噪声</w:t>
            </w:r>
          </w:p>
        </w:tc>
        <w:tc>
          <w:tcPr>
            <w:tcW w:w="708" w:type="pct"/>
            <w:vAlign w:val="center"/>
          </w:tcPr>
          <w:p w14:paraId="1EF3014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＜65dB（A）</w:t>
            </w:r>
          </w:p>
        </w:tc>
        <w:tc>
          <w:tcPr>
            <w:tcW w:w="601" w:type="pct"/>
            <w:vAlign w:val="center"/>
          </w:tcPr>
          <w:p w14:paraId="259DDC0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c>
          <w:tcPr>
            <w:tcW w:w="722" w:type="pct"/>
            <w:vAlign w:val="center"/>
          </w:tcPr>
          <w:p w14:paraId="56600F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＜65dB（A）</w:t>
            </w:r>
          </w:p>
        </w:tc>
        <w:tc>
          <w:tcPr>
            <w:tcW w:w="793" w:type="pct"/>
            <w:vAlign w:val="center"/>
          </w:tcPr>
          <w:p w14:paraId="48E32B3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＜65dB（A）</w:t>
            </w:r>
          </w:p>
        </w:tc>
        <w:tc>
          <w:tcPr>
            <w:tcW w:w="800" w:type="pct"/>
            <w:vAlign w:val="center"/>
          </w:tcPr>
          <w:p w14:paraId="575DA23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603725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restart"/>
            <w:vAlign w:val="center"/>
          </w:tcPr>
          <w:p w14:paraId="5EF187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固废</w:t>
            </w:r>
          </w:p>
        </w:tc>
        <w:tc>
          <w:tcPr>
            <w:tcW w:w="875" w:type="pct"/>
            <w:vAlign w:val="center"/>
          </w:tcPr>
          <w:p w14:paraId="399D3C3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szCs w:val="21"/>
                <w:u w:val="single"/>
              </w:rPr>
              <w:t>废抹布、劳保用品</w:t>
            </w:r>
          </w:p>
        </w:tc>
        <w:tc>
          <w:tcPr>
            <w:tcW w:w="708" w:type="pct"/>
            <w:vAlign w:val="center"/>
          </w:tcPr>
          <w:p w14:paraId="75D1C07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szCs w:val="21"/>
                <w:u w:val="single"/>
              </w:rPr>
              <w:t>0.</w:t>
            </w:r>
            <w:r>
              <w:rPr>
                <w:rFonts w:hint="default" w:ascii="Times New Roman" w:hAnsi="Times New Roman" w:eastAsia="宋体" w:cs="Times New Roman"/>
                <w:color w:val="000000"/>
                <w:szCs w:val="21"/>
                <w:u w:val="single"/>
                <w:lang w:val="en-US" w:eastAsia="zh-CN"/>
              </w:rPr>
              <w:t>0</w:t>
            </w:r>
            <w:r>
              <w:rPr>
                <w:rFonts w:hint="default" w:ascii="Times New Roman" w:hAnsi="Times New Roman" w:eastAsia="宋体" w:cs="Times New Roman"/>
                <w:color w:val="000000"/>
                <w:szCs w:val="21"/>
                <w:u w:val="single"/>
              </w:rPr>
              <w:t>1</w:t>
            </w:r>
          </w:p>
        </w:tc>
        <w:tc>
          <w:tcPr>
            <w:tcW w:w="601" w:type="pct"/>
            <w:vAlign w:val="center"/>
          </w:tcPr>
          <w:p w14:paraId="0EEEF02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116B28B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0.05</w:t>
            </w:r>
          </w:p>
        </w:tc>
        <w:tc>
          <w:tcPr>
            <w:tcW w:w="793" w:type="pct"/>
            <w:vAlign w:val="center"/>
          </w:tcPr>
          <w:p w14:paraId="1D661D1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0.05</w:t>
            </w:r>
          </w:p>
        </w:tc>
        <w:tc>
          <w:tcPr>
            <w:tcW w:w="800" w:type="pct"/>
            <w:vAlign w:val="center"/>
          </w:tcPr>
          <w:p w14:paraId="2BE7E33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rPr>
              <w:t>+0.0</w:t>
            </w:r>
            <w:r>
              <w:rPr>
                <w:rFonts w:hint="default" w:ascii="Times New Roman" w:hAnsi="Times New Roman" w:eastAsia="宋体" w:cs="Times New Roman"/>
                <w:kern w:val="0"/>
                <w:szCs w:val="21"/>
                <w:u w:val="single"/>
                <w:lang w:val="en-US" w:eastAsia="zh-CN"/>
              </w:rPr>
              <w:t>4</w:t>
            </w:r>
          </w:p>
        </w:tc>
      </w:tr>
      <w:tr w14:paraId="517204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3149AE1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0F812BC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szCs w:val="21"/>
                <w:u w:val="single"/>
              </w:rPr>
              <w:t>废活性炭</w:t>
            </w:r>
          </w:p>
        </w:tc>
        <w:tc>
          <w:tcPr>
            <w:tcW w:w="708" w:type="pct"/>
            <w:vAlign w:val="center"/>
          </w:tcPr>
          <w:p w14:paraId="5F3C6A3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szCs w:val="21"/>
                <w:u w:val="single"/>
              </w:rPr>
              <w:t>0.404</w:t>
            </w:r>
          </w:p>
        </w:tc>
        <w:tc>
          <w:tcPr>
            <w:tcW w:w="601" w:type="pct"/>
            <w:vAlign w:val="center"/>
          </w:tcPr>
          <w:p w14:paraId="5E04AB1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3907452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rPr>
              <w:t>1.</w:t>
            </w:r>
            <w:r>
              <w:rPr>
                <w:rFonts w:hint="default" w:ascii="Times New Roman" w:hAnsi="Times New Roman" w:eastAsia="宋体" w:cs="Times New Roman"/>
                <w:kern w:val="0"/>
                <w:szCs w:val="21"/>
                <w:u w:val="single"/>
                <w:lang w:val="en-US" w:eastAsia="zh-CN"/>
              </w:rPr>
              <w:t>5</w:t>
            </w:r>
          </w:p>
        </w:tc>
        <w:tc>
          <w:tcPr>
            <w:tcW w:w="793" w:type="pct"/>
            <w:vAlign w:val="center"/>
          </w:tcPr>
          <w:p w14:paraId="23A840B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1.5</w:t>
            </w:r>
          </w:p>
        </w:tc>
        <w:tc>
          <w:tcPr>
            <w:tcW w:w="800" w:type="pct"/>
            <w:vAlign w:val="center"/>
          </w:tcPr>
          <w:p w14:paraId="0ADEDB8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rPr>
              <w:t>+1.</w:t>
            </w:r>
            <w:r>
              <w:rPr>
                <w:rFonts w:hint="default" w:ascii="Times New Roman" w:hAnsi="Times New Roman" w:eastAsia="宋体" w:cs="Times New Roman"/>
                <w:kern w:val="0"/>
                <w:szCs w:val="21"/>
                <w:u w:val="single"/>
                <w:lang w:val="en-US" w:eastAsia="zh-CN"/>
              </w:rPr>
              <w:t>096</w:t>
            </w:r>
          </w:p>
        </w:tc>
      </w:tr>
      <w:tr w14:paraId="701AC0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52C6F5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171CC60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szCs w:val="21"/>
                <w:u w:val="single"/>
              </w:rPr>
              <w:t>废油桶</w:t>
            </w:r>
          </w:p>
        </w:tc>
        <w:tc>
          <w:tcPr>
            <w:tcW w:w="708" w:type="pct"/>
            <w:vAlign w:val="center"/>
          </w:tcPr>
          <w:p w14:paraId="516EAF5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szCs w:val="21"/>
                <w:u w:val="single"/>
              </w:rPr>
              <w:t>0.2</w:t>
            </w:r>
          </w:p>
        </w:tc>
        <w:tc>
          <w:tcPr>
            <w:tcW w:w="601" w:type="pct"/>
            <w:vAlign w:val="center"/>
          </w:tcPr>
          <w:p w14:paraId="014337A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4CCF273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0.2</w:t>
            </w:r>
          </w:p>
        </w:tc>
        <w:tc>
          <w:tcPr>
            <w:tcW w:w="793" w:type="pct"/>
            <w:vAlign w:val="center"/>
          </w:tcPr>
          <w:p w14:paraId="3B735E5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0.4</w:t>
            </w:r>
          </w:p>
        </w:tc>
        <w:tc>
          <w:tcPr>
            <w:tcW w:w="800" w:type="pct"/>
            <w:vAlign w:val="center"/>
          </w:tcPr>
          <w:p w14:paraId="22857D6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+0.2</w:t>
            </w:r>
          </w:p>
        </w:tc>
      </w:tr>
      <w:tr w14:paraId="1D2631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130910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58F5727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color w:val="000000"/>
                <w:szCs w:val="21"/>
                <w:u w:val="single"/>
              </w:rPr>
              <w:t>废包装材料</w:t>
            </w:r>
          </w:p>
        </w:tc>
        <w:tc>
          <w:tcPr>
            <w:tcW w:w="708" w:type="pct"/>
            <w:vAlign w:val="center"/>
          </w:tcPr>
          <w:p w14:paraId="198946B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napToGrid w:val="0"/>
                <w:color w:val="000000"/>
                <w:kern w:val="21"/>
                <w:szCs w:val="21"/>
                <w:u w:val="single"/>
              </w:rPr>
              <w:t>1.5</w:t>
            </w:r>
          </w:p>
        </w:tc>
        <w:tc>
          <w:tcPr>
            <w:tcW w:w="601" w:type="pct"/>
            <w:vAlign w:val="center"/>
          </w:tcPr>
          <w:p w14:paraId="3752259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4F26971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93" w:type="pct"/>
            <w:vAlign w:val="center"/>
          </w:tcPr>
          <w:p w14:paraId="4BB2EAE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1.5</w:t>
            </w:r>
          </w:p>
        </w:tc>
        <w:tc>
          <w:tcPr>
            <w:tcW w:w="800" w:type="pct"/>
            <w:vAlign w:val="center"/>
          </w:tcPr>
          <w:p w14:paraId="26A7FBF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w:t>
            </w:r>
          </w:p>
        </w:tc>
      </w:tr>
      <w:tr w14:paraId="47DBA7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6E9F0A8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79E06BE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废残液</w:t>
            </w:r>
          </w:p>
        </w:tc>
        <w:tc>
          <w:tcPr>
            <w:tcW w:w="708" w:type="pct"/>
            <w:vAlign w:val="center"/>
          </w:tcPr>
          <w:p w14:paraId="1F76003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601" w:type="pct"/>
            <w:vAlign w:val="center"/>
          </w:tcPr>
          <w:p w14:paraId="2BE25F5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629425C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367.2</w:t>
            </w:r>
          </w:p>
        </w:tc>
        <w:tc>
          <w:tcPr>
            <w:tcW w:w="793" w:type="pct"/>
            <w:vAlign w:val="center"/>
          </w:tcPr>
          <w:p w14:paraId="652AE17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367.2</w:t>
            </w:r>
          </w:p>
        </w:tc>
        <w:tc>
          <w:tcPr>
            <w:tcW w:w="800" w:type="pct"/>
            <w:vAlign w:val="center"/>
          </w:tcPr>
          <w:p w14:paraId="083684B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+367.2</w:t>
            </w:r>
          </w:p>
        </w:tc>
      </w:tr>
      <w:tr w14:paraId="34527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62FAB9E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6B032BB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废滤纸</w:t>
            </w:r>
          </w:p>
        </w:tc>
        <w:tc>
          <w:tcPr>
            <w:tcW w:w="708" w:type="pct"/>
            <w:vAlign w:val="center"/>
          </w:tcPr>
          <w:p w14:paraId="64F491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601" w:type="pct"/>
            <w:vAlign w:val="center"/>
          </w:tcPr>
          <w:p w14:paraId="2194509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0F29792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500</w:t>
            </w:r>
          </w:p>
        </w:tc>
        <w:tc>
          <w:tcPr>
            <w:tcW w:w="793" w:type="pct"/>
            <w:vAlign w:val="center"/>
          </w:tcPr>
          <w:p w14:paraId="5644761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500</w:t>
            </w:r>
          </w:p>
        </w:tc>
        <w:tc>
          <w:tcPr>
            <w:tcW w:w="800" w:type="pct"/>
            <w:vAlign w:val="center"/>
          </w:tcPr>
          <w:p w14:paraId="3A68E06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+500</w:t>
            </w:r>
          </w:p>
        </w:tc>
      </w:tr>
      <w:tr w14:paraId="68C97E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69B2E06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6F050BF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废渣</w:t>
            </w:r>
          </w:p>
        </w:tc>
        <w:tc>
          <w:tcPr>
            <w:tcW w:w="708" w:type="pct"/>
            <w:vAlign w:val="center"/>
          </w:tcPr>
          <w:p w14:paraId="6C73A0E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601" w:type="pct"/>
            <w:vAlign w:val="center"/>
          </w:tcPr>
          <w:p w14:paraId="005E442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489F22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22</w:t>
            </w:r>
          </w:p>
        </w:tc>
        <w:tc>
          <w:tcPr>
            <w:tcW w:w="793" w:type="pct"/>
            <w:vAlign w:val="center"/>
          </w:tcPr>
          <w:p w14:paraId="4A6A856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22</w:t>
            </w:r>
          </w:p>
        </w:tc>
        <w:tc>
          <w:tcPr>
            <w:tcW w:w="800" w:type="pct"/>
            <w:vAlign w:val="center"/>
          </w:tcPr>
          <w:p w14:paraId="438E99A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+22</w:t>
            </w:r>
          </w:p>
        </w:tc>
      </w:tr>
      <w:tr w14:paraId="3CC521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3328931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4F13AB9E">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废含铅电解液</w:t>
            </w:r>
          </w:p>
        </w:tc>
        <w:tc>
          <w:tcPr>
            <w:tcW w:w="708" w:type="pct"/>
            <w:vAlign w:val="center"/>
          </w:tcPr>
          <w:p w14:paraId="3778F74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0</w:t>
            </w:r>
          </w:p>
        </w:tc>
        <w:tc>
          <w:tcPr>
            <w:tcW w:w="601" w:type="pct"/>
            <w:vAlign w:val="center"/>
          </w:tcPr>
          <w:p w14:paraId="78C5AD2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r>
              <w:rPr>
                <w:rFonts w:hint="default" w:ascii="Times New Roman" w:hAnsi="Times New Roman" w:eastAsia="宋体" w:cs="Times New Roman"/>
                <w:kern w:val="0"/>
                <w:szCs w:val="21"/>
                <w:u w:val="single"/>
                <w:lang w:val="en-US" w:eastAsia="zh-CN"/>
              </w:rPr>
              <w:t>0</w:t>
            </w:r>
          </w:p>
        </w:tc>
        <w:tc>
          <w:tcPr>
            <w:tcW w:w="722" w:type="pct"/>
            <w:vAlign w:val="center"/>
          </w:tcPr>
          <w:p w14:paraId="04030C7A">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0.2</w:t>
            </w:r>
          </w:p>
        </w:tc>
        <w:tc>
          <w:tcPr>
            <w:tcW w:w="793" w:type="pct"/>
            <w:vAlign w:val="center"/>
          </w:tcPr>
          <w:p w14:paraId="5DB1C409">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0.2</w:t>
            </w:r>
          </w:p>
        </w:tc>
        <w:tc>
          <w:tcPr>
            <w:tcW w:w="800" w:type="pct"/>
            <w:vAlign w:val="center"/>
          </w:tcPr>
          <w:p w14:paraId="61EE37D0">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lang w:val="en-US" w:eastAsia="zh-CN"/>
              </w:rPr>
              <w:t>+0.2</w:t>
            </w:r>
          </w:p>
        </w:tc>
      </w:tr>
      <w:tr w14:paraId="0A4586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495CAC1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3DC9074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废矿物油</w:t>
            </w:r>
          </w:p>
        </w:tc>
        <w:tc>
          <w:tcPr>
            <w:tcW w:w="708" w:type="pct"/>
            <w:vAlign w:val="center"/>
          </w:tcPr>
          <w:p w14:paraId="5BB489B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601" w:type="pct"/>
            <w:vAlign w:val="center"/>
          </w:tcPr>
          <w:p w14:paraId="76FD378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409E81A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w:t>
            </w:r>
          </w:p>
        </w:tc>
        <w:tc>
          <w:tcPr>
            <w:tcW w:w="793" w:type="pct"/>
            <w:vAlign w:val="center"/>
          </w:tcPr>
          <w:p w14:paraId="32D9B1F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w:t>
            </w:r>
          </w:p>
        </w:tc>
        <w:tc>
          <w:tcPr>
            <w:tcW w:w="800" w:type="pct"/>
            <w:vAlign w:val="center"/>
          </w:tcPr>
          <w:p w14:paraId="77DA188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w:t>
            </w:r>
          </w:p>
        </w:tc>
      </w:tr>
      <w:tr w14:paraId="33C7F2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97" w:type="pct"/>
            <w:vMerge w:val="continue"/>
            <w:vAlign w:val="center"/>
          </w:tcPr>
          <w:p w14:paraId="5A3D329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875" w:type="pct"/>
            <w:vAlign w:val="center"/>
          </w:tcPr>
          <w:p w14:paraId="3646615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污水处理污泥</w:t>
            </w:r>
          </w:p>
        </w:tc>
        <w:tc>
          <w:tcPr>
            <w:tcW w:w="708" w:type="pct"/>
            <w:vAlign w:val="center"/>
          </w:tcPr>
          <w:p w14:paraId="7FDF3EF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601" w:type="pct"/>
            <w:vAlign w:val="center"/>
          </w:tcPr>
          <w:p w14:paraId="63EFD6A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0</w:t>
            </w:r>
          </w:p>
        </w:tc>
        <w:tc>
          <w:tcPr>
            <w:tcW w:w="722" w:type="pct"/>
            <w:vAlign w:val="center"/>
          </w:tcPr>
          <w:p w14:paraId="4BCCDD6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u w:val="single"/>
                <w:lang w:eastAsia="zh-CN"/>
              </w:rPr>
              <w:t>59.4</w:t>
            </w:r>
          </w:p>
        </w:tc>
        <w:tc>
          <w:tcPr>
            <w:tcW w:w="793" w:type="pct"/>
            <w:vAlign w:val="center"/>
          </w:tcPr>
          <w:p w14:paraId="23CD3F2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u w:val="single"/>
                <w:lang w:eastAsia="zh-CN"/>
              </w:rPr>
              <w:t>59.4</w:t>
            </w:r>
          </w:p>
        </w:tc>
        <w:tc>
          <w:tcPr>
            <w:tcW w:w="800" w:type="pct"/>
            <w:vAlign w:val="center"/>
          </w:tcPr>
          <w:p w14:paraId="405C97B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u w:val="single"/>
              </w:rPr>
              <w:t>+</w:t>
            </w:r>
            <w:r>
              <w:rPr>
                <w:rFonts w:hint="default" w:ascii="Times New Roman" w:hAnsi="Times New Roman" w:eastAsia="宋体" w:cs="Times New Roman"/>
                <w:u w:val="single"/>
                <w:lang w:eastAsia="zh-CN"/>
              </w:rPr>
              <w:t>59.4</w:t>
            </w:r>
          </w:p>
        </w:tc>
      </w:tr>
    </w:tbl>
    <w:p w14:paraId="0DE9CD4D">
      <w:pPr>
        <w:pStyle w:val="48"/>
        <w:spacing w:before="0" w:line="360" w:lineRule="auto"/>
        <w:ind w:firstLine="0" w:firstLineChars="0"/>
        <w:jc w:val="center"/>
        <w:rPr>
          <w:rFonts w:hint="default" w:ascii="Times New Roman" w:hAnsi="Times New Roman" w:eastAsia="宋体" w:cs="Times New Roman"/>
          <w:sz w:val="24"/>
          <w:szCs w:val="21"/>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67B3EB34">
      <w:pPr>
        <w:pStyle w:val="2"/>
        <w:spacing w:before="0" w:after="0" w:line="360" w:lineRule="auto"/>
        <w:rPr>
          <w:rFonts w:hint="default" w:ascii="Times New Roman" w:hAnsi="Times New Roman" w:eastAsia="宋体" w:cs="Times New Roman"/>
        </w:rPr>
      </w:pPr>
      <w:bookmarkStart w:id="302" w:name="_Toc123733102"/>
      <w:bookmarkStart w:id="303" w:name="_Toc8093"/>
      <w:bookmarkStart w:id="304" w:name="_Toc106961896"/>
      <w:r>
        <w:rPr>
          <w:rFonts w:hint="default" w:ascii="Times New Roman" w:hAnsi="Times New Roman" w:eastAsia="宋体" w:cs="Times New Roman"/>
        </w:rPr>
        <w:t>6环境现状调查与评价</w:t>
      </w:r>
      <w:bookmarkEnd w:id="302"/>
      <w:bookmarkEnd w:id="303"/>
      <w:bookmarkEnd w:id="304"/>
    </w:p>
    <w:p w14:paraId="5C9798C8">
      <w:pPr>
        <w:pStyle w:val="3"/>
        <w:spacing w:before="0" w:after="0" w:line="360" w:lineRule="auto"/>
        <w:jc w:val="left"/>
        <w:rPr>
          <w:rFonts w:hint="default" w:ascii="Times New Roman" w:hAnsi="Times New Roman" w:eastAsia="宋体" w:cs="Times New Roman"/>
        </w:rPr>
      </w:pPr>
      <w:bookmarkStart w:id="305" w:name="_Toc106961897"/>
      <w:bookmarkStart w:id="306" w:name="_Toc123733103"/>
      <w:bookmarkStart w:id="307" w:name="_Toc29400"/>
      <w:r>
        <w:rPr>
          <w:rFonts w:hint="default" w:ascii="Times New Roman" w:hAnsi="Times New Roman" w:eastAsia="宋体" w:cs="Times New Roman"/>
          <w:kern w:val="0"/>
          <w:sz w:val="30"/>
          <w:szCs w:val="28"/>
        </w:rPr>
        <w:t>6.1自然环境概况</w:t>
      </w:r>
      <w:bookmarkEnd w:id="305"/>
      <w:bookmarkEnd w:id="306"/>
      <w:bookmarkEnd w:id="307"/>
    </w:p>
    <w:p w14:paraId="0C2666D4">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6.1.1</w:t>
      </w:r>
      <w:r>
        <w:rPr>
          <w:rFonts w:hint="default" w:ascii="Times New Roman" w:hAnsi="Times New Roman" w:eastAsia="宋体" w:cs="Times New Roman"/>
          <w:color w:val="000000"/>
          <w:sz w:val="24"/>
        </w:rPr>
        <w:t>地理位置</w:t>
      </w:r>
    </w:p>
    <w:p w14:paraId="131A31E5">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衡阳市位于湖南省中南部，湘江中游。地处东经110°32′16″～113°16′32″，北纬26°07′05″～27°27′24″，市域南北长150公里，东西宽173公里，总面积15310平方公里。东邻株洲、攸县、安仁；南界永兴、桂阳；西接冷水滩、祁阳、东安、邵阳、邵东；北靠双峰、湘潭。</w:t>
      </w:r>
    </w:p>
    <w:p w14:paraId="160D54E1">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color w:val="000000"/>
          <w:sz w:val="24"/>
        </w:rPr>
        <w:t>本项目位于衡阳市松木工业园废旧物资循环利用产业园化工路</w:t>
      </w:r>
      <w:r>
        <w:rPr>
          <w:rFonts w:hint="default" w:ascii="Times New Roman" w:hAnsi="Times New Roman" w:eastAsia="宋体" w:cs="Times New Roman"/>
          <w:sz w:val="24"/>
          <w:szCs w:val="24"/>
        </w:rPr>
        <w:t>，建设项目中心地理坐标</w:t>
      </w:r>
      <w:r>
        <w:rPr>
          <w:rFonts w:hint="default" w:ascii="Times New Roman" w:hAnsi="Times New Roman" w:eastAsia="宋体" w:cs="Times New Roman"/>
          <w:sz w:val="24"/>
        </w:rPr>
        <w:t>E112.627892°，N26.973652°，</w:t>
      </w:r>
      <w:r>
        <w:rPr>
          <w:rFonts w:hint="default" w:ascii="Times New Roman" w:hAnsi="Times New Roman" w:eastAsia="宋体" w:cs="Times New Roman"/>
          <w:sz w:val="24"/>
          <w:szCs w:val="24"/>
        </w:rPr>
        <w:t>具体位置详见项目地理位置图。</w:t>
      </w:r>
    </w:p>
    <w:p w14:paraId="77661858">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6.1.2</w:t>
      </w:r>
      <w:r>
        <w:rPr>
          <w:rFonts w:hint="default" w:ascii="Times New Roman" w:hAnsi="Times New Roman" w:eastAsia="宋体" w:cs="Times New Roman"/>
          <w:color w:val="000000"/>
          <w:sz w:val="24"/>
        </w:rPr>
        <w:t>地形、地貌</w:t>
      </w:r>
    </w:p>
    <w:p w14:paraId="69B3141D">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衡阳市处于湖南省凹形面的轴带部分。周围环绕着古老岩层形成断续环带的盆地形势。衡阳盆地南高北低。整个盆地南面地势较高，北面相对偏低，整个地形由西南向东北复合倾斜，而盆地由四周向中部降低。地貌类型以岗丘为主，四周山、丘围绕，中部平、岗丘交错，整个地形比降为7.9‰。其中山地占总面积的21%，丘陵占27%，岗地占27%，平原占21%，水面占4%。</w:t>
      </w:r>
    </w:p>
    <w:p w14:paraId="2341D777">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评价区域在“衡阳红色盆地”内，属堆积微丘平原地貌类型，地形起伏不大，丘顶平缓，园区选址位置地质条件优良，区内西高东低，西面为丘陵地，高程在80-125m之间，东面为平坦地，高程为51-70m之间，最大高差相差70m左右。区域地层从上至下为第四纪中更新统亚粘土、轻亚粘土、粉细砂及砂卵石，基底第三系霞流市组茶山坳段主要为灰绿色泥岩、泥质粉砂岩、砂岩，含石膏、钙芒硝、石盐等，本区无不良地质现象。</w:t>
      </w:r>
    </w:p>
    <w:p w14:paraId="064ABC71">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根据《中国地震动参数区划图》（GB18306-2001），本地区地震动峰值加速度为0.05g，反应谱特征周期为0.35，对照地震烈度＜Ⅳ度。</w:t>
      </w:r>
    </w:p>
    <w:p w14:paraId="7514FD67">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6.1.3</w:t>
      </w:r>
      <w:r>
        <w:rPr>
          <w:rFonts w:hint="default" w:ascii="Times New Roman" w:hAnsi="Times New Roman" w:eastAsia="宋体" w:cs="Times New Roman"/>
          <w:color w:val="000000"/>
          <w:sz w:val="24"/>
        </w:rPr>
        <w:t>气候</w:t>
      </w:r>
    </w:p>
    <w:p w14:paraId="6BC2E043">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评价区域属亚热带湿润季风气候，寒暑变化明显，四季分明，春多寒潮阴雨，夏多暴雨、高温，秋伏易旱，年平均气压1008.6hpa，年平均气温18℃，年平均降雨量</w:t>
      </w:r>
      <w:bookmarkStart w:id="308" w:name="_Hlk130394077"/>
      <w:r>
        <w:rPr>
          <w:rFonts w:hint="default" w:ascii="Times New Roman" w:hAnsi="Times New Roman" w:eastAsia="宋体" w:cs="Times New Roman"/>
          <w:sz w:val="24"/>
          <w:szCs w:val="21"/>
        </w:rPr>
        <w:t>13</w:t>
      </w:r>
      <w:bookmarkEnd w:id="308"/>
      <w:r>
        <w:rPr>
          <w:rFonts w:hint="default" w:ascii="Times New Roman" w:hAnsi="Times New Roman" w:eastAsia="宋体" w:cs="Times New Roman"/>
          <w:sz w:val="24"/>
          <w:szCs w:val="21"/>
          <w:lang w:eastAsia="zh-CN"/>
        </w:rPr>
        <w:t>59.4</w:t>
      </w:r>
      <w:r>
        <w:rPr>
          <w:rFonts w:hint="default" w:ascii="Times New Roman" w:hAnsi="Times New Roman" w:eastAsia="宋体" w:cs="Times New Roman"/>
          <w:sz w:val="24"/>
          <w:szCs w:val="21"/>
        </w:rPr>
        <w:t>mm；年平均蒸发量1468.7mm；平均相对湿度78%；年日照时数1663.5h；多年平均风速2.0m/s。</w:t>
      </w:r>
    </w:p>
    <w:p w14:paraId="05D1AD37">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根据衡阳市气象台观测资料统计，衡阳市多年的风向频率，该地区全年主导风向为NNE，频率为11.25%，其次为NE，频率为11.0%，静风频率为25%。冬季主导风向为NE和NNE，频率分别为15%和14%；夏季主导风向为S和SSE，频率分别为20%和15%。</w:t>
      </w:r>
    </w:p>
    <w:p w14:paraId="3B8C2FD4">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（1）年平均气温 17.9℃</w:t>
      </w:r>
    </w:p>
    <w:p w14:paraId="7B961927">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（2）年平均相对湿度 78%</w:t>
      </w:r>
    </w:p>
    <w:p w14:paraId="556623C7">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（3）年平均气压 1008.6hPa</w:t>
      </w:r>
    </w:p>
    <w:p w14:paraId="1BBDC9CE">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（4）年平均降水量 13</w:t>
      </w:r>
      <w:r>
        <w:rPr>
          <w:rFonts w:hint="default" w:ascii="Times New Roman" w:hAnsi="Times New Roman" w:eastAsia="宋体" w:cs="Times New Roman"/>
          <w:sz w:val="24"/>
          <w:szCs w:val="21"/>
          <w:lang w:eastAsia="zh-CN"/>
        </w:rPr>
        <w:t>59.4</w:t>
      </w:r>
      <w:r>
        <w:rPr>
          <w:rFonts w:hint="default" w:ascii="Times New Roman" w:hAnsi="Times New Roman" w:eastAsia="宋体" w:cs="Times New Roman"/>
          <w:sz w:val="24"/>
          <w:szCs w:val="21"/>
        </w:rPr>
        <w:t>mm</w:t>
      </w:r>
    </w:p>
    <w:p w14:paraId="15344700">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（5）年平均日照时数 1684.0h</w:t>
      </w:r>
    </w:p>
    <w:p w14:paraId="4E3B3EA2">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（6）日最高气压 1016.5hPa</w:t>
      </w:r>
    </w:p>
    <w:p w14:paraId="4E6C3B97">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（7）年平均风速 2.0m/s</w:t>
      </w:r>
    </w:p>
    <w:p w14:paraId="2B0E9C7A">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（8）年主导风向 NNE（频率为 11.25%）</w:t>
      </w:r>
    </w:p>
    <w:p w14:paraId="6A27238C">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（9）年静风频率 25.0%</w:t>
      </w:r>
    </w:p>
    <w:p w14:paraId="458FA20E">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（10）夏季主导风向 S（频率为 20%）和 SSE（频率为 15%）</w:t>
      </w:r>
    </w:p>
    <w:p w14:paraId="76780139">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6.1.4</w:t>
      </w:r>
      <w:r>
        <w:rPr>
          <w:rFonts w:hint="default" w:ascii="Times New Roman" w:hAnsi="Times New Roman" w:eastAsia="宋体" w:cs="Times New Roman"/>
          <w:color w:val="000000"/>
          <w:sz w:val="24"/>
        </w:rPr>
        <w:t>水文</w:t>
      </w:r>
    </w:p>
    <w:p w14:paraId="37DE8C77">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评价区域范围内地表水体较发育，较大的地表水为湘江。湘江是长江中游南岸重要支流，又称湘水。主源海洋河，源出广西临桂县海洋坪的龙门界，于全州附近，汇灌江和罗江，北流入湖南省，经17县市，在湘阴濠河口分为东西两支，至芦林潭又汇合注入洞庭湖。干流全长856千米，流域面积9.46万平方千米，沿途接纳大小支流1300多条，主要支流有潇水、</w:t>
      </w:r>
      <w:r>
        <w:rPr>
          <w:rFonts w:hint="default" w:ascii="Times New Roman" w:hAnsi="Times New Roman" w:eastAsia="宋体" w:cs="Times New Roman"/>
          <w:sz w:val="24"/>
          <w:szCs w:val="21"/>
          <w:lang w:eastAsia="zh-CN"/>
        </w:rPr>
        <w:t>舂陵水</w:t>
      </w:r>
      <w:r>
        <w:rPr>
          <w:rFonts w:hint="default" w:ascii="Times New Roman" w:hAnsi="Times New Roman" w:eastAsia="宋体" w:cs="Times New Roman"/>
          <w:sz w:val="24"/>
          <w:szCs w:val="21"/>
        </w:rPr>
        <w:t>、耒水、洣水、蒸水、涟水等。评价水域湘江衡阳段位于湘江中下游。</w:t>
      </w:r>
    </w:p>
    <w:p w14:paraId="12ECF75A">
      <w:pPr>
        <w:spacing w:line="360" w:lineRule="auto"/>
        <w:ind w:firstLine="480" w:firstLineChars="200"/>
        <w:rPr>
          <w:rFonts w:hint="default" w:ascii="Times New Roman" w:hAnsi="Times New Roman" w:eastAsia="宋体" w:cs="Times New Roman"/>
          <w:sz w:val="24"/>
          <w:szCs w:val="21"/>
        </w:rPr>
      </w:pPr>
      <w:r>
        <w:rPr>
          <w:rFonts w:hint="default" w:ascii="Times New Roman" w:hAnsi="Times New Roman" w:eastAsia="宋体" w:cs="Times New Roman"/>
          <w:sz w:val="24"/>
          <w:szCs w:val="21"/>
        </w:rPr>
        <w:t>评价区域范围水体湘江为蒸水口至大浦镇师塘村上游6000m江段，长度22.4km，为工业用水区，执行《地表水环境质量标准》中的（GB3838-2002）III类标准；湘江大浦镇师塘村上游6000m至大浦镇师塘村6km江段为渔业用水区，执行《地表水环境质量标准》（GB3838-2002）中的III类标准；大浦镇师塘村至大浦水厂取水口上游1000m的江段长约2km，为饮用水水源保护区，执行《地表水环境质量标准》（GB3838-2002）中的III类标准；大浦水厂取水口上游1000m至下游200m江段长约1.2km，为饮用水源保护区，执行《地表水环境质量标准》（GB3838-2002）中的II类标准。大浦水厂取水口下游200m至湘华化工厂取水口上游1000m江段长约31.8km，为渔业用水区，执行《地表水环境质量标准》（GB3838 -2002）中的III类标准。</w:t>
      </w:r>
    </w:p>
    <w:p w14:paraId="64B4B1D6">
      <w:pPr>
        <w:tabs>
          <w:tab w:val="left" w:pos="7371"/>
        </w:tabs>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1"/>
        </w:rPr>
        <w:t>根据湘江衡阳水文站资料，纳污水体湘江衡阳段水文特征详见下表</w:t>
      </w:r>
      <w:r>
        <w:rPr>
          <w:rFonts w:hint="default" w:ascii="Times New Roman" w:hAnsi="Times New Roman" w:eastAsia="宋体" w:cs="Times New Roman"/>
          <w:kern w:val="0"/>
          <w:sz w:val="24"/>
        </w:rPr>
        <w:t>：</w:t>
      </w:r>
    </w:p>
    <w:p w14:paraId="3FF9BE6B">
      <w:pPr>
        <w:pStyle w:val="41"/>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表6.1-1 湘江衡阳段水文特征</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72"/>
        <w:gridCol w:w="4065"/>
        <w:gridCol w:w="3385"/>
      </w:tblGrid>
      <w:tr w14:paraId="12DAD1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0C1F223D">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lang w:val="zh-CN"/>
              </w:rPr>
            </w:pPr>
            <w:r>
              <w:rPr>
                <w:rFonts w:hint="default" w:ascii="Times New Roman" w:hAnsi="Times New Roman" w:eastAsia="宋体" w:cs="Times New Roman"/>
                <w:b/>
                <w:szCs w:val="21"/>
                <w:lang w:val="zh-CN"/>
              </w:rPr>
              <w:t>序号</w:t>
            </w:r>
          </w:p>
        </w:tc>
        <w:tc>
          <w:tcPr>
            <w:tcW w:w="4065" w:type="dxa"/>
          </w:tcPr>
          <w:p w14:paraId="512C29F6">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lang w:val="zh-CN"/>
              </w:rPr>
            </w:pPr>
            <w:r>
              <w:rPr>
                <w:rFonts w:hint="default" w:ascii="Times New Roman" w:hAnsi="Times New Roman" w:eastAsia="宋体" w:cs="Times New Roman"/>
                <w:b/>
                <w:szCs w:val="21"/>
                <w:lang w:val="zh-CN"/>
              </w:rPr>
              <w:t>项目</w:t>
            </w:r>
          </w:p>
        </w:tc>
        <w:tc>
          <w:tcPr>
            <w:tcW w:w="3385" w:type="dxa"/>
          </w:tcPr>
          <w:p w14:paraId="0AB2ADB4">
            <w:pPr>
              <w:keepNext w:val="0"/>
              <w:keepLines w:val="0"/>
              <w:suppressLineNumbers w:val="0"/>
              <w:spacing w:before="0" w:beforeAutospacing="0" w:after="0" w:afterAutospacing="0"/>
              <w:ind w:left="0" w:right="0"/>
              <w:jc w:val="center"/>
              <w:rPr>
                <w:rFonts w:hint="default" w:ascii="Times New Roman" w:hAnsi="Times New Roman" w:eastAsia="宋体" w:cs="Times New Roman"/>
                <w:b/>
                <w:szCs w:val="21"/>
                <w:lang w:val="zh-CN"/>
              </w:rPr>
            </w:pPr>
            <w:r>
              <w:rPr>
                <w:rFonts w:hint="default" w:ascii="Times New Roman" w:hAnsi="Times New Roman" w:eastAsia="宋体" w:cs="Times New Roman"/>
                <w:b/>
                <w:szCs w:val="21"/>
                <w:lang w:val="zh-CN"/>
              </w:rPr>
              <w:t>具体情况</w:t>
            </w:r>
          </w:p>
        </w:tc>
      </w:tr>
      <w:tr w14:paraId="2E78D0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64D9076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w:t>
            </w:r>
          </w:p>
        </w:tc>
        <w:tc>
          <w:tcPr>
            <w:tcW w:w="4065" w:type="dxa"/>
          </w:tcPr>
          <w:p w14:paraId="1CE29E4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平均流量</w:t>
            </w:r>
          </w:p>
        </w:tc>
        <w:tc>
          <w:tcPr>
            <w:tcW w:w="3385" w:type="dxa"/>
          </w:tcPr>
          <w:p w14:paraId="1B2D57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1320m³/s</w:t>
            </w:r>
          </w:p>
        </w:tc>
      </w:tr>
      <w:tr w14:paraId="64B54C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0417AB3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2</w:t>
            </w:r>
          </w:p>
        </w:tc>
        <w:tc>
          <w:tcPr>
            <w:tcW w:w="4065" w:type="dxa"/>
          </w:tcPr>
          <w:p w14:paraId="787F34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最大流量</w:t>
            </w:r>
          </w:p>
        </w:tc>
        <w:tc>
          <w:tcPr>
            <w:tcW w:w="3385" w:type="dxa"/>
          </w:tcPr>
          <w:p w14:paraId="002925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2780m³/s</w:t>
            </w:r>
          </w:p>
        </w:tc>
      </w:tr>
      <w:tr w14:paraId="02B28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7811B1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3</w:t>
            </w:r>
          </w:p>
        </w:tc>
        <w:tc>
          <w:tcPr>
            <w:tcW w:w="4065" w:type="dxa"/>
          </w:tcPr>
          <w:p w14:paraId="4A256A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最小流量</w:t>
            </w:r>
          </w:p>
        </w:tc>
        <w:tc>
          <w:tcPr>
            <w:tcW w:w="3385" w:type="dxa"/>
          </w:tcPr>
          <w:p w14:paraId="4CB711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150m³/s</w:t>
            </w:r>
          </w:p>
        </w:tc>
      </w:tr>
      <w:tr w14:paraId="79E692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41B413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4</w:t>
            </w:r>
          </w:p>
        </w:tc>
        <w:tc>
          <w:tcPr>
            <w:tcW w:w="4065" w:type="dxa"/>
          </w:tcPr>
          <w:p w14:paraId="629567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90%枯水期保证流量</w:t>
            </w:r>
          </w:p>
        </w:tc>
        <w:tc>
          <w:tcPr>
            <w:tcW w:w="3385" w:type="dxa"/>
          </w:tcPr>
          <w:p w14:paraId="72F2F2C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489m³/s</w:t>
            </w:r>
          </w:p>
        </w:tc>
      </w:tr>
      <w:tr w14:paraId="0F88B8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2694A4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5</w:t>
            </w:r>
          </w:p>
        </w:tc>
        <w:tc>
          <w:tcPr>
            <w:tcW w:w="4065" w:type="dxa"/>
          </w:tcPr>
          <w:p w14:paraId="3B206A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平均流速</w:t>
            </w:r>
          </w:p>
        </w:tc>
        <w:tc>
          <w:tcPr>
            <w:tcW w:w="3385" w:type="dxa"/>
          </w:tcPr>
          <w:p w14:paraId="2B9B4B8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0.31m/s</w:t>
            </w:r>
          </w:p>
        </w:tc>
      </w:tr>
      <w:tr w14:paraId="5EF091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7C298C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6</w:t>
            </w:r>
          </w:p>
        </w:tc>
        <w:tc>
          <w:tcPr>
            <w:tcW w:w="4065" w:type="dxa"/>
          </w:tcPr>
          <w:p w14:paraId="0BF95C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平均水位</w:t>
            </w:r>
          </w:p>
        </w:tc>
        <w:tc>
          <w:tcPr>
            <w:tcW w:w="3385" w:type="dxa"/>
          </w:tcPr>
          <w:p w14:paraId="21CE2DF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51.54m</w:t>
            </w:r>
          </w:p>
        </w:tc>
      </w:tr>
      <w:tr w14:paraId="6DDAAE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57A600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7</w:t>
            </w:r>
          </w:p>
        </w:tc>
        <w:tc>
          <w:tcPr>
            <w:tcW w:w="4065" w:type="dxa"/>
          </w:tcPr>
          <w:p w14:paraId="55CB91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最大水深</w:t>
            </w:r>
          </w:p>
        </w:tc>
        <w:tc>
          <w:tcPr>
            <w:tcW w:w="3385" w:type="dxa"/>
          </w:tcPr>
          <w:p w14:paraId="783DBD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16.54m</w:t>
            </w:r>
          </w:p>
        </w:tc>
      </w:tr>
      <w:tr w14:paraId="3D4FD3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2C4519B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8</w:t>
            </w:r>
          </w:p>
        </w:tc>
        <w:tc>
          <w:tcPr>
            <w:tcW w:w="4065" w:type="dxa"/>
          </w:tcPr>
          <w:p w14:paraId="3937CC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最小水深</w:t>
            </w:r>
          </w:p>
        </w:tc>
        <w:tc>
          <w:tcPr>
            <w:tcW w:w="3385" w:type="dxa"/>
          </w:tcPr>
          <w:p w14:paraId="71EDEA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5.0m</w:t>
            </w:r>
          </w:p>
        </w:tc>
      </w:tr>
      <w:tr w14:paraId="29C0A7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08C850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9</w:t>
            </w:r>
          </w:p>
        </w:tc>
        <w:tc>
          <w:tcPr>
            <w:tcW w:w="4065" w:type="dxa"/>
          </w:tcPr>
          <w:p w14:paraId="236A2A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平均水深</w:t>
            </w:r>
          </w:p>
        </w:tc>
        <w:tc>
          <w:tcPr>
            <w:tcW w:w="3385" w:type="dxa"/>
          </w:tcPr>
          <w:p w14:paraId="53B6A02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7.12m</w:t>
            </w:r>
          </w:p>
        </w:tc>
      </w:tr>
      <w:tr w14:paraId="5D442A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574740F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10</w:t>
            </w:r>
          </w:p>
        </w:tc>
        <w:tc>
          <w:tcPr>
            <w:tcW w:w="4065" w:type="dxa"/>
          </w:tcPr>
          <w:p w14:paraId="08B039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平均河宽</w:t>
            </w:r>
          </w:p>
        </w:tc>
        <w:tc>
          <w:tcPr>
            <w:tcW w:w="3385" w:type="dxa"/>
          </w:tcPr>
          <w:p w14:paraId="450DD3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598m</w:t>
            </w:r>
          </w:p>
        </w:tc>
      </w:tr>
      <w:tr w14:paraId="482955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094E5E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11</w:t>
            </w:r>
          </w:p>
        </w:tc>
        <w:tc>
          <w:tcPr>
            <w:tcW w:w="4065" w:type="dxa"/>
          </w:tcPr>
          <w:p w14:paraId="496C82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平均水面比降</w:t>
            </w:r>
          </w:p>
        </w:tc>
        <w:tc>
          <w:tcPr>
            <w:tcW w:w="3385" w:type="dxa"/>
          </w:tcPr>
          <w:p w14:paraId="3C42F33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0.01(万分之一)</w:t>
            </w:r>
          </w:p>
        </w:tc>
      </w:tr>
      <w:tr w14:paraId="1CDDDA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72" w:type="dxa"/>
          </w:tcPr>
          <w:p w14:paraId="6E37CC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12</w:t>
            </w:r>
          </w:p>
        </w:tc>
        <w:tc>
          <w:tcPr>
            <w:tcW w:w="4065" w:type="dxa"/>
          </w:tcPr>
          <w:p w14:paraId="7924027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年平均水温</w:t>
            </w:r>
          </w:p>
        </w:tc>
        <w:tc>
          <w:tcPr>
            <w:tcW w:w="3385" w:type="dxa"/>
          </w:tcPr>
          <w:p w14:paraId="79BDC8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rPr>
            </w:pPr>
            <w:r>
              <w:rPr>
                <w:rFonts w:hint="default" w:ascii="Times New Roman" w:hAnsi="Times New Roman" w:eastAsia="宋体" w:cs="Times New Roman"/>
                <w:szCs w:val="21"/>
                <w:lang w:val="zh-CN"/>
              </w:rPr>
              <w:t>20.8℃</w:t>
            </w:r>
          </w:p>
        </w:tc>
      </w:tr>
    </w:tbl>
    <w:p w14:paraId="6F28957E">
      <w:pPr>
        <w:tabs>
          <w:tab w:val="left" w:pos="7371"/>
        </w:tabs>
        <w:spacing w:line="360" w:lineRule="auto"/>
        <w:ind w:firstLine="482"/>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蒸水为湘江的支流，俗称草河，全长约194km，流域面积3470km</w:t>
      </w:r>
      <w:r>
        <w:rPr>
          <w:rFonts w:hint="default" w:ascii="Times New Roman" w:hAnsi="Times New Roman" w:eastAsia="宋体" w:cs="Times New Roman"/>
          <w:kern w:val="0"/>
          <w:sz w:val="24"/>
          <w:szCs w:val="24"/>
          <w:vertAlign w:val="superscript"/>
        </w:rPr>
        <w:t>2</w:t>
      </w:r>
      <w:r>
        <w:rPr>
          <w:rFonts w:hint="default" w:ascii="Times New Roman" w:hAnsi="Times New Roman" w:eastAsia="宋体" w:cs="Times New Roman"/>
          <w:kern w:val="0"/>
          <w:sz w:val="24"/>
          <w:szCs w:val="24"/>
        </w:rPr>
        <w:t>，系山溪季节性河，河水陡涨陡落。衡阳市境内蒸水长度约150km。它发源于邵东县东南部的简家陇乡蒸源村，经衡阳县金兰镇，呈“乙”字型，再流经衡阳县三湖镇、渣江镇、台源镇、西渡镇，衡南县三塘镇，最后经呆鹰岭、衡阳市蒸湘区、石鼓区，在石鼓区的石鼓公园处石鼓书院石鼓咀草桥流入湘江。</w:t>
      </w:r>
    </w:p>
    <w:p w14:paraId="4CBA1AF1">
      <w:pPr>
        <w:tabs>
          <w:tab w:val="left" w:pos="7371"/>
        </w:tabs>
        <w:spacing w:line="360" w:lineRule="auto"/>
        <w:ind w:firstLine="482"/>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耒水为湘江最大、最长的支流，总长453km，流经衡阳市区南部的汝城县、资兴市、郴县、永兴县、耒阳市、衡南县至衡阳市珠晖区，耒河口汇入湘江。流域面积11783平方千米。河流总落差886m，河面平均宽度300m，河床平均坡降为0.27‰。多年平均流量为258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/s，多年平均径流量为81.54亿m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，最大一日洪水总量出现于1961年6月13日，为4605亿m</w:t>
      </w:r>
      <w:r>
        <w:rPr>
          <w:rFonts w:hint="default" w:ascii="Times New Roman" w:hAnsi="Times New Roman" w:eastAsia="宋体" w:cs="Times New Roman"/>
          <w:kern w:val="0"/>
          <w:sz w:val="24"/>
          <w:szCs w:val="24"/>
          <w:vertAlign w:val="superscript"/>
        </w:rPr>
        <w:t>3</w:t>
      </w:r>
      <w:r>
        <w:rPr>
          <w:rFonts w:hint="default" w:ascii="Times New Roman" w:hAnsi="Times New Roman" w:eastAsia="宋体" w:cs="Times New Roman"/>
          <w:kern w:val="0"/>
          <w:sz w:val="24"/>
          <w:szCs w:val="24"/>
        </w:rPr>
        <w:t>。</w:t>
      </w:r>
    </w:p>
    <w:p w14:paraId="66F51E43">
      <w:pPr>
        <w:pStyle w:val="48"/>
        <w:spacing w:before="0" w:line="360" w:lineRule="auto"/>
        <w:ind w:firstLine="482" w:firstLineChars="0"/>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rPr>
        <w:t>项目区域地下水自上而下可划分为三个含水层，即风化、裂隙、潜水含水层，易于接受降雨的渗漏补给，径流条件好，常在丘陵谷地形成下降泉出露地表，流量随季节变化，枯水季显著减少或干涸；裂隙承压水带，一般在地表以下40～120m之间，含水层延伸不稳定，呈透镜状，地下水具承压；盐层上部盐水带，厚度 5～20m不等，呈透镜状，溶蚀明显。</w:t>
      </w:r>
    </w:p>
    <w:p w14:paraId="1616DB59">
      <w:pPr>
        <w:pStyle w:val="48"/>
        <w:spacing w:before="0" w:line="360" w:lineRule="auto"/>
        <w:ind w:firstLine="482" w:firstLineChars="0"/>
        <w:rPr>
          <w:rFonts w:hint="default" w:ascii="Times New Roman" w:hAnsi="Times New Roman" w:eastAsia="宋体" w:cs="Times New Roman"/>
          <w:sz w:val="24"/>
          <w:szCs w:val="24"/>
        </w:rPr>
      </w:pPr>
      <w:r>
        <w:rPr>
          <w:rFonts w:hint="default" w:ascii="Times New Roman" w:hAnsi="Times New Roman" w:eastAsia="宋体" w:cs="Times New Roman"/>
          <w:sz w:val="24"/>
          <w:szCs w:val="21"/>
        </w:rPr>
        <w:t>区域地下水补给主要是大气降水补给，多以径流的形式侧向补给松散岩类孔隙水，其次是上游流入补给，局部是以泉的形式出露地表。地下水排泄方式以下游河流排泄补给地表水体、蒸发为主，以及人工开采等。地下水流向主要受地形影响从地势高的地方流向地势低的地方，总体走势从西向东流入湘江。区域地下水位年内变化与降水量密切相关，动态类型为降水入渗—径流—蒸发—下游排泄型，季节性变化明显。每年10月底进入秋季的影响，降雨开始减少，水位由升转降，出现单独水文年最高水位。11月至次年5月水位明显下降，出现地下水位出现年内最低水位，6月至10月进入雨季，受降水入渗补给的影响，地下水位开始明显回升，出现年内最高水位。年内山谷观测点水位变化平均在2m左右。</w:t>
      </w:r>
    </w:p>
    <w:p w14:paraId="3C542E7D">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6.1.8</w:t>
      </w:r>
      <w:r>
        <w:rPr>
          <w:rFonts w:hint="default" w:ascii="Times New Roman" w:hAnsi="Times New Roman" w:eastAsia="宋体" w:cs="Times New Roman"/>
          <w:color w:val="000000"/>
          <w:sz w:val="24"/>
        </w:rPr>
        <w:t>生态环境</w:t>
      </w:r>
    </w:p>
    <w:p w14:paraId="16080F76">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区域内主要为剥蚀丘陵地貌，风化强烈，地势起伏很小。在山包及山坡上，地表土壤厚度一般大于10m。坡脚下及相对平坦的沟谷中土壤厚度最大可达近40m。</w:t>
      </w:r>
    </w:p>
    <w:p w14:paraId="7799FC0D">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区内山包上和山坡地段一般为林地，其土壤相对较为贫瘠，有机质含量少。在坡脚下，由于雨水从山坡上冲下大量有机质及细碎颗粒风化物，土壤厚度相对较大，以砂壤土和壤土为主，有机质含量相对增多。在沟谷低洼处多为水田，土壤厚度较大，以壤土为主，有机质含量中等。本次建设地及周边区域内植物主要为灌木及道路两侧绿化带，植被发育，覆盖率在60%以上。</w:t>
      </w:r>
    </w:p>
    <w:p w14:paraId="2A479182">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园区内人为活动频繁，野生动物失去较适宜的栖息繁衍场所。主要动物是田鼠、青蛙、蛇、山雀等常见物种，未见国家保护的珍稀野生动物，无自然保护区、森林公园、风景游览区等需特殊保护的环境敏感点。</w:t>
      </w:r>
    </w:p>
    <w:p w14:paraId="3B81552C">
      <w:pPr>
        <w:pStyle w:val="3"/>
        <w:spacing w:before="0" w:after="0" w:line="360" w:lineRule="auto"/>
        <w:jc w:val="left"/>
        <w:rPr>
          <w:rFonts w:hint="default" w:ascii="Times New Roman" w:hAnsi="Times New Roman" w:eastAsia="宋体" w:cs="Times New Roman"/>
        </w:rPr>
      </w:pPr>
      <w:bookmarkStart w:id="309" w:name="_Toc123733104"/>
      <w:bookmarkStart w:id="310" w:name="_Toc10357"/>
      <w:r>
        <w:rPr>
          <w:rFonts w:hint="default" w:ascii="Times New Roman" w:hAnsi="Times New Roman" w:eastAsia="宋体" w:cs="Times New Roman"/>
          <w:kern w:val="0"/>
          <w:sz w:val="30"/>
          <w:szCs w:val="28"/>
        </w:rPr>
        <w:t>6.2松木经开区</w:t>
      </w:r>
      <w:bookmarkEnd w:id="309"/>
      <w:r>
        <w:rPr>
          <w:rFonts w:hint="default" w:ascii="Times New Roman" w:hAnsi="Times New Roman" w:eastAsia="宋体" w:cs="Times New Roman"/>
          <w:kern w:val="0"/>
          <w:sz w:val="30"/>
          <w:szCs w:val="28"/>
        </w:rPr>
        <w:t>概况</w:t>
      </w:r>
      <w:bookmarkEnd w:id="310"/>
    </w:p>
    <w:p w14:paraId="029FC75F">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6.2.1</w:t>
      </w:r>
      <w:r>
        <w:rPr>
          <w:rFonts w:hint="default" w:ascii="Times New Roman" w:hAnsi="Times New Roman" w:eastAsia="宋体" w:cs="Times New Roman"/>
          <w:color w:val="000000"/>
          <w:sz w:val="24"/>
        </w:rPr>
        <w:t>基本情况</w:t>
      </w:r>
    </w:p>
    <w:p w14:paraId="35B9B7F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湖南衡阳松木经济开发区（以下简称经开区，园区代码 S437009）原名湖南衡阳松木工业园，位于湖南省衡阳市北部石鼓区（江西片区）和珠晖区（江东片区，目前未开发建设），于2003年衡阳市人民政府批准成立，2006年经湖南省人民政府批准并报国家发改委审核通过成为省级经济开发区（湖南省人民政府湘政函[2006]79号、中华人民共和国国家发展和改革委员会公告[2006]41号），核准面积为420公顷，范围为：东至湘江，南距衡大高速500m，东起107国道，北到花云路（现云升路），主导产业为化工、造纸。2008年，《湖南衡阳松木工业园总体规划》获得湖南省人民政府批复（湘政函[2008]135号），核准建设用地规模为420公顷，以化工、造纸等为主导产业。2009年，《湖南衡阳松木工业园总体规划环境影响报告书》获得湖南省环境保护厅批复（湘环评[2009]40号），规划面积为420公顷，定位为以盐化工、精细化工为主导，适当发展有色金属深加工。</w:t>
      </w:r>
    </w:p>
    <w:p w14:paraId="4B7674E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2012年3月5号，根据《湖南省人民政府关于部分省级开发区更名的通知》（湘政函[2012]88号）精神，湖南衡阳松木工业园更名为湖南衡阳松木经济开发区。</w:t>
      </w:r>
    </w:p>
    <w:p w14:paraId="02FC333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适应园区发展需要，经开区于2012年进行了调区扩区规划，2013年，《湖南衡阳松木经济开发区扩区环境影响评价报告书》获得湖南省环境保护厅批复（湘环评[2013]213号），扩区范围为江西片区东至湘江，西至107国道，南至松梅路，北至化工路，用地面积为4.1684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，规划以发展一、二类工业为主，主导发展新能源、新材料及相关产业；江东片区东至垅塘村芭蕉冲组，西至垅塘村朱家坪组，南至垅塘村何家坪组，北至田心村，用地面积为1.8316km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，规划以区域物流运送为主，兼顾国际物流、区域城市加工培训物流，主要为企业的原材料、产品、能源提供综合性物流服务。扩区后，经开区面积为10.65km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，其中江西片区8.3684km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，江东片区1.8316km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43317888">
      <w:pPr>
        <w:spacing w:line="360" w:lineRule="auto"/>
        <w:ind w:firstLine="480" w:firstLineChars="200"/>
        <w:rPr>
          <w:rFonts w:hint="default" w:ascii="Times New Roman" w:hAnsi="Times New Roman" w:eastAsia="宋体" w:cs="Times New Roman"/>
          <w:sz w:val="24"/>
          <w:szCs w:val="24"/>
          <w:highlight w:val="yellow"/>
        </w:rPr>
      </w:pPr>
      <w:r>
        <w:rPr>
          <w:rFonts w:hint="default" w:ascii="Times New Roman" w:hAnsi="Times New Roman" w:eastAsia="宋体" w:cs="Times New Roman"/>
          <w:sz w:val="24"/>
          <w:szCs w:val="24"/>
        </w:rPr>
        <w:t>2018年国家发展改革委、科技部、国土资源部、住房城乡建设部、商务部、海关总署以联合公告[2018]4号文核准湖南衡阳松木经济开发区面积为777.34公顷，范围为：北片区东至滨江路，西至107国道，南至衡大高速公路，北至云升路；南片区东至龙祥路，西至107国道，南至松梅路，北至北三环路，核准主导产业为盐卤化工及精细化工、新材料、新能源。</w:t>
      </w:r>
    </w:p>
    <w:p w14:paraId="067FC382">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2021年，《湖南衡阳松木经济开发区扩区规划（2020-2030）环境影响报告书》获得湖南省生态环境厅批复（湘环评函[2021]30号），本次调区后园区面积增加至1370.6公顷，四至范围为：东至湘江北路，西至衡岳大道，南至松梅路，北至怀邵衡铁路。依据不同功能分区，本次调扩区后园区划分为三个片区：其中片区一为《长江保护法》予以严格管控的区域，面积426.4公顷，东起湘江北路，西至距离湘江岸线1公里线，北起向衡路，南至友谊路，主要发展装备制造和现代物流仓储业；片区二规划为化工片区，面积328公顷，东起距离湘江岸线1公里线，西至金华路及蒸阳北路，北起向衡路，南至衡大北路，主要发展盐卤化工及精细化工（含医药化工和制药)；园区其他区域为片区三：面积616.2公顷，东起五一路、蒸阳北路及金华路、西至衡岳大道、北起云升路、南至松梅路，主要发展新能源、新材料及装备制造产业，其中新能源新材料主要包括电池制造、照明器具制造、电车制造、电子设备制造、废弃资源综合利用、钢压延加工、有色金属合金制造、铝铜压延加工、电子元件及电子材料制造、有色金属压延加工等。</w:t>
      </w:r>
    </w:p>
    <w:p w14:paraId="64DA3D2E">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4"/>
        </w:rPr>
        <w:t>2022年，湖南省发展和改革委员会、湖南省自然资源厅以湘发改园区[2022]601号文核准湖南衡阳松木经济开发区面积为1143.92公顷，分为四个区块，其中区块一面积858.21公顷，东至滨江路、南至衡大高速公路、西至G107国道、北至怀邵衡铁路以南150m处；区块二面积236.03公顷，东至湘江北、南至松梅路、西至蒸阳北路、北至向衡路；区块三面积37.6公顷，东至东三环、南至京广铁路、西至双江路、北至北三环；区块四12.08公顷，东至广铁工务大修段、南至衡州大道以北510m处、西至狮山路、北至狮山路</w:t>
      </w:r>
      <w:r>
        <w:rPr>
          <w:rFonts w:hint="default" w:ascii="Times New Roman" w:hAnsi="Times New Roman" w:eastAsia="宋体" w:cs="Times New Roman"/>
          <w:sz w:val="24"/>
          <w:szCs w:val="21"/>
        </w:rPr>
        <w:t>。</w:t>
      </w:r>
    </w:p>
    <w:p w14:paraId="6F4EDFC1">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4"/>
        </w:rPr>
        <w:t>本项目位于</w:t>
      </w:r>
      <w:r>
        <w:rPr>
          <w:rFonts w:hint="default" w:ascii="Times New Roman" w:hAnsi="Times New Roman" w:eastAsia="宋体" w:cs="Times New Roman"/>
          <w:sz w:val="24"/>
          <w:szCs w:val="21"/>
        </w:rPr>
        <w:t>松木经济开发区化工路，</w:t>
      </w:r>
      <w:r>
        <w:rPr>
          <w:rFonts w:hint="default" w:ascii="Times New Roman" w:hAnsi="Times New Roman" w:eastAsia="宋体" w:cs="Times New Roman"/>
          <w:sz w:val="24"/>
          <w:szCs w:val="24"/>
        </w:rPr>
        <w:t>距离湘江约2.5m，位于园区划定的松木片区（在化工片区外）范围内，根据该区的产业准入要求，本项目系回收、贮存、利用废旧金属塑料危险废物（利用其他企业废弃金属包装桶、塑料包装桶等作为原材料，加工成金属颗粒和塑料碎片，实现废旧物资循环利用），属于废弃资源综合利用行业，符合</w:t>
      </w:r>
      <w:r>
        <w:rPr>
          <w:rFonts w:hint="default" w:ascii="Times New Roman" w:hAnsi="Times New Roman" w:eastAsia="宋体" w:cs="Times New Roman"/>
          <w:sz w:val="24"/>
          <w:szCs w:val="21"/>
        </w:rPr>
        <w:t>松木经济开发区</w:t>
      </w:r>
      <w:r>
        <w:rPr>
          <w:rFonts w:hint="default" w:ascii="Times New Roman" w:hAnsi="Times New Roman" w:eastAsia="宋体" w:cs="Times New Roman"/>
          <w:sz w:val="24"/>
          <w:szCs w:val="24"/>
        </w:rPr>
        <w:t>松木片区（在化工片区外）</w:t>
      </w:r>
      <w:r>
        <w:rPr>
          <w:rFonts w:hint="default" w:ascii="Times New Roman" w:hAnsi="Times New Roman" w:eastAsia="宋体" w:cs="Times New Roman"/>
          <w:sz w:val="24"/>
          <w:szCs w:val="21"/>
        </w:rPr>
        <w:t>划定的主导产业</w:t>
      </w:r>
      <w:r>
        <w:rPr>
          <w:rFonts w:hint="default" w:ascii="Times New Roman" w:hAnsi="Times New Roman" w:eastAsia="宋体" w:cs="Times New Roman"/>
          <w:sz w:val="24"/>
          <w:szCs w:val="24"/>
        </w:rPr>
        <w:t>。</w:t>
      </w:r>
    </w:p>
    <w:p w14:paraId="068D6DE1">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6.2.2</w:t>
      </w:r>
      <w:r>
        <w:rPr>
          <w:rFonts w:hint="default" w:ascii="Times New Roman" w:hAnsi="Times New Roman" w:eastAsia="宋体" w:cs="Times New Roman"/>
          <w:color w:val="000000"/>
          <w:sz w:val="24"/>
        </w:rPr>
        <w:t>功能分区与布局</w:t>
      </w:r>
    </w:p>
    <w:p w14:paraId="1933162C">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松木经开区建设用地空间布局规划为“一心、两轴、七区”。</w:t>
      </w:r>
    </w:p>
    <w:p w14:paraId="5129CB4F">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一心：衡阳松木经开区内的综合服务中心；</w:t>
      </w:r>
    </w:p>
    <w:p w14:paraId="405582CE">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两轴：以蒸阳北路为载体的主要发展轴，以上倪路为载体的次要发展轴。</w:t>
      </w:r>
    </w:p>
    <w:p w14:paraId="1E4359C8">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七区：综合服务区、生活配套区、新能源产业区、新材料产业区、盐卤化工及精细化工产业区（含医药化工和制药）、装备制造产业区以及现代物流区。</w:t>
      </w:r>
    </w:p>
    <w:p w14:paraId="1E4F76DF">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1、综合服务区：主要功能是为园区管理、生产技术及产品贸易服务，布局在衡岳大道、松枫路、松林路等围合的区域，规划用地面积 55.84 公顷。主要有行政办公中心、商务办公中心、交易展览中心、教育科研及培训中心。其中商务办公中心内重点发展金融、保险、电信、信息服务和咨询等行业。</w:t>
      </w:r>
    </w:p>
    <w:p w14:paraId="73CBAC7D">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2、生活配套区：根据“以人为本”的原则，规划在龙详路、衡岳大道、新安南路以及松梅路围合区域，布置两个比较大的居住片区， 为园区的拆迁安置服务，生活居住区按规范配置居住小区级公建，规划中学和小学，规划居住用地 43.54 公顷，占整个衡阳松木经开区建设用地的 3.25%。生活配套区将建设成为具有完备的公共配套设施和充足的绿地休闲空间、社区活动场所及开放度较高的新型社区。</w:t>
      </w:r>
    </w:p>
    <w:p w14:paraId="31B4EE10">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3、工业产业区：考虑方便运输、风向、湘江水流方向、工业污染和建设用地的适用性及一类、二类分别集中的原则，结合园区道路网特点及园区近期发展需要，规划工业用地 806.37 公顷，占整个衡阳松木经开区建设用地的 60.18%。规划期间（2020年-2025年），重点抓好盐卤化工及精细化工产业集中区、新能源产业集中区、新材料产业集中区建设，配套发展装备制造、医药化工和制药、现代物流，引进创新型项目，加大对生态工业项目在税收，服务、政策等方面扶持力度。</w:t>
      </w:r>
    </w:p>
    <w:p w14:paraId="20DCAD3A">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针对松木经开区现状已形成的产业聚集区，结合沿湘江岸线1公里以内需搬迁和保留的企业，对区内已有的产业布局进行微调，便于形成密切的生态链和污染的防治，实现基础设施共享。在经开区各类产业用地进行布局调整的同时，结合园区发展需要和用地条件，进行各产业用地的扩区规划，划分为三个片区7 个功能产业区。盐卤化工及精细化工产业区（含医药化工和制药）全部布设在湘江岸线1公里以外，对于保留的11家化工企业，不再在湘江岸线1公里范围内新建扩建化工项目；沿湘江岸线1公里以内布设装备制造和现代物流产业区。沿湘江岸线1公里以内的装备制造和现代物流片区主要行业类别为：C344泵、阀门、压缩机及类似机械制造、C345轴承、齿轮和传动部件制造、C348通用零部件制造、C351采矿、冶金、建筑专用设备制造、C381电机制造、C343物料搬运设备制造、C359环保、邮政、社会公共服务及其他专用设备制造、C372城市轨道交通设备制造；交通运输、仓储G5437城市配送、G5920通用仓储。禁止外排废水中主要污染物以镉、汞、铅、砷及其他重金属为主的企业准入。禁止装备制造配套的电镀、铅酸电池生产项目以及其他涉及排放重金属废水的项目准入。禁止危险化学品仓储项目准入。功能分区详见表6.2-1。</w:t>
      </w:r>
    </w:p>
    <w:p w14:paraId="2E5A63D6">
      <w:pPr>
        <w:pStyle w:val="48"/>
        <w:spacing w:before="0" w:line="360" w:lineRule="auto"/>
        <w:ind w:firstLine="0" w:firstLineChars="0"/>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表6.2-1 松木经开区产业分区一览表</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070"/>
        <w:gridCol w:w="2095"/>
        <w:gridCol w:w="5595"/>
      </w:tblGrid>
      <w:tr w14:paraId="7D8383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56" w:hRule="atLeast"/>
          <w:jc w:val="center"/>
        </w:trPr>
        <w:tc>
          <w:tcPr>
            <w:tcW w:w="611" w:type="pct"/>
            <w:vAlign w:val="center"/>
          </w:tcPr>
          <w:p w14:paraId="45357751">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
                <w:szCs w:val="21"/>
              </w:rPr>
            </w:pPr>
            <w:r>
              <w:rPr>
                <w:rFonts w:hint="default" w:ascii="Times New Roman" w:hAnsi="Times New Roman" w:eastAsia="宋体" w:cs="Times New Roman"/>
                <w:b/>
                <w:szCs w:val="21"/>
              </w:rPr>
              <w:t>产业区</w:t>
            </w:r>
          </w:p>
        </w:tc>
        <w:tc>
          <w:tcPr>
            <w:tcW w:w="1196" w:type="pct"/>
            <w:vAlign w:val="center"/>
          </w:tcPr>
          <w:p w14:paraId="62544E8B">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
                <w:szCs w:val="21"/>
              </w:rPr>
            </w:pPr>
            <w:r>
              <w:rPr>
                <w:rFonts w:hint="default" w:ascii="Times New Roman" w:hAnsi="Times New Roman" w:eastAsia="宋体" w:cs="Times New Roman"/>
                <w:b/>
                <w:szCs w:val="21"/>
              </w:rPr>
              <w:t>地理位置</w:t>
            </w:r>
          </w:p>
        </w:tc>
        <w:tc>
          <w:tcPr>
            <w:tcW w:w="3193" w:type="pct"/>
            <w:vAlign w:val="center"/>
          </w:tcPr>
          <w:p w14:paraId="17CD954B">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
                <w:szCs w:val="21"/>
              </w:rPr>
            </w:pPr>
            <w:r>
              <w:rPr>
                <w:rFonts w:hint="default" w:ascii="Times New Roman" w:hAnsi="Times New Roman" w:eastAsia="宋体" w:cs="Times New Roman"/>
                <w:b/>
                <w:szCs w:val="21"/>
              </w:rPr>
              <w:t>产业集群布局</w:t>
            </w:r>
          </w:p>
        </w:tc>
      </w:tr>
      <w:tr w14:paraId="72EEF0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373" w:hRule="atLeast"/>
          <w:jc w:val="center"/>
        </w:trPr>
        <w:tc>
          <w:tcPr>
            <w:tcW w:w="611" w:type="pct"/>
            <w:vAlign w:val="center"/>
          </w:tcPr>
          <w:p w14:paraId="74D66B2F">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p>
          <w:p w14:paraId="0C2DE92F">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片区一：426.4公顷</w:t>
            </w:r>
          </w:p>
          <w:p w14:paraId="17EEB1DD">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（湘江岸线1km范围）</w:t>
            </w:r>
          </w:p>
          <w:p w14:paraId="4A5C8F52">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p>
        </w:tc>
        <w:tc>
          <w:tcPr>
            <w:tcW w:w="1196" w:type="pct"/>
            <w:vAlign w:val="center"/>
          </w:tcPr>
          <w:p w14:paraId="5DCA33B4">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东起湘江北路，西至湘江岸线1km红线，北起向衡路，南至友谊路。</w:t>
            </w:r>
          </w:p>
        </w:tc>
        <w:tc>
          <w:tcPr>
            <w:tcW w:w="3193" w:type="pct"/>
            <w:vAlign w:val="center"/>
          </w:tcPr>
          <w:p w14:paraId="67EAA147">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1、装备制造产业：以智能制造产业园、阀门、压缩机及类似机械制造、通用零部件制造、采矿、冶金、建筑专用设备制造为发展目标，发展壮大先进装备制造业。2、现代物流及仓储：以松木千吨级码头为依托构建松木经开区现代物流业仓储发展新格局。</w:t>
            </w:r>
          </w:p>
        </w:tc>
      </w:tr>
      <w:tr w14:paraId="78A67E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1531" w:hRule="atLeast"/>
          <w:jc w:val="center"/>
        </w:trPr>
        <w:tc>
          <w:tcPr>
            <w:tcW w:w="611" w:type="pct"/>
            <w:vAlign w:val="center"/>
          </w:tcPr>
          <w:p w14:paraId="73ED3A30">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片区二：328公顷</w:t>
            </w:r>
          </w:p>
          <w:p w14:paraId="05FF8F90">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（化工类）</w:t>
            </w:r>
          </w:p>
        </w:tc>
        <w:tc>
          <w:tcPr>
            <w:tcW w:w="1196" w:type="pct"/>
            <w:vAlign w:val="center"/>
          </w:tcPr>
          <w:p w14:paraId="525AF1C2">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东起湘江岸线1km红线，西至金华路及蒸阳北路；北起向衡路，南至衡大北路。</w:t>
            </w:r>
          </w:p>
        </w:tc>
        <w:tc>
          <w:tcPr>
            <w:tcW w:w="3193" w:type="pct"/>
            <w:vAlign w:val="center"/>
          </w:tcPr>
          <w:p w14:paraId="3AB3E5DC">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主要发展盐卤化工及精细化工（含医药化工和制药）（其中医药产业主要类别为化学药品原料药制造、化学药品制剂制造、生物药品制造、基因工程药物和疫苗制造、中药饮片加工、成药生产、卫生材料及医药用品制造、药用辅料及包装材料等，包括C2710化学药品原料药制造、C2720化学药品制剂制造、C2761生物药品制造、C2762基因工程药物和疫苗制造、C2730中药饮片加工、C2740中成药生产、C2770卫生材料及医药用品制造、C2780药用辅料及包装材料等行业类别）。</w:t>
            </w:r>
          </w:p>
          <w:p w14:paraId="5B55D958">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主要有建滔化工、新澧化工、建衡化工等企业入驻。其他工业企业结合环境治理和企业发展需求进行微调。医药化工和制药重点承接化学制药、生物制药、现代中药和医药器械等医药化工和制药产业等产业。</w:t>
            </w:r>
          </w:p>
        </w:tc>
      </w:tr>
      <w:tr w14:paraId="3354EC8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53" w:hRule="atLeast"/>
          <w:jc w:val="center"/>
        </w:trPr>
        <w:tc>
          <w:tcPr>
            <w:tcW w:w="611" w:type="pct"/>
            <w:vAlign w:val="center"/>
          </w:tcPr>
          <w:p w14:paraId="78F8C88C">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片区三：616.2公顷</w:t>
            </w:r>
          </w:p>
          <w:p w14:paraId="22D78CB5">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（其他类）</w:t>
            </w:r>
          </w:p>
        </w:tc>
        <w:tc>
          <w:tcPr>
            <w:tcW w:w="1196" w:type="pct"/>
            <w:vAlign w:val="center"/>
          </w:tcPr>
          <w:p w14:paraId="7113E320">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东起五一路、蒸阳北路及金华路，西至衡岳大道，北起云升路，南至松梅路，</w:t>
            </w:r>
          </w:p>
        </w:tc>
        <w:tc>
          <w:tcPr>
            <w:tcW w:w="3193" w:type="pct"/>
            <w:vAlign w:val="center"/>
          </w:tcPr>
          <w:p w14:paraId="7B226B0C">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主要发展新能源、新材料（包括电池制造、照明器具制造、电车制造、电子设备制造、废弃资源综合利用、钢压延加工、有色金属合金制造、铝铜压延加工、电子元件及电子材料制造、有色金属压延加工等）及装备制造产业。具体包括C384电池制造、C387照明器具制造、C365电车制造、C399电子设备制造、C421废弃资源综合利用、C3130钢压延加工、C3240有色金属合金制造、C3251铜压延加工、C3252铝压延加工、C398电子元件及电子材料制造、C325有色金属压延加工等。</w:t>
            </w:r>
          </w:p>
          <w:p w14:paraId="0DB309B5">
            <w:pPr>
              <w:keepNext w:val="0"/>
              <w:keepLines w:val="0"/>
              <w:suppressLineNumbers w:val="0"/>
              <w:tabs>
                <w:tab w:val="left" w:pos="1021"/>
              </w:tabs>
              <w:spacing w:before="0" w:beforeAutospacing="0" w:after="0" w:afterAutospacing="0"/>
              <w:ind w:left="0" w:right="0"/>
              <w:jc w:val="center"/>
              <w:outlineLvl w:val="4"/>
              <w:rPr>
                <w:rFonts w:hint="default" w:ascii="Times New Roman" w:hAnsi="Times New Roman" w:eastAsia="宋体" w:cs="Times New Roman"/>
                <w:bCs/>
                <w:szCs w:val="21"/>
              </w:rPr>
            </w:pPr>
            <w:r>
              <w:rPr>
                <w:rFonts w:hint="default" w:ascii="Times New Roman" w:hAnsi="Times New Roman" w:eastAsia="宋体" w:cs="Times New Roman"/>
                <w:bCs/>
                <w:szCs w:val="21"/>
              </w:rPr>
              <w:t>片区内规划有：1、综合服务区，是园区的公共服务中心，布置行政办公、金融商贸、咨询培训和企业研发设计等机构。2、新能源产业，主要有力赛储能、瑞达电源、电科电源、福邦新材、瑞启锂电池、湖南理昂再生能源</w:t>
            </w:r>
            <w:r>
              <w:rPr>
                <w:rFonts w:hint="default" w:ascii="Times New Roman" w:hAnsi="Times New Roman" w:eastAsia="宋体" w:cs="Times New Roman"/>
                <w:bCs/>
                <w:szCs w:val="21"/>
                <w:lang w:eastAsia="zh-CN"/>
              </w:rPr>
              <w:t>等</w:t>
            </w:r>
            <w:r>
              <w:rPr>
                <w:rFonts w:hint="default" w:ascii="Times New Roman" w:hAnsi="Times New Roman" w:eastAsia="宋体" w:cs="Times New Roman"/>
                <w:bCs/>
                <w:szCs w:val="21"/>
              </w:rPr>
              <w:t>企业入驻；重点承接太阳能光伏玻璃、储能、新能源汽车、生物质发电等产业。3、新材料产业，重点承接高性能陶瓷材料、</w:t>
            </w:r>
            <w:r>
              <w:rPr>
                <w:rFonts w:hint="default" w:ascii="Times New Roman" w:hAnsi="Times New Roman" w:eastAsia="宋体" w:cs="Times New Roman"/>
                <w:bCs/>
                <w:szCs w:val="21"/>
                <w:lang w:eastAsia="zh-CN"/>
              </w:rPr>
              <w:t>高性能</w:t>
            </w:r>
            <w:r>
              <w:rPr>
                <w:rFonts w:hint="default" w:ascii="Times New Roman" w:hAnsi="Times New Roman" w:eastAsia="宋体" w:cs="Times New Roman"/>
                <w:bCs/>
                <w:szCs w:val="21"/>
              </w:rPr>
              <w:t>金属材料、纳米材料、电子信息材料、新型高分子材料、复合材料等新材料产业。4、装备制造，以比亚迪制造产业园为依托，带动电车制造、电子设备制造、汽车零部件及配件制造业等。</w:t>
            </w:r>
          </w:p>
        </w:tc>
      </w:tr>
    </w:tbl>
    <w:p w14:paraId="1A29E2B7">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6.2.3给排水现状</w:t>
      </w:r>
    </w:p>
    <w:p w14:paraId="355D7B3D">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松木水厂位于湘江流域衡阳段下游的衡阳市石鼓区江霞村，首期建设规模为日供水3万吨，首期用地22.65亩，总投资4500万元。该项目采取BOT模式运作，引进新加坡联合工程公司入园投资建设。目前，松木水厂已建成投产，开始向园区企业正常供水，充分保证了入园企业的生产用水需要。</w:t>
      </w:r>
    </w:p>
    <w:p w14:paraId="75BB47D2">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按照“雨水分区，就近排放，污水分流，集中处理”的原则建设排水系统。采用雨污分流制，雨水就近排入现状排水渠及湘江。污水分两片排放，外环北路以南片的污水接入规划江霞污水处理厂，污水总量4.5万t/d；外环北路以北，排入已建的1万t/d（一阶段）的松木污水处理厂。</w:t>
      </w:r>
    </w:p>
    <w:p w14:paraId="2C53E089">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排污口设在水厂的下游，生活污水及工业废水进入污水处理厂，部分生产废水经</w:t>
      </w:r>
      <w:r>
        <w:rPr>
          <w:rFonts w:hint="eastAsia" w:ascii="Times New Roman" w:hAnsi="Times New Roman" w:eastAsia="宋体" w:cs="Times New Roman"/>
          <w:sz w:val="24"/>
          <w:szCs w:val="21"/>
          <w:lang w:eastAsia="zh-CN"/>
        </w:rPr>
        <w:t>污水处理厂</w:t>
      </w:r>
      <w:r>
        <w:rPr>
          <w:rFonts w:hint="default" w:ascii="Times New Roman" w:hAnsi="Times New Roman" w:eastAsia="宋体" w:cs="Times New Roman"/>
          <w:sz w:val="24"/>
          <w:szCs w:val="21"/>
        </w:rPr>
        <w:t>处理达标后排放，含重金属和有毒物质的污水需进行预处理达标后才可排放至排水管道，此外，鼓励企业进行中水回用。园区污水经处理达标后方可排入湘江，保证该段湘江水质达到《地表水环境质量标准》（GB3838-2002）Ⅲ类标准。</w:t>
      </w:r>
    </w:p>
    <w:p w14:paraId="4861FD2C">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6.2.4基础设施现状</w:t>
      </w:r>
    </w:p>
    <w:p w14:paraId="5C1062A0">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供水：自2006年开园以来，松木经济开发区园区共完成基础设施建设投资3.5亿元。园区内建滔水厂已达到日供水10万吨能力，日供水3万吨的松木水厂已投入使用。</w:t>
      </w:r>
    </w:p>
    <w:p w14:paraId="035C0A5A">
      <w:pPr>
        <w:pStyle w:val="48"/>
        <w:spacing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排水：园区配套集中污水处理设施1个，园区污水管网覆盖率为100%，集中污水处理设施名称为衡阳市松木污水处理厂，位于新安村邓家台地段，设计处理规模10000 m³/d，实际处理规模5000~6000m³/d，处理工艺为“格栅+均化调节+重金属预处理+混凝絮凝初沉+水解酸化+A/O+二沉+混凝絮凝气浮+消毒”，出水排放执行《城镇污水处理厂污染物排放标准》（GB18918-2002）一级标准的A标准，在线监测达标率100%。松木污水处理厂已配套建成主干管管网40km，管线沿核准区域范围内主要交通道路铺设，区域内产生的生产/生活废水可得到较好的收集，松木污水处理厂进出水口均设置了在线监控系统，并与生态环境部门联网。</w:t>
      </w:r>
    </w:p>
    <w:p w14:paraId="15D25697">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供电：园区现有的建滔 220kV变电站、三角塘110kV变电站及松木110kV变电站均已投入使用。</w:t>
      </w:r>
    </w:p>
    <w:p w14:paraId="66C69857">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供气：</w:t>
      </w:r>
      <w:r>
        <w:rPr>
          <w:rFonts w:hint="default" w:ascii="Times New Roman" w:hAnsi="Times New Roman" w:eastAsia="宋体" w:cs="Times New Roman"/>
          <w:sz w:val="24"/>
        </w:rPr>
        <w:t>经开区内天然气调压站（衡阳市天然气有限公司）位于107国道与云升路交叉路口的东南角，供应经开区内企业及居民用气</w:t>
      </w:r>
      <w:r>
        <w:rPr>
          <w:rFonts w:hint="default" w:ascii="Times New Roman" w:hAnsi="Times New Roman" w:eastAsia="宋体" w:cs="Times New Roman"/>
          <w:sz w:val="24"/>
          <w:szCs w:val="21"/>
        </w:rPr>
        <w:t>。</w:t>
      </w:r>
    </w:p>
    <w:p w14:paraId="309E937F">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目前，园区内道路、水、电、通讯、有线电视、网络、天然气等基础设施日臻完善，具备了承接大型企业和大项目入园投资建设的条件。</w:t>
      </w:r>
    </w:p>
    <w:p w14:paraId="418BE670">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6.2.5园区环评情况</w:t>
      </w:r>
    </w:p>
    <w:p w14:paraId="589CA261">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2009年，湖南省环保厅下发了《关于湖南衡阳松木工业园总体规划环境影响报告书的批复》（湘环评[2009]40号）。环评批复详见附件。2013年，湖南省环保厅下发了《关于湖南衡阳松木经济开发区扩区环境影响报告书的批复》（湘环评[2013]213号）。2021年，湖南生态环境厅下发了《关于湖南衡阳松木经济开发区扩区规划（2020-2030）环境影响报告书审查意见的函》（湘环评函[2021]30号）。</w:t>
      </w:r>
    </w:p>
    <w:p w14:paraId="011FBD97">
      <w:pPr>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表6.2-2  经开区环保手续履行情况表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10"/>
        <w:gridCol w:w="3419"/>
        <w:gridCol w:w="1564"/>
        <w:gridCol w:w="2106"/>
        <w:gridCol w:w="1247"/>
      </w:tblGrid>
      <w:tr w14:paraId="1CE187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1" w:type="pct"/>
            <w:vAlign w:val="center"/>
          </w:tcPr>
          <w:p w14:paraId="1F5FFF6E">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序号</w:t>
            </w:r>
          </w:p>
        </w:tc>
        <w:tc>
          <w:tcPr>
            <w:tcW w:w="1911" w:type="pct"/>
            <w:vAlign w:val="center"/>
          </w:tcPr>
          <w:p w14:paraId="42B0ABD5">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环评名称</w:t>
            </w:r>
          </w:p>
        </w:tc>
        <w:tc>
          <w:tcPr>
            <w:tcW w:w="874" w:type="pct"/>
            <w:vAlign w:val="center"/>
          </w:tcPr>
          <w:p w14:paraId="5800F442">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批复单位</w:t>
            </w:r>
          </w:p>
        </w:tc>
        <w:tc>
          <w:tcPr>
            <w:tcW w:w="1177" w:type="pct"/>
            <w:vAlign w:val="center"/>
          </w:tcPr>
          <w:p w14:paraId="5D02893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批复文号</w:t>
            </w:r>
          </w:p>
        </w:tc>
        <w:tc>
          <w:tcPr>
            <w:tcW w:w="697" w:type="pct"/>
            <w:vAlign w:val="center"/>
          </w:tcPr>
          <w:p w14:paraId="7D760BE7">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批复时间</w:t>
            </w:r>
          </w:p>
        </w:tc>
      </w:tr>
      <w:tr w14:paraId="6BFE94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1" w:type="pct"/>
            <w:vAlign w:val="center"/>
          </w:tcPr>
          <w:p w14:paraId="68094DF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1</w:t>
            </w:r>
          </w:p>
        </w:tc>
        <w:tc>
          <w:tcPr>
            <w:tcW w:w="1911" w:type="pct"/>
            <w:vAlign w:val="center"/>
          </w:tcPr>
          <w:p w14:paraId="71CC070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湖南衡阳松木工业园区总体规划环境影响报告书</w:t>
            </w:r>
          </w:p>
        </w:tc>
        <w:tc>
          <w:tcPr>
            <w:tcW w:w="874" w:type="pct"/>
            <w:vAlign w:val="center"/>
          </w:tcPr>
          <w:p w14:paraId="1549DFD9">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湖南省环境保护厅</w:t>
            </w:r>
          </w:p>
        </w:tc>
        <w:tc>
          <w:tcPr>
            <w:tcW w:w="1177" w:type="pct"/>
            <w:vAlign w:val="center"/>
          </w:tcPr>
          <w:p w14:paraId="29540B5F">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湘环评[2009]40号</w:t>
            </w:r>
          </w:p>
        </w:tc>
        <w:tc>
          <w:tcPr>
            <w:tcW w:w="697" w:type="pct"/>
            <w:vAlign w:val="center"/>
          </w:tcPr>
          <w:p w14:paraId="56165F3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2009年9月1日</w:t>
            </w:r>
          </w:p>
        </w:tc>
      </w:tr>
      <w:tr w14:paraId="103CEE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1" w:type="pct"/>
            <w:vAlign w:val="center"/>
          </w:tcPr>
          <w:p w14:paraId="3C61FCF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w:t>
            </w:r>
          </w:p>
        </w:tc>
        <w:tc>
          <w:tcPr>
            <w:tcW w:w="1911" w:type="pct"/>
            <w:vAlign w:val="center"/>
          </w:tcPr>
          <w:p w14:paraId="36960DF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湖南衡阳松木经济开发区扩区环境影响报告书</w:t>
            </w:r>
          </w:p>
        </w:tc>
        <w:tc>
          <w:tcPr>
            <w:tcW w:w="874" w:type="pct"/>
            <w:vAlign w:val="center"/>
          </w:tcPr>
          <w:p w14:paraId="50386AFC">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湖南省环境保护厅</w:t>
            </w:r>
          </w:p>
        </w:tc>
        <w:tc>
          <w:tcPr>
            <w:tcW w:w="1177" w:type="pct"/>
            <w:vAlign w:val="center"/>
          </w:tcPr>
          <w:p w14:paraId="7D3AE91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湘环评[2013]213号</w:t>
            </w:r>
          </w:p>
        </w:tc>
        <w:tc>
          <w:tcPr>
            <w:tcW w:w="697" w:type="pct"/>
            <w:vAlign w:val="center"/>
          </w:tcPr>
          <w:p w14:paraId="369E1705">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2013年8月22日</w:t>
            </w:r>
          </w:p>
        </w:tc>
      </w:tr>
      <w:tr w14:paraId="062FA2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1" w:type="pct"/>
            <w:vAlign w:val="center"/>
          </w:tcPr>
          <w:p w14:paraId="3361D46B">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3</w:t>
            </w:r>
          </w:p>
        </w:tc>
        <w:tc>
          <w:tcPr>
            <w:tcW w:w="1911" w:type="pct"/>
            <w:vAlign w:val="center"/>
          </w:tcPr>
          <w:p w14:paraId="57ABE97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湖南衡阳松木经济开发区环境影响跟踪评价报告书</w:t>
            </w:r>
          </w:p>
        </w:tc>
        <w:tc>
          <w:tcPr>
            <w:tcW w:w="874" w:type="pct"/>
            <w:vAlign w:val="center"/>
          </w:tcPr>
          <w:p w14:paraId="13E9DDD4">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湖南省生态环境厅</w:t>
            </w:r>
          </w:p>
        </w:tc>
        <w:tc>
          <w:tcPr>
            <w:tcW w:w="1177" w:type="pct"/>
            <w:vAlign w:val="center"/>
          </w:tcPr>
          <w:p w14:paraId="344927F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湘环评函[2020]19号</w:t>
            </w:r>
          </w:p>
        </w:tc>
        <w:tc>
          <w:tcPr>
            <w:tcW w:w="697" w:type="pct"/>
            <w:vAlign w:val="center"/>
          </w:tcPr>
          <w:p w14:paraId="02DF2DEA">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2020年7月1日</w:t>
            </w:r>
          </w:p>
        </w:tc>
      </w:tr>
      <w:tr w14:paraId="6E7B3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341" w:type="pct"/>
            <w:vAlign w:val="center"/>
          </w:tcPr>
          <w:p w14:paraId="31FA3147">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4</w:t>
            </w:r>
          </w:p>
        </w:tc>
        <w:tc>
          <w:tcPr>
            <w:tcW w:w="1911" w:type="pct"/>
            <w:vAlign w:val="center"/>
          </w:tcPr>
          <w:p w14:paraId="01AF264E">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湖南衡阳松木经济开发区扩区规划（2020-2030）环境影响报告书</w:t>
            </w:r>
          </w:p>
        </w:tc>
        <w:tc>
          <w:tcPr>
            <w:tcW w:w="874" w:type="pct"/>
            <w:vAlign w:val="center"/>
          </w:tcPr>
          <w:p w14:paraId="026E1CA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湖南省生态环境厅</w:t>
            </w:r>
          </w:p>
        </w:tc>
        <w:tc>
          <w:tcPr>
            <w:tcW w:w="1177" w:type="pct"/>
            <w:vAlign w:val="center"/>
          </w:tcPr>
          <w:p w14:paraId="11180C72">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湘环评函[2021]30号</w:t>
            </w:r>
          </w:p>
        </w:tc>
        <w:tc>
          <w:tcPr>
            <w:tcW w:w="697" w:type="pct"/>
            <w:vAlign w:val="center"/>
          </w:tcPr>
          <w:p w14:paraId="1E87BD0D">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2021年10月19日</w:t>
            </w:r>
          </w:p>
        </w:tc>
      </w:tr>
    </w:tbl>
    <w:p w14:paraId="4BC655C5">
      <w:pPr>
        <w:pStyle w:val="48"/>
        <w:spacing w:before="0" w:line="360" w:lineRule="auto"/>
        <w:ind w:firstLine="0" w:firstLineChars="0"/>
        <w:rPr>
          <w:rFonts w:hint="default" w:ascii="Times New Roman" w:hAnsi="Times New Roman" w:eastAsia="宋体" w:cs="Times New Roman"/>
          <w:sz w:val="24"/>
          <w:szCs w:val="21"/>
        </w:rPr>
      </w:pPr>
    </w:p>
    <w:p w14:paraId="646C549C">
      <w:pPr>
        <w:pStyle w:val="3"/>
        <w:spacing w:before="0" w:after="0" w:line="360" w:lineRule="auto"/>
        <w:jc w:val="left"/>
        <w:rPr>
          <w:rFonts w:hint="default" w:ascii="Times New Roman" w:hAnsi="Times New Roman" w:eastAsia="宋体" w:cs="Times New Roman"/>
        </w:rPr>
      </w:pPr>
      <w:bookmarkStart w:id="311" w:name="_Toc2021"/>
      <w:r>
        <w:rPr>
          <w:rFonts w:hint="default" w:ascii="Times New Roman" w:hAnsi="Times New Roman" w:eastAsia="宋体" w:cs="Times New Roman"/>
          <w:kern w:val="0"/>
          <w:sz w:val="30"/>
          <w:szCs w:val="28"/>
        </w:rPr>
        <w:t>6.3</w:t>
      </w:r>
      <w:r>
        <w:rPr>
          <w:rFonts w:hint="default" w:ascii="Times New Roman" w:hAnsi="Times New Roman" w:eastAsia="宋体" w:cs="Times New Roman"/>
          <w:sz w:val="28"/>
          <w:szCs w:val="28"/>
        </w:rPr>
        <w:t>区域污染源</w:t>
      </w:r>
      <w:bookmarkEnd w:id="311"/>
    </w:p>
    <w:p w14:paraId="595339AF">
      <w:pPr>
        <w:spacing w:line="360" w:lineRule="auto"/>
        <w:ind w:firstLine="480" w:firstLineChars="200"/>
        <w:rPr>
          <w:rFonts w:hint="default" w:ascii="Times New Roman" w:hAnsi="Times New Roman" w:eastAsia="宋体" w:cs="Times New Roman"/>
          <w:sz w:val="24"/>
          <w:szCs w:val="21"/>
        </w:rPr>
        <w:sectPr>
          <w:pgSz w:w="11906" w:h="16838"/>
          <w:pgMar w:top="1701" w:right="1588" w:bottom="1418" w:left="1588" w:header="992" w:footer="992" w:gutter="0"/>
          <w:pgBorders>
            <w:top w:val="none" w:sz="0" w:space="0"/>
            <w:left w:val="none" w:sz="0" w:space="0"/>
            <w:bottom w:val="none" w:sz="0" w:space="0"/>
            <w:right w:val="none" w:sz="0" w:space="0"/>
          </w:pgBorders>
          <w:cols w:space="720" w:num="1"/>
          <w:docGrid w:linePitch="326" w:charSpace="0"/>
        </w:sectPr>
      </w:pPr>
      <w:r>
        <w:rPr>
          <w:rFonts w:hint="default" w:ascii="Times New Roman" w:hAnsi="Times New Roman" w:eastAsia="宋体" w:cs="Times New Roman"/>
          <w:sz w:val="24"/>
          <w:szCs w:val="21"/>
        </w:rPr>
        <w:t>本项目厂址位于衡阳市松木经济开发区，该区域现有工业企业主要有衡阳恒缘新材料科技股份有限公司、</w:t>
      </w:r>
      <w:r>
        <w:rPr>
          <w:rFonts w:hint="default" w:ascii="Times New Roman" w:hAnsi="Times New Roman" w:eastAsia="宋体" w:cs="Times New Roman"/>
          <w:sz w:val="24"/>
          <w:szCs w:val="24"/>
        </w:rPr>
        <w:t>中民筑友科技集团有限公司</w:t>
      </w:r>
      <w:r>
        <w:rPr>
          <w:rFonts w:hint="default" w:ascii="Times New Roman" w:hAnsi="Times New Roman" w:eastAsia="宋体" w:cs="Times New Roman"/>
          <w:sz w:val="24"/>
          <w:szCs w:val="21"/>
        </w:rPr>
        <w:t>等。具体见下表。</w:t>
      </w:r>
    </w:p>
    <w:p w14:paraId="713F1AAC">
      <w:pPr>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表6.3-1 开发区工业运行企业污染源排放情况一览表</w:t>
      </w:r>
    </w:p>
    <w:tbl>
      <w:tblPr>
        <w:tblStyle w:val="32"/>
        <w:tblW w:w="1401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67"/>
        <w:gridCol w:w="1165"/>
        <w:gridCol w:w="1134"/>
        <w:gridCol w:w="1560"/>
        <w:gridCol w:w="1559"/>
        <w:gridCol w:w="8034"/>
      </w:tblGrid>
      <w:tr w14:paraId="756FFC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567" w:type="dxa"/>
            <w:tcBorders>
              <w:tl2br w:val="nil"/>
              <w:tr2bl w:val="nil"/>
            </w:tcBorders>
            <w:vAlign w:val="center"/>
          </w:tcPr>
          <w:p w14:paraId="6DC5DA3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1165" w:type="dxa"/>
            <w:tcBorders>
              <w:tl2br w:val="nil"/>
              <w:tr2bl w:val="nil"/>
            </w:tcBorders>
            <w:vAlign w:val="center"/>
          </w:tcPr>
          <w:p w14:paraId="42DAFD4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企业名称</w:t>
            </w:r>
          </w:p>
        </w:tc>
        <w:tc>
          <w:tcPr>
            <w:tcW w:w="1134" w:type="dxa"/>
            <w:tcBorders>
              <w:tl2br w:val="nil"/>
              <w:tr2bl w:val="nil"/>
            </w:tcBorders>
            <w:vAlign w:val="center"/>
          </w:tcPr>
          <w:p w14:paraId="5948400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污染源</w:t>
            </w:r>
          </w:p>
        </w:tc>
        <w:tc>
          <w:tcPr>
            <w:tcW w:w="1560" w:type="dxa"/>
            <w:tcBorders>
              <w:tl2br w:val="nil"/>
              <w:tr2bl w:val="nil"/>
            </w:tcBorders>
            <w:vAlign w:val="center"/>
          </w:tcPr>
          <w:p w14:paraId="4093965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主要污染因子</w:t>
            </w:r>
          </w:p>
        </w:tc>
        <w:tc>
          <w:tcPr>
            <w:tcW w:w="1559" w:type="dxa"/>
            <w:tcBorders>
              <w:tl2br w:val="nil"/>
              <w:tr2bl w:val="nil"/>
            </w:tcBorders>
            <w:vAlign w:val="center"/>
          </w:tcPr>
          <w:p w14:paraId="2DD92BC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排放量</w:t>
            </w:r>
          </w:p>
        </w:tc>
        <w:tc>
          <w:tcPr>
            <w:tcW w:w="8034" w:type="dxa"/>
            <w:tcBorders>
              <w:tl2br w:val="nil"/>
              <w:tr2bl w:val="nil"/>
            </w:tcBorders>
            <w:vAlign w:val="center"/>
          </w:tcPr>
          <w:p w14:paraId="379D6F8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环保措施（含处理规模）及排放去向情况</w:t>
            </w:r>
          </w:p>
        </w:tc>
      </w:tr>
      <w:tr w14:paraId="10C95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31EFD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165" w:type="dxa"/>
            <w:vMerge w:val="restart"/>
            <w:tcBorders>
              <w:tl2br w:val="nil"/>
              <w:tr2bl w:val="nil"/>
            </w:tcBorders>
            <w:vAlign w:val="center"/>
          </w:tcPr>
          <w:p w14:paraId="4576F456">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衡阳建滔化工有限公司</w:t>
            </w:r>
          </w:p>
        </w:tc>
        <w:tc>
          <w:tcPr>
            <w:tcW w:w="1134" w:type="dxa"/>
            <w:tcBorders>
              <w:tl2br w:val="nil"/>
              <w:tr2bl w:val="nil"/>
            </w:tcBorders>
            <w:vAlign w:val="center"/>
          </w:tcPr>
          <w:p w14:paraId="0B9C6D3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9BDBE8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COD、SS、氯离子、石油类等</w:t>
            </w:r>
          </w:p>
        </w:tc>
        <w:tc>
          <w:tcPr>
            <w:tcW w:w="1559" w:type="dxa"/>
            <w:tcBorders>
              <w:tl2br w:val="nil"/>
              <w:tr2bl w:val="nil"/>
            </w:tcBorders>
            <w:vAlign w:val="center"/>
          </w:tcPr>
          <w:p w14:paraId="0B2ED68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44.67万m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604F174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含盐废水定期用泵送往盐水精制阶段，经中和处理后的酸碱废水、氯水回用于采卤；</w:t>
            </w:r>
          </w:p>
          <w:p w14:paraId="682927C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水封水、地面冲洗水、冷却水、生活污水进厂中水循环水处理站，处理后的废水进入回用水池，大部分废水经处理达标后进行回用或用于采卤，外排废水达到《烧碱、聚氯乙烯工业水污染物排放标准》（GB15581-95）标准后排入松木污水处理厂；</w:t>
            </w:r>
          </w:p>
          <w:p w14:paraId="2424F0F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双氧水污水处理站处理规模为180m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/d，采用“隔油+二级氧化+沉淀+砂滤”工艺，处理后废水进入公司中水循环处理站；</w:t>
            </w:r>
          </w:p>
          <w:p w14:paraId="7973A5A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环氧氯丙烷项目碱洗废水、丙烯压缩冷凝分离废水、环化废水、低沸物塔分离废水、车间地面冲洗废水、设备清洗废水、初期雨水等经废水处理站处理后全部回用与烧碱装置采卤；</w:t>
            </w:r>
          </w:p>
          <w:p w14:paraId="3E39519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中水循环处理站处理规模为150m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/h，采用“隔油+中和+沉淀+生化+过滤”工艺</w:t>
            </w:r>
          </w:p>
        </w:tc>
      </w:tr>
      <w:tr w14:paraId="7B7B47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9A2EB8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65" w:type="dxa"/>
            <w:vMerge w:val="continue"/>
            <w:tcBorders>
              <w:tl2br w:val="nil"/>
              <w:tr2bl w:val="nil"/>
            </w:tcBorders>
            <w:vAlign w:val="center"/>
          </w:tcPr>
          <w:p w14:paraId="211BED8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034B6B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547FB13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、氯气、氯化氢、粉尘、NO</w:t>
            </w:r>
            <w:r>
              <w:rPr>
                <w:rFonts w:hint="default" w:ascii="Times New Roman" w:hAnsi="Times New Roman" w:eastAsia="宋体" w:cs="Times New Roman"/>
                <w:szCs w:val="21"/>
                <w:vertAlign w:val="subscript"/>
              </w:rPr>
              <w:t>x</w:t>
            </w:r>
          </w:p>
        </w:tc>
        <w:tc>
          <w:tcPr>
            <w:tcW w:w="1559" w:type="dxa"/>
            <w:tcBorders>
              <w:tl2br w:val="nil"/>
              <w:tr2bl w:val="nil"/>
            </w:tcBorders>
            <w:vAlign w:val="center"/>
          </w:tcPr>
          <w:p w14:paraId="357D19C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009803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75t/h锅炉烟气采用袋式除尘+电石渣脱硫，35t/h</w:t>
            </w:r>
            <w:r>
              <w:rPr>
                <w:rFonts w:hint="default" w:ascii="Times New Roman" w:hAnsi="Times New Roman" w:eastAsia="宋体" w:cs="Times New Roman"/>
                <w:szCs w:val="21"/>
                <w:lang w:eastAsia="zh-CN"/>
              </w:rPr>
              <w:t>锅炉</w:t>
            </w:r>
            <w:r>
              <w:rPr>
                <w:rFonts w:hint="default" w:ascii="Times New Roman" w:hAnsi="Times New Roman" w:eastAsia="宋体" w:cs="Times New Roman"/>
                <w:szCs w:val="21"/>
              </w:rPr>
              <w:t>烟气采用三电场静电除尘+电石渣脱硫，经处理后的烟气经60m烟囱排放；</w:t>
            </w:r>
          </w:p>
          <w:p w14:paraId="4393B12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淡盐水和氯水进脱氯塔三效蒸发器脱氯，氯气回用，三效蒸发器尾气进入除害塔进行处理，其中除害塔采用氢氧化钠作为吸收剂；</w:t>
            </w:r>
          </w:p>
          <w:p w14:paraId="72666B9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HCl尾气采用碱液喷淋后经25m排气筒排放；</w:t>
            </w:r>
          </w:p>
          <w:p w14:paraId="09A48B4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反应釜和脱气塔废气经蜡油吸收氯后，由二级降膜塔+填料塔吸收氯化氢，尾气采用碱液吸收后经25m排气筒外排；</w:t>
            </w:r>
          </w:p>
          <w:p w14:paraId="6B5E41A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氧化放空尾气采用冷凝、膨胀机组分离+活性炭吸收后，经25m排气筒排放；</w:t>
            </w:r>
          </w:p>
          <w:p w14:paraId="70AC0BF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氢化塔尾气采用冷凝分离+阻火器处理后经25m排气筒排放；</w:t>
            </w:r>
          </w:p>
          <w:p w14:paraId="17B5AE4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料仓粉尘经袋式除尘后经25m排气筒排放；</w:t>
            </w:r>
          </w:p>
          <w:p w14:paraId="757D66E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干燥系统排气经旋风除尘后经25m排气筒外排；</w:t>
            </w:r>
          </w:p>
          <w:p w14:paraId="7A8C1EC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聚合釜及精馏塔排出尾气经变压吸附后经25m排气筒外排；</w:t>
            </w:r>
          </w:p>
          <w:p w14:paraId="24EF5AB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丙烯回收工序尾气经降膜吸收塔回收、丙烯洗涤塔、碱洗塔后经50m排气筒外排；</w:t>
            </w:r>
          </w:p>
          <w:p w14:paraId="491A7CA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二氯丙醇合成反应尾气经洗涤塔洗涤后经25m排气筒排放</w:t>
            </w:r>
          </w:p>
        </w:tc>
      </w:tr>
      <w:tr w14:paraId="48F1F9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D4F268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65" w:type="dxa"/>
            <w:vMerge w:val="continue"/>
            <w:tcBorders>
              <w:tl2br w:val="nil"/>
              <w:tr2bl w:val="nil"/>
            </w:tcBorders>
            <w:vAlign w:val="center"/>
          </w:tcPr>
          <w:p w14:paraId="0E75200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6E57746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1F61CDA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403FDD8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579938.6t/a</w:t>
            </w:r>
          </w:p>
        </w:tc>
        <w:tc>
          <w:tcPr>
            <w:tcW w:w="8034" w:type="dxa"/>
            <w:vMerge w:val="restart"/>
            <w:tcBorders>
              <w:tl2br w:val="nil"/>
              <w:tr2bl w:val="nil"/>
            </w:tcBorders>
            <w:vAlign w:val="center"/>
          </w:tcPr>
          <w:p w14:paraId="0570404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一般固废用于回用或外售做水泥原料；</w:t>
            </w:r>
          </w:p>
          <w:p w14:paraId="3B5B1E2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危险固废做防渗、防腐处理，储存场所设围堰，委托资质单位进行处理</w:t>
            </w:r>
          </w:p>
        </w:tc>
      </w:tr>
      <w:tr w14:paraId="54DD5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3CAA0C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65" w:type="dxa"/>
            <w:vMerge w:val="continue"/>
            <w:tcBorders>
              <w:tl2br w:val="nil"/>
              <w:tr2bl w:val="nil"/>
            </w:tcBorders>
            <w:vAlign w:val="center"/>
          </w:tcPr>
          <w:p w14:paraId="41D481D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4E75A85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212686A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2C11A54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116760.54t/a</w:t>
            </w:r>
          </w:p>
        </w:tc>
        <w:tc>
          <w:tcPr>
            <w:tcW w:w="8034" w:type="dxa"/>
            <w:vMerge w:val="continue"/>
            <w:tcBorders>
              <w:tl2br w:val="nil"/>
              <w:tr2bl w:val="nil"/>
            </w:tcBorders>
            <w:vAlign w:val="center"/>
          </w:tcPr>
          <w:p w14:paraId="303DF79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284C32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5D5965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1165" w:type="dxa"/>
            <w:vMerge w:val="restart"/>
            <w:tcBorders>
              <w:tl2br w:val="nil"/>
              <w:tr2bl w:val="nil"/>
            </w:tcBorders>
            <w:vAlign w:val="center"/>
          </w:tcPr>
          <w:p w14:paraId="06F595A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湖南恒光化工有限公司</w:t>
            </w:r>
          </w:p>
        </w:tc>
        <w:tc>
          <w:tcPr>
            <w:tcW w:w="1134" w:type="dxa"/>
            <w:tcBorders>
              <w:tl2br w:val="nil"/>
              <w:tr2bl w:val="nil"/>
            </w:tcBorders>
            <w:vAlign w:val="center"/>
          </w:tcPr>
          <w:p w14:paraId="75015A4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2AD61BB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COD、SS、砷、铅、锌、pH等</w:t>
            </w:r>
          </w:p>
        </w:tc>
        <w:tc>
          <w:tcPr>
            <w:tcW w:w="1559" w:type="dxa"/>
            <w:tcBorders>
              <w:tl2br w:val="nil"/>
              <w:tr2bl w:val="nil"/>
            </w:tcBorders>
            <w:vAlign w:val="center"/>
          </w:tcPr>
          <w:p w14:paraId="5F93144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15.8万m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5847F5E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污酸废水采用硫化钠脱砷+石灰铁盐法中和处理工艺，处理后的废水回用；</w:t>
            </w:r>
          </w:p>
          <w:p w14:paraId="0997E97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冷却水系统排水经厂区雨水管网排放；</w:t>
            </w:r>
          </w:p>
          <w:p w14:paraId="32B2628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酸碱废水、车间地面冲洗废水、初期雨水等进入厂区综合废水处理站处理后经开区污水管网进入松木污水处理厂进行处理，处理达标后排入湘江；</w:t>
            </w:r>
          </w:p>
          <w:p w14:paraId="4A99DB1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生活污水经化粪池预处理后经厂区总排口排入松木污水处理站进行处理；</w:t>
            </w:r>
          </w:p>
          <w:p w14:paraId="3FB81A1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厂区综合废水处理站采用中和+铁盐氧化+沉淀处理工艺</w:t>
            </w:r>
          </w:p>
        </w:tc>
      </w:tr>
      <w:tr w14:paraId="4D080D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480F97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DCD183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F15BCB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0CDB63A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p>
        </w:tc>
        <w:tc>
          <w:tcPr>
            <w:tcW w:w="1559" w:type="dxa"/>
            <w:tcBorders>
              <w:tl2br w:val="nil"/>
              <w:tr2bl w:val="nil"/>
            </w:tcBorders>
            <w:vAlign w:val="center"/>
          </w:tcPr>
          <w:p w14:paraId="2D099B3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97400m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29B9F63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制酸尾气、双钠系统尾气、开车燃油尾气合并进入尾气吸收塔经1级动力波，再依次进入2、3级碱液喷淋吸收达标后经40m排气筒排放；</w:t>
            </w:r>
          </w:p>
          <w:p w14:paraId="7F12B52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氨基磺酸干燥尾气经干燥设备自带旋风除尘器除尘后，再经尾气洗涤塔水膜吸收后由16m高排气筒排放</w:t>
            </w:r>
          </w:p>
        </w:tc>
      </w:tr>
      <w:tr w14:paraId="686667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B69F58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8D9F23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1467703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2F47CAA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37E813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44035.52t/a</w:t>
            </w:r>
          </w:p>
        </w:tc>
        <w:tc>
          <w:tcPr>
            <w:tcW w:w="8034" w:type="dxa"/>
            <w:vMerge w:val="restart"/>
            <w:tcBorders>
              <w:tl2br w:val="nil"/>
              <w:tr2bl w:val="nil"/>
            </w:tcBorders>
            <w:vAlign w:val="center"/>
          </w:tcPr>
          <w:p w14:paraId="00E0895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生活垃圾交由环卫部门送城市垃圾填埋场；</w:t>
            </w:r>
          </w:p>
          <w:p w14:paraId="5567094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废触媒交由生产厂家回收；</w:t>
            </w:r>
          </w:p>
          <w:p w14:paraId="2EEC03C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高硫渣焙烧渣、砷渣、废水处理站污泥等危险固废暂存于危废暂存间内，达到一定数量后委托资质单位进行处理</w:t>
            </w:r>
          </w:p>
        </w:tc>
      </w:tr>
      <w:tr w14:paraId="263CB8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AAD122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45A50C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7703E92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2A99924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4C54AE2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6697t/a</w:t>
            </w:r>
          </w:p>
        </w:tc>
        <w:tc>
          <w:tcPr>
            <w:tcW w:w="8034" w:type="dxa"/>
            <w:vMerge w:val="continue"/>
            <w:tcBorders>
              <w:tl2br w:val="nil"/>
              <w:tr2bl w:val="nil"/>
            </w:tcBorders>
            <w:vAlign w:val="center"/>
          </w:tcPr>
          <w:p w14:paraId="11FDF6C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48B272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123518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w:t>
            </w:r>
          </w:p>
        </w:tc>
        <w:tc>
          <w:tcPr>
            <w:tcW w:w="1165" w:type="dxa"/>
            <w:vMerge w:val="restart"/>
            <w:tcBorders>
              <w:tl2br w:val="nil"/>
              <w:tr2bl w:val="nil"/>
            </w:tcBorders>
            <w:vAlign w:val="center"/>
          </w:tcPr>
          <w:p w14:paraId="27B4660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衡阳市骏杰化工有限公司</w:t>
            </w:r>
          </w:p>
        </w:tc>
        <w:tc>
          <w:tcPr>
            <w:tcW w:w="1134" w:type="dxa"/>
            <w:tcBorders>
              <w:tl2br w:val="nil"/>
              <w:tr2bl w:val="nil"/>
            </w:tcBorders>
            <w:vAlign w:val="center"/>
          </w:tcPr>
          <w:p w14:paraId="5886F41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23CBC25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COD、SS、氨氮、pH等</w:t>
            </w:r>
          </w:p>
        </w:tc>
        <w:tc>
          <w:tcPr>
            <w:tcW w:w="1559" w:type="dxa"/>
            <w:tcBorders>
              <w:tl2br w:val="nil"/>
              <w:tr2bl w:val="nil"/>
            </w:tcBorders>
            <w:vAlign w:val="center"/>
          </w:tcPr>
          <w:p w14:paraId="23EFCF9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1A121C7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无生产工艺废水产生，反应釜冷却水经余热利用后循环使用不外排；</w:t>
            </w:r>
          </w:p>
          <w:p w14:paraId="5E52E1C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经化粪池预处理后的生活污水与经隔油沉淀处理后的地面冲洗水进入厂区大水池回用</w:t>
            </w:r>
          </w:p>
        </w:tc>
      </w:tr>
      <w:tr w14:paraId="047F71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40" w:hRule="atLeast"/>
          <w:jc w:val="center"/>
        </w:trPr>
        <w:tc>
          <w:tcPr>
            <w:tcW w:w="567" w:type="dxa"/>
            <w:vMerge w:val="continue"/>
            <w:tcBorders>
              <w:tl2br w:val="nil"/>
              <w:tr2bl w:val="nil"/>
            </w:tcBorders>
            <w:vAlign w:val="center"/>
          </w:tcPr>
          <w:p w14:paraId="626E56A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96A780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4B1E00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6646909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氯气、氯化氢</w:t>
            </w:r>
          </w:p>
        </w:tc>
        <w:tc>
          <w:tcPr>
            <w:tcW w:w="1559" w:type="dxa"/>
            <w:tcBorders>
              <w:tl2br w:val="nil"/>
              <w:tr2bl w:val="nil"/>
            </w:tcBorders>
            <w:vAlign w:val="center"/>
          </w:tcPr>
          <w:p w14:paraId="473BC9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6FB4177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尾气进行喷淋+降膜+尾气吸收塔三级处理后经25m排气筒排放</w:t>
            </w:r>
          </w:p>
        </w:tc>
      </w:tr>
      <w:tr w14:paraId="1B1CBF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A4921E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0D0DF5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45D07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4D16E2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1A2C3DC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30t/a</w:t>
            </w:r>
          </w:p>
        </w:tc>
        <w:tc>
          <w:tcPr>
            <w:tcW w:w="8034" w:type="dxa"/>
            <w:tcBorders>
              <w:tl2br w:val="nil"/>
              <w:tr2bl w:val="nil"/>
            </w:tcBorders>
            <w:vAlign w:val="center"/>
          </w:tcPr>
          <w:p w14:paraId="4D37EE8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41C88A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D420B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w:t>
            </w:r>
          </w:p>
        </w:tc>
        <w:tc>
          <w:tcPr>
            <w:tcW w:w="1165" w:type="dxa"/>
            <w:vMerge w:val="restart"/>
            <w:tcBorders>
              <w:tl2br w:val="nil"/>
              <w:tr2bl w:val="nil"/>
            </w:tcBorders>
            <w:vAlign w:val="center"/>
          </w:tcPr>
          <w:p w14:paraId="0A524A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湖南力泓新材料科技股份有限公司</w:t>
            </w:r>
          </w:p>
        </w:tc>
        <w:tc>
          <w:tcPr>
            <w:tcW w:w="1134" w:type="dxa"/>
            <w:tcBorders>
              <w:tl2br w:val="nil"/>
              <w:tr2bl w:val="nil"/>
            </w:tcBorders>
            <w:vAlign w:val="center"/>
          </w:tcPr>
          <w:p w14:paraId="39030DF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4389CB4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SS、pH、Zn、Pb、Cu</w:t>
            </w:r>
          </w:p>
        </w:tc>
        <w:tc>
          <w:tcPr>
            <w:tcW w:w="1559" w:type="dxa"/>
            <w:tcBorders>
              <w:tl2br w:val="nil"/>
              <w:tr2bl w:val="nil"/>
            </w:tcBorders>
            <w:vAlign w:val="center"/>
          </w:tcPr>
          <w:p w14:paraId="382CCE5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15900m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7FA1A77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地面冲洗水、压滤机滤布和原料袋洗水经简单沉淀后进入循环水池回用于次氧化锌的浸出工序；</w:t>
            </w:r>
          </w:p>
          <w:p w14:paraId="5871F6F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实验室废水直接用作硫酸浸出的补充水、喷淋水循环使用不外排；</w:t>
            </w:r>
          </w:p>
          <w:p w14:paraId="78CA925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初期雨水经除铊废水处理站处理后回用于生产；</w:t>
            </w:r>
          </w:p>
          <w:p w14:paraId="17AF6C3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除铊废水处理站处理规模为300m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/d，采用氧化反应+沉淀+锰沙过滤+活性炭过滤工艺；</w:t>
            </w:r>
          </w:p>
          <w:p w14:paraId="440A043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生活污水经厂区化粪池处理后，汇入经开区污水管网，最终进入松木污水处理厂处理达标后外排湘江</w:t>
            </w:r>
          </w:p>
        </w:tc>
      </w:tr>
      <w:tr w14:paraId="2067E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FA3EFA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754D83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1D3781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62ADEC0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p>
        </w:tc>
        <w:tc>
          <w:tcPr>
            <w:tcW w:w="1559" w:type="dxa"/>
            <w:tcBorders>
              <w:tl2br w:val="nil"/>
              <w:tr2bl w:val="nil"/>
            </w:tcBorders>
            <w:vAlign w:val="center"/>
          </w:tcPr>
          <w:p w14:paraId="28067F8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94EC63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硫酸雾经管道收集后送吸收塔用水作吸附剂进行处理，处理后经15m排气筒外排（加高中）；</w:t>
            </w:r>
          </w:p>
          <w:p w14:paraId="40141A8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燃煤转窑烟气采用水膜除尘脱硫处理，处理后经15m排气筒外排（加高中）</w:t>
            </w:r>
          </w:p>
        </w:tc>
      </w:tr>
      <w:tr w14:paraId="1622A6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E561F9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99E580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00E30D2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21000E7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20CEEB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986t/a</w:t>
            </w:r>
          </w:p>
        </w:tc>
        <w:tc>
          <w:tcPr>
            <w:tcW w:w="8034" w:type="dxa"/>
            <w:vMerge w:val="restart"/>
            <w:tcBorders>
              <w:tl2br w:val="nil"/>
              <w:tr2bl w:val="nil"/>
            </w:tcBorders>
            <w:vAlign w:val="center"/>
          </w:tcPr>
          <w:p w14:paraId="3292A41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燃煤渣、燃煤烟气处理渣外售综合利用；</w:t>
            </w:r>
          </w:p>
          <w:p w14:paraId="35FAE8B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27B58AB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铅泥、浸出渣、铜镉渣、污水处理污泥危险固废暂存于厂内，交由资质单位进行处理</w:t>
            </w:r>
          </w:p>
        </w:tc>
      </w:tr>
      <w:tr w14:paraId="1B6585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C4E703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BB458A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3394C6B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7782C6D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3F49BC2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6960t/a</w:t>
            </w:r>
          </w:p>
        </w:tc>
        <w:tc>
          <w:tcPr>
            <w:tcW w:w="8034" w:type="dxa"/>
            <w:vMerge w:val="continue"/>
            <w:tcBorders>
              <w:tl2br w:val="nil"/>
              <w:tr2bl w:val="nil"/>
            </w:tcBorders>
            <w:vAlign w:val="center"/>
          </w:tcPr>
          <w:p w14:paraId="4F11E72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051F2E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BB00B0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1165" w:type="dxa"/>
            <w:vMerge w:val="restart"/>
            <w:tcBorders>
              <w:tl2br w:val="nil"/>
              <w:tr2bl w:val="nil"/>
            </w:tcBorders>
            <w:vAlign w:val="center"/>
          </w:tcPr>
          <w:p w14:paraId="6CC3FD86">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衡阳市鑫科思生物科技有限公司</w:t>
            </w:r>
          </w:p>
        </w:tc>
        <w:tc>
          <w:tcPr>
            <w:tcW w:w="1134" w:type="dxa"/>
            <w:tcBorders>
              <w:tl2br w:val="nil"/>
              <w:tr2bl w:val="nil"/>
            </w:tcBorders>
            <w:vAlign w:val="center"/>
          </w:tcPr>
          <w:p w14:paraId="67D5774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0BAB4F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w:t>
            </w:r>
          </w:p>
        </w:tc>
        <w:tc>
          <w:tcPr>
            <w:tcW w:w="1559" w:type="dxa"/>
            <w:tcBorders>
              <w:tl2br w:val="nil"/>
              <w:tr2bl w:val="nil"/>
            </w:tcBorders>
            <w:vAlign w:val="center"/>
          </w:tcPr>
          <w:p w14:paraId="1FE99BF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43710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5CF317B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生产废水进行沉淀处理后进行回用，不外排；</w:t>
            </w:r>
          </w:p>
          <w:p w14:paraId="0F29232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初期雨水经除铊处理设施处理后回用，不外排；</w:t>
            </w:r>
          </w:p>
          <w:p w14:paraId="5201823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生活污水经化粪池处理后，进入经开区污水管网，最终进入松木污水处理厂进行处理</w:t>
            </w:r>
          </w:p>
        </w:tc>
      </w:tr>
      <w:tr w14:paraId="7F80D3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E2D762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C6D9F2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490B0E7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3E1DC6D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硫酸雾、砷化氢、粉尘、SO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p>
        </w:tc>
        <w:tc>
          <w:tcPr>
            <w:tcW w:w="1559" w:type="dxa"/>
            <w:tcBorders>
              <w:tl2br w:val="nil"/>
              <w:tr2bl w:val="nil"/>
            </w:tcBorders>
            <w:vAlign w:val="center"/>
          </w:tcPr>
          <w:p w14:paraId="6F988C8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C96BF6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硫酸雾经过酸雾净化塔吸收后经15m排气筒排放；</w:t>
            </w:r>
          </w:p>
          <w:p w14:paraId="5ABD602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砷化氢经抽风机抽出后经15m排气筒排放；</w:t>
            </w:r>
          </w:p>
          <w:p w14:paraId="6C1A6E1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回转窑烟气采用重力沉降+布袋除尘+脱硫塔处理后经50m排气筒排放；</w:t>
            </w:r>
          </w:p>
          <w:p w14:paraId="0C744C1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热风炉干燥废气采用重力沉降+旋风除尘+碱液吸收塔处理后经25m排气筒排放；</w:t>
            </w:r>
          </w:p>
          <w:p w14:paraId="660187B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包装废气采用旋风分离+布袋除尘处理后经20m排气筒排放</w:t>
            </w:r>
          </w:p>
        </w:tc>
      </w:tr>
      <w:tr w14:paraId="66A23B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D1D6A0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F5199C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72E76F6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7E6637E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C8682B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35038.1t/a</w:t>
            </w:r>
          </w:p>
        </w:tc>
        <w:tc>
          <w:tcPr>
            <w:tcW w:w="8034" w:type="dxa"/>
            <w:vMerge w:val="restart"/>
            <w:tcBorders>
              <w:tl2br w:val="nil"/>
              <w:tr2bl w:val="nil"/>
            </w:tcBorders>
            <w:vAlign w:val="center"/>
          </w:tcPr>
          <w:p w14:paraId="10AA4E5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1F7A870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漂洗净化渣、初期雨水污泥送次氧化锌回转窑处理；</w:t>
            </w:r>
          </w:p>
          <w:p w14:paraId="51BC4F6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 xml:space="preserve">铅泥、锌镉渣等危险固废暂存于临时危险废物仓库，交由资质单位进出处理； </w:t>
            </w:r>
          </w:p>
        </w:tc>
      </w:tr>
      <w:tr w14:paraId="410C30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6338A0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0285AC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42748E1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2D9F3E0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67D7DF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4000t/a</w:t>
            </w:r>
          </w:p>
        </w:tc>
        <w:tc>
          <w:tcPr>
            <w:tcW w:w="8034" w:type="dxa"/>
            <w:vMerge w:val="continue"/>
            <w:tcBorders>
              <w:tl2br w:val="nil"/>
              <w:tr2bl w:val="nil"/>
            </w:tcBorders>
            <w:vAlign w:val="center"/>
          </w:tcPr>
          <w:p w14:paraId="5420E39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30D85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BD1673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w:t>
            </w:r>
          </w:p>
        </w:tc>
        <w:tc>
          <w:tcPr>
            <w:tcW w:w="1165" w:type="dxa"/>
            <w:vMerge w:val="restart"/>
            <w:tcBorders>
              <w:tl2br w:val="nil"/>
              <w:tr2bl w:val="nil"/>
            </w:tcBorders>
            <w:vAlign w:val="center"/>
          </w:tcPr>
          <w:p w14:paraId="32C596D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衡阳屹顺化工有限公司</w:t>
            </w:r>
          </w:p>
        </w:tc>
        <w:tc>
          <w:tcPr>
            <w:tcW w:w="1134" w:type="dxa"/>
            <w:tcBorders>
              <w:tl2br w:val="nil"/>
              <w:tr2bl w:val="nil"/>
            </w:tcBorders>
            <w:vAlign w:val="center"/>
          </w:tcPr>
          <w:p w14:paraId="4F8CF81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2E0079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SS、pH、COD</w:t>
            </w:r>
          </w:p>
        </w:tc>
        <w:tc>
          <w:tcPr>
            <w:tcW w:w="1559" w:type="dxa"/>
            <w:tcBorders>
              <w:tl2br w:val="nil"/>
              <w:tr2bl w:val="nil"/>
            </w:tcBorders>
            <w:vAlign w:val="center"/>
          </w:tcPr>
          <w:p w14:paraId="3F29283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7CA6B2A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导热油炉除尘废水排入厂区经沉淀处理后循环利用；</w:t>
            </w:r>
          </w:p>
          <w:p w14:paraId="0023D8B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车间清洗水经污水管网流入污水处理站废水池，经臭氧氧化、氢氧化钠中和后送至松木污水处理站处理；</w:t>
            </w:r>
          </w:p>
          <w:p w14:paraId="255F7C0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厂区初期雨水流入事故池后泵送至污水处理站废水池，经臭氧氧化、氢氧化钠中和后再经经开区污水管网送松木污水处理站处理；</w:t>
            </w:r>
          </w:p>
          <w:p w14:paraId="358DFDB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生活污水经化粪池处理后进入经开区污水管网，进入松木污水处理厂处理</w:t>
            </w:r>
          </w:p>
        </w:tc>
      </w:tr>
      <w:tr w14:paraId="276BB3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468845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9B038A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216F47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41B4E47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颗粒物、SO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r>
              <w:rPr>
                <w:rFonts w:hint="default" w:ascii="Times New Roman" w:hAnsi="Times New Roman" w:eastAsia="宋体" w:cs="Times New Roman"/>
                <w:szCs w:val="21"/>
              </w:rPr>
              <w:t>等</w:t>
            </w:r>
          </w:p>
        </w:tc>
        <w:tc>
          <w:tcPr>
            <w:tcW w:w="1559" w:type="dxa"/>
            <w:tcBorders>
              <w:tl2br w:val="nil"/>
              <w:tr2bl w:val="nil"/>
            </w:tcBorders>
            <w:vAlign w:val="center"/>
          </w:tcPr>
          <w:p w14:paraId="020E2EA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44EC861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导热油炉烟气采用麻石水膜除尘器+旋流板除尘器处理后经30m排气筒排放；</w:t>
            </w:r>
          </w:p>
          <w:p w14:paraId="513FD38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酸化废气经三级水吸收塔处理后经20m排气筒排放；</w:t>
            </w:r>
          </w:p>
          <w:p w14:paraId="04DA793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硫酸钠回转冷却废气采用碱吸收塔进行吸收处理后经20m排气筒排放；</w:t>
            </w:r>
          </w:p>
          <w:p w14:paraId="683B648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食堂油烟采用油烟净化设施处理后经专用排气筒排放</w:t>
            </w:r>
          </w:p>
        </w:tc>
      </w:tr>
      <w:tr w14:paraId="101DF6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45D7DA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F4CE11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270227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33D661C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177B174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313.86t/a</w:t>
            </w:r>
          </w:p>
        </w:tc>
        <w:tc>
          <w:tcPr>
            <w:tcW w:w="8034" w:type="dxa"/>
            <w:tcBorders>
              <w:tl2br w:val="nil"/>
              <w:tr2bl w:val="nil"/>
            </w:tcBorders>
            <w:vAlign w:val="center"/>
          </w:tcPr>
          <w:p w14:paraId="3FE8FA9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生活垃圾厂内收集后交由环卫部门处理；</w:t>
            </w:r>
          </w:p>
          <w:p w14:paraId="49ADAC0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导热油炉炉渣、除尘渣外售作农肥</w:t>
            </w:r>
          </w:p>
        </w:tc>
      </w:tr>
      <w:tr w14:paraId="3F246A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5C1E2E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w:t>
            </w:r>
          </w:p>
        </w:tc>
        <w:tc>
          <w:tcPr>
            <w:tcW w:w="1165" w:type="dxa"/>
            <w:vMerge w:val="restart"/>
            <w:tcBorders>
              <w:tl2br w:val="nil"/>
              <w:tr2bl w:val="nil"/>
            </w:tcBorders>
            <w:vAlign w:val="center"/>
          </w:tcPr>
          <w:p w14:paraId="2609E8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衡阳旭光锌锗科技有限公司</w:t>
            </w:r>
          </w:p>
        </w:tc>
        <w:tc>
          <w:tcPr>
            <w:tcW w:w="1134" w:type="dxa"/>
            <w:tcBorders>
              <w:tl2br w:val="nil"/>
              <w:tr2bl w:val="nil"/>
            </w:tcBorders>
            <w:vAlign w:val="center"/>
          </w:tcPr>
          <w:p w14:paraId="32E33BD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0489ED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SS、COD、氨氮、重金属等</w:t>
            </w:r>
          </w:p>
        </w:tc>
        <w:tc>
          <w:tcPr>
            <w:tcW w:w="1559" w:type="dxa"/>
            <w:tcBorders>
              <w:tl2br w:val="nil"/>
              <w:tr2bl w:val="nil"/>
            </w:tcBorders>
            <w:vAlign w:val="center"/>
          </w:tcPr>
          <w:p w14:paraId="1DAD563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2472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5C96A12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企业无生产废水外排；</w:t>
            </w:r>
          </w:p>
          <w:p w14:paraId="091BAAD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碱洗除氟氯废水经加氯化钙除氟，加硫化钠除重金属后送多效蒸发系统回收氯盐，冷却水回用于生产；</w:t>
            </w:r>
          </w:p>
          <w:p w14:paraId="4DA7FC6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各类废渣冲洗、地面冲洗废水经收集后回用于中性浸出；</w:t>
            </w:r>
          </w:p>
          <w:p w14:paraId="1CBAC95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原料运输车、包装袋冲洗废水、水喷淋除硫酸雾废水、水喷淋除尘废水小部分收集后回用于中性浸出，其余部分循环利用；</w:t>
            </w:r>
          </w:p>
          <w:p w14:paraId="3961AEA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硫酸锌蒸发废水经收集后回用于置换工序；</w:t>
            </w:r>
          </w:p>
          <w:p w14:paraId="5CC46D8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生活污水经厂区化粪池处理后，汇入经开区污水管网，最终入松木污水处理厂处理达标后外排至湘江；</w:t>
            </w:r>
          </w:p>
          <w:p w14:paraId="322F1D3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初期雨水在初期雨水收集池内收集后，经加石灰沉淀处理后回用于生产；</w:t>
            </w:r>
          </w:p>
        </w:tc>
      </w:tr>
      <w:tr w14:paraId="0A87BA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6A8517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635C3E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22C330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078B41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硫酸雾、砷化氢颗粒物、SO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r>
              <w:rPr>
                <w:rFonts w:hint="default" w:ascii="Times New Roman" w:hAnsi="Times New Roman" w:eastAsia="宋体" w:cs="Times New Roman"/>
                <w:szCs w:val="21"/>
              </w:rPr>
              <w:t>等、</w:t>
            </w:r>
          </w:p>
        </w:tc>
        <w:tc>
          <w:tcPr>
            <w:tcW w:w="1559" w:type="dxa"/>
            <w:tcBorders>
              <w:tl2br w:val="nil"/>
              <w:tr2bl w:val="nil"/>
            </w:tcBorders>
            <w:vAlign w:val="center"/>
          </w:tcPr>
          <w:p w14:paraId="00A4C1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7AA59BA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浸出废气经管道收集后送吸收塔用水进行吸收后经20m排气筒外排；</w:t>
            </w:r>
          </w:p>
          <w:p w14:paraId="6981C65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除杂废气包括硫酸雾即砷化氢废气，其中硫酸雾废气经收集水喷淋塔处理后经20m排气筒外排，砷化氢经排气管收集后采用喷淋处理后经同一排气筒外排；</w:t>
            </w:r>
          </w:p>
          <w:p w14:paraId="53B41D1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干燥回转窑废气采用水喷淋处理后经20m排气筒外排；</w:t>
            </w:r>
          </w:p>
          <w:p w14:paraId="19E4D1E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干燥窑热风干燥尾气经降尘室除尘后经20m排气筒排放；</w:t>
            </w:r>
          </w:p>
          <w:p w14:paraId="08CA061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包装废气采用布袋除尘器进行除尘处理后经20m排气筒外排；</w:t>
            </w:r>
          </w:p>
          <w:p w14:paraId="734FB4E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蒸发浓缩废气主要含水蒸气，由15m排气筒排放</w:t>
            </w:r>
          </w:p>
        </w:tc>
      </w:tr>
      <w:tr w14:paraId="7D7C6E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0A1C7B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AF24F6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6CB540B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39B4CFE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8C0951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32.8t/a</w:t>
            </w:r>
          </w:p>
        </w:tc>
        <w:tc>
          <w:tcPr>
            <w:tcW w:w="8034" w:type="dxa"/>
            <w:vMerge w:val="restart"/>
            <w:tcBorders>
              <w:tl2br w:val="nil"/>
              <w:tr2bl w:val="nil"/>
            </w:tcBorders>
            <w:vAlign w:val="center"/>
          </w:tcPr>
          <w:p w14:paraId="2DA8F92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生活垃圾由经开区统一收集后送至垃圾填埋场；</w:t>
            </w:r>
          </w:p>
          <w:p w14:paraId="4BCC3B1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废包装袋经清洗后外售；</w:t>
            </w:r>
          </w:p>
          <w:p w14:paraId="3378E08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包装收尘灰和废水处理站污泥经收集后返回中性浸出；</w:t>
            </w:r>
          </w:p>
          <w:p w14:paraId="5052777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铅泥、铁渣、铜镉渣、硫化渣等危险固废送由有资质单位处理</w:t>
            </w:r>
          </w:p>
        </w:tc>
      </w:tr>
      <w:tr w14:paraId="33118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5FB9CF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8C39E4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53CDB54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0965165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7037B7A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7676t/a</w:t>
            </w:r>
          </w:p>
        </w:tc>
        <w:tc>
          <w:tcPr>
            <w:tcW w:w="8034" w:type="dxa"/>
            <w:vMerge w:val="continue"/>
            <w:tcBorders>
              <w:tl2br w:val="nil"/>
              <w:tr2bl w:val="nil"/>
            </w:tcBorders>
            <w:vAlign w:val="center"/>
          </w:tcPr>
          <w:p w14:paraId="57BCE27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19E4F5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83D663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w:t>
            </w:r>
          </w:p>
        </w:tc>
        <w:tc>
          <w:tcPr>
            <w:tcW w:w="1165" w:type="dxa"/>
            <w:vMerge w:val="restart"/>
            <w:tcBorders>
              <w:tl2br w:val="nil"/>
              <w:tr2bl w:val="nil"/>
            </w:tcBorders>
            <w:vAlign w:val="center"/>
          </w:tcPr>
          <w:p w14:paraId="5811B78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衡阳市鸿志化工有限公司</w:t>
            </w:r>
          </w:p>
        </w:tc>
        <w:tc>
          <w:tcPr>
            <w:tcW w:w="1134" w:type="dxa"/>
            <w:tcBorders>
              <w:tl2br w:val="nil"/>
              <w:tr2bl w:val="nil"/>
            </w:tcBorders>
            <w:vAlign w:val="center"/>
          </w:tcPr>
          <w:p w14:paraId="1DF424B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C334BA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pH、SS、COD、氨氮</w:t>
            </w:r>
          </w:p>
        </w:tc>
        <w:tc>
          <w:tcPr>
            <w:tcW w:w="1559" w:type="dxa"/>
            <w:tcBorders>
              <w:tl2br w:val="nil"/>
              <w:tr2bl w:val="nil"/>
            </w:tcBorders>
            <w:vAlign w:val="center"/>
          </w:tcPr>
          <w:p w14:paraId="75FCE04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4164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6A61A78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地面冲洗水、初期雨水经过污水管道送建滔化工中水循环处理站进行处理；</w:t>
            </w:r>
          </w:p>
          <w:p w14:paraId="646D0A9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生活污水经化粪池预处理后排入建滔化工中水循环处理站处理</w:t>
            </w:r>
          </w:p>
        </w:tc>
      </w:tr>
      <w:tr w14:paraId="592BF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46B342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E93774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07BDAE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77AAF93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粉尘、氯气</w:t>
            </w:r>
          </w:p>
        </w:tc>
        <w:tc>
          <w:tcPr>
            <w:tcW w:w="1559" w:type="dxa"/>
            <w:tcBorders>
              <w:tl2br w:val="nil"/>
              <w:tr2bl w:val="nil"/>
            </w:tcBorders>
            <w:vAlign w:val="center"/>
          </w:tcPr>
          <w:p w14:paraId="22AB428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8000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594C5A0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回转窑以及次氯酸钠反应罐未参加反应的氯气和粉尘采用二级碱洗塔进行吸收，处理后经25m排气筒进行排放；</w:t>
            </w:r>
          </w:p>
          <w:p w14:paraId="0D7E5E6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油烟废气经净化处理后通过专用排气筒排放</w:t>
            </w:r>
          </w:p>
        </w:tc>
      </w:tr>
      <w:tr w14:paraId="5C755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B9FBE7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195F02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7E4D6F6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10A08B8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306815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125t/a</w:t>
            </w:r>
          </w:p>
        </w:tc>
        <w:tc>
          <w:tcPr>
            <w:tcW w:w="8034" w:type="dxa"/>
            <w:vMerge w:val="restart"/>
            <w:tcBorders>
              <w:tl2br w:val="nil"/>
              <w:tr2bl w:val="nil"/>
            </w:tcBorders>
            <w:vAlign w:val="center"/>
          </w:tcPr>
          <w:p w14:paraId="71172E2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废漂白粉包装袋交由资质单位进行处理；</w:t>
            </w:r>
          </w:p>
          <w:p w14:paraId="6D81FAB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41B09C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630E84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FBD3B3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03F14FD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0FC5185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429F4B7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2t/a</w:t>
            </w:r>
          </w:p>
        </w:tc>
        <w:tc>
          <w:tcPr>
            <w:tcW w:w="8034" w:type="dxa"/>
            <w:vMerge w:val="continue"/>
            <w:tcBorders>
              <w:tl2br w:val="nil"/>
              <w:tr2bl w:val="nil"/>
            </w:tcBorders>
            <w:vAlign w:val="center"/>
          </w:tcPr>
          <w:p w14:paraId="4D1AC58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6412E0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9DD23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9</w:t>
            </w:r>
          </w:p>
        </w:tc>
        <w:tc>
          <w:tcPr>
            <w:tcW w:w="1165" w:type="dxa"/>
            <w:vMerge w:val="restart"/>
            <w:tcBorders>
              <w:tl2br w:val="nil"/>
              <w:tr2bl w:val="nil"/>
            </w:tcBorders>
            <w:vAlign w:val="center"/>
          </w:tcPr>
          <w:p w14:paraId="2C55825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湖南衡阳新澧化工有限公司</w:t>
            </w:r>
          </w:p>
        </w:tc>
        <w:tc>
          <w:tcPr>
            <w:tcW w:w="1134" w:type="dxa"/>
            <w:tcBorders>
              <w:tl2br w:val="nil"/>
              <w:tr2bl w:val="nil"/>
            </w:tcBorders>
            <w:vAlign w:val="center"/>
          </w:tcPr>
          <w:p w14:paraId="7B9BDB8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51EBBEA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COD、SS、氨氮</w:t>
            </w:r>
          </w:p>
        </w:tc>
        <w:tc>
          <w:tcPr>
            <w:tcW w:w="1559" w:type="dxa"/>
            <w:tcBorders>
              <w:tl2br w:val="nil"/>
              <w:tr2bl w:val="nil"/>
            </w:tcBorders>
            <w:vAlign w:val="center"/>
          </w:tcPr>
          <w:p w14:paraId="6AC705F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23000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6CCED78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生产废水返回矿井溶硝不外排；</w:t>
            </w:r>
          </w:p>
          <w:p w14:paraId="405842A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生活污水经化粪池预处理达标后经厂区污水排口进入湘江</w:t>
            </w:r>
          </w:p>
        </w:tc>
      </w:tr>
      <w:tr w14:paraId="55871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D01CB8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F9D458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5A3FF7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0644400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NOx、粉尘、SO</w:t>
            </w:r>
            <w:r>
              <w:rPr>
                <w:rFonts w:hint="default" w:ascii="Times New Roman" w:hAnsi="Times New Roman" w:eastAsia="宋体" w:cs="Times New Roman"/>
                <w:szCs w:val="21"/>
                <w:vertAlign w:val="subscript"/>
              </w:rPr>
              <w:t>2</w:t>
            </w:r>
          </w:p>
        </w:tc>
        <w:tc>
          <w:tcPr>
            <w:tcW w:w="1559" w:type="dxa"/>
            <w:tcBorders>
              <w:tl2br w:val="nil"/>
              <w:tr2bl w:val="nil"/>
            </w:tcBorders>
            <w:vAlign w:val="center"/>
          </w:tcPr>
          <w:p w14:paraId="290CD07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140600m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0B79E09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燃煤锅炉烟气采用石灰石脱硫+SNCR脱硝+布袋除尘器进行处理，处理后经100m排气筒排放；</w:t>
            </w:r>
          </w:p>
          <w:p w14:paraId="2E5EC91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干燥工序产生粉尘采用旋风除尘+水喷淋处理后经30m排气筒排放；</w:t>
            </w:r>
          </w:p>
          <w:p w14:paraId="5DB309C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包装粉尘经布袋收尘后排放</w:t>
            </w:r>
          </w:p>
        </w:tc>
      </w:tr>
      <w:tr w14:paraId="5E00DF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0D3EE5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BBBCE5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DBAA1C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117593D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4051376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29889t/a</w:t>
            </w:r>
          </w:p>
        </w:tc>
        <w:tc>
          <w:tcPr>
            <w:tcW w:w="8034" w:type="dxa"/>
            <w:tcBorders>
              <w:tl2br w:val="nil"/>
              <w:tr2bl w:val="nil"/>
            </w:tcBorders>
            <w:vAlign w:val="center"/>
          </w:tcPr>
          <w:p w14:paraId="292DEAF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375A816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废矿石暂存于排土场，拟外售综合利用；</w:t>
            </w:r>
          </w:p>
          <w:p w14:paraId="1142209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煤渣外售至水泥厂综合利用；</w:t>
            </w:r>
          </w:p>
          <w:p w14:paraId="503DE5C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干燥及包装粉尘经收集后回溶至原硝水中作原料</w:t>
            </w:r>
          </w:p>
        </w:tc>
      </w:tr>
      <w:tr w14:paraId="75E4E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82D513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1165" w:type="dxa"/>
            <w:vMerge w:val="restart"/>
            <w:tcBorders>
              <w:tl2br w:val="nil"/>
              <w:tr2bl w:val="nil"/>
            </w:tcBorders>
            <w:vAlign w:val="center"/>
          </w:tcPr>
          <w:p w14:paraId="5BA457C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湖南达利化工有限公司</w:t>
            </w:r>
          </w:p>
        </w:tc>
        <w:tc>
          <w:tcPr>
            <w:tcW w:w="1134" w:type="dxa"/>
            <w:tcBorders>
              <w:tl2br w:val="nil"/>
              <w:tr2bl w:val="nil"/>
            </w:tcBorders>
            <w:vAlign w:val="center"/>
          </w:tcPr>
          <w:p w14:paraId="50202AC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7D0749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氯离子、SS、COD、氨氮</w:t>
            </w:r>
          </w:p>
        </w:tc>
        <w:tc>
          <w:tcPr>
            <w:tcW w:w="1559" w:type="dxa"/>
            <w:tcBorders>
              <w:tl2br w:val="nil"/>
              <w:tr2bl w:val="nil"/>
            </w:tcBorders>
            <w:vAlign w:val="center"/>
          </w:tcPr>
          <w:p w14:paraId="281372A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105740m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6DC8245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离心母液、设备清洗水经中和处理后返建滔公司采卤井；</w:t>
            </w:r>
          </w:p>
          <w:p w14:paraId="06FE27D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生活污水经化粪池处理后进入经开区污水管网，最终经松木污水处理厂处理后排放</w:t>
            </w:r>
          </w:p>
        </w:tc>
      </w:tr>
      <w:tr w14:paraId="31F19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B6962A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4A5ADF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0861920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566F63E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w:t>
            </w:r>
          </w:p>
        </w:tc>
        <w:tc>
          <w:tcPr>
            <w:tcW w:w="1559" w:type="dxa"/>
            <w:tcBorders>
              <w:tl2br w:val="nil"/>
              <w:tr2bl w:val="nil"/>
            </w:tcBorders>
            <w:vAlign w:val="center"/>
          </w:tcPr>
          <w:p w14:paraId="07B2B27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40000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374832E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干燥尾气采用水雾除尘经20m排气筒排放</w:t>
            </w:r>
          </w:p>
        </w:tc>
      </w:tr>
      <w:tr w14:paraId="67389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94CC03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219A58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ADA84B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669127C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250B05A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44t/a</w:t>
            </w:r>
          </w:p>
        </w:tc>
        <w:tc>
          <w:tcPr>
            <w:tcW w:w="8034" w:type="dxa"/>
            <w:tcBorders>
              <w:tl2br w:val="nil"/>
              <w:tr2bl w:val="nil"/>
            </w:tcBorders>
            <w:vAlign w:val="center"/>
          </w:tcPr>
          <w:p w14:paraId="5AFABA4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2E5C4B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00B1C4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1165" w:type="dxa"/>
            <w:vMerge w:val="restart"/>
            <w:tcBorders>
              <w:tl2br w:val="nil"/>
              <w:tr2bl w:val="nil"/>
            </w:tcBorders>
            <w:vAlign w:val="center"/>
          </w:tcPr>
          <w:p w14:paraId="303B123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衡阳市建衡实业有限公司</w:t>
            </w:r>
          </w:p>
        </w:tc>
        <w:tc>
          <w:tcPr>
            <w:tcW w:w="1134" w:type="dxa"/>
            <w:tcBorders>
              <w:tl2br w:val="nil"/>
              <w:tr2bl w:val="nil"/>
            </w:tcBorders>
            <w:vAlign w:val="center"/>
          </w:tcPr>
          <w:p w14:paraId="7174431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004B1F8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COD、SS、氨氮</w:t>
            </w:r>
          </w:p>
        </w:tc>
        <w:tc>
          <w:tcPr>
            <w:tcW w:w="1559" w:type="dxa"/>
            <w:tcBorders>
              <w:tl2br w:val="nil"/>
              <w:tr2bl w:val="nil"/>
            </w:tcBorders>
            <w:vAlign w:val="center"/>
          </w:tcPr>
          <w:p w14:paraId="034F052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27420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47A0979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无生产工艺废水产生，结晶冷却水、清洗废水经收集沉降后循环使用；</w:t>
            </w:r>
          </w:p>
          <w:p w14:paraId="053E88B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脱硫除尘废水经沉淀后循环使用；</w:t>
            </w:r>
          </w:p>
          <w:p w14:paraId="0F3F4DB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生活污水经化粪池处理后经经开区污水管网进入松木污水处理厂进行处理；</w:t>
            </w:r>
          </w:p>
          <w:p w14:paraId="3F0CBE4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初期雨水经碱液沉降后返回生产系统</w:t>
            </w:r>
          </w:p>
        </w:tc>
      </w:tr>
      <w:tr w14:paraId="3F1F93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526BB8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23C315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2917CE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7B50889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硫酸雾、烟尘、二氧化硫等</w:t>
            </w:r>
          </w:p>
        </w:tc>
        <w:tc>
          <w:tcPr>
            <w:tcW w:w="1559" w:type="dxa"/>
            <w:tcBorders>
              <w:tl2br w:val="nil"/>
              <w:tr2bl w:val="nil"/>
            </w:tcBorders>
            <w:vAlign w:val="center"/>
          </w:tcPr>
          <w:p w14:paraId="06FED8E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7DCC3B3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硫酸雾采用吸气罩+水冷凝吸收+碱液喷淋后经15m排气筒排放；</w:t>
            </w:r>
          </w:p>
          <w:p w14:paraId="648370C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明矾烤炉产生的烟气采用石灰水脱硫除尘后经20m排气筒排放；</w:t>
            </w:r>
          </w:p>
          <w:p w14:paraId="7590106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热风炉烟气经湿法脱硫除尘后经20m排气筒排放；</w:t>
            </w:r>
          </w:p>
          <w:p w14:paraId="5D50ADF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聚合氯化铝反应产生的盐酸雾采用除尘+冷凝+水洗+碱洗后经20m排气筒排放；</w:t>
            </w:r>
          </w:p>
          <w:p w14:paraId="0001864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燃煤锅炉（备用）废气采用多管陶瓷除尘+三级塔串联水膜麻石脱硫除尘+碱液吸收后经45m排气筒排放；</w:t>
            </w:r>
          </w:p>
          <w:p w14:paraId="5E07212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破碎尾气经旋风除尘+布袋除尘后经25m排气筒排放</w:t>
            </w:r>
          </w:p>
        </w:tc>
      </w:tr>
      <w:tr w14:paraId="3C9F3B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5307E6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1E6BFC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5D690B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38BA68B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0E311A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6000t/a</w:t>
            </w:r>
          </w:p>
        </w:tc>
        <w:tc>
          <w:tcPr>
            <w:tcW w:w="8034" w:type="dxa"/>
            <w:tcBorders>
              <w:tl2br w:val="nil"/>
              <w:tr2bl w:val="nil"/>
            </w:tcBorders>
            <w:vAlign w:val="center"/>
          </w:tcPr>
          <w:p w14:paraId="252A524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压滤渣外售做水泥原料，生活垃圾交由环卫部门进行处理</w:t>
            </w:r>
          </w:p>
        </w:tc>
      </w:tr>
      <w:tr w14:paraId="0F72CD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44D23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1165" w:type="dxa"/>
            <w:vMerge w:val="restart"/>
            <w:tcBorders>
              <w:tl2br w:val="nil"/>
              <w:tr2bl w:val="nil"/>
            </w:tcBorders>
            <w:vAlign w:val="center"/>
          </w:tcPr>
          <w:p w14:paraId="4B0BD58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衡阳市盛亚化工科技有限公司</w:t>
            </w:r>
          </w:p>
        </w:tc>
        <w:tc>
          <w:tcPr>
            <w:tcW w:w="1134" w:type="dxa"/>
            <w:tcBorders>
              <w:tl2br w:val="nil"/>
              <w:tr2bl w:val="nil"/>
            </w:tcBorders>
            <w:vAlign w:val="center"/>
          </w:tcPr>
          <w:p w14:paraId="55CE5E8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1D0957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SS、COD、BOD</w:t>
            </w:r>
            <w:r>
              <w:rPr>
                <w:rFonts w:hint="default" w:ascii="Times New Roman" w:hAnsi="Times New Roman" w:eastAsia="宋体" w:cs="Times New Roman"/>
                <w:szCs w:val="21"/>
                <w:vertAlign w:val="subscript"/>
              </w:rPr>
              <w:t>5</w:t>
            </w:r>
          </w:p>
        </w:tc>
        <w:tc>
          <w:tcPr>
            <w:tcW w:w="1559" w:type="dxa"/>
            <w:tcBorders>
              <w:tl2br w:val="nil"/>
              <w:tr2bl w:val="nil"/>
            </w:tcBorders>
            <w:vAlign w:val="center"/>
          </w:tcPr>
          <w:p w14:paraId="6DD51FA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1359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26BD3BA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地面清洗废水及初期雨水经厂区三级沉淀池预处理后，排至建滔公司污水管网，进入建滔中水循环水处理站处理；</w:t>
            </w:r>
          </w:p>
          <w:p w14:paraId="11056F8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生活污水经化粪池预处理后进入经开区污水管网，进入松木污水处理站处理达标后排入湘江</w:t>
            </w:r>
          </w:p>
        </w:tc>
      </w:tr>
      <w:tr w14:paraId="74C59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257659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37CB12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02571B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57612D9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氯化氢、氯气</w:t>
            </w:r>
          </w:p>
        </w:tc>
        <w:tc>
          <w:tcPr>
            <w:tcW w:w="1559" w:type="dxa"/>
            <w:tcBorders>
              <w:tl2br w:val="nil"/>
              <w:tr2bl w:val="nil"/>
            </w:tcBorders>
            <w:vAlign w:val="center"/>
          </w:tcPr>
          <w:p w14:paraId="4844725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2200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702EAD4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氯化废气采用两级降膜吸收+两级石蜡吸收+两级填料塔吸收+碱洗塔处理后经25m排气筒外排（共4个）；</w:t>
            </w:r>
          </w:p>
          <w:p w14:paraId="70CF6CB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食堂油烟采用油烟净化设施处理</w:t>
            </w:r>
          </w:p>
        </w:tc>
      </w:tr>
      <w:tr w14:paraId="1634CF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B9B60C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C98D6A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F7AC31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3FD007D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F0B8E6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9.95t/a</w:t>
            </w:r>
          </w:p>
        </w:tc>
        <w:tc>
          <w:tcPr>
            <w:tcW w:w="8034" w:type="dxa"/>
            <w:tcBorders>
              <w:tl2br w:val="nil"/>
              <w:tr2bl w:val="nil"/>
            </w:tcBorders>
            <w:vAlign w:val="center"/>
          </w:tcPr>
          <w:p w14:paraId="4693BF9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生活垃圾及含油抹布交由环卫部门进行处理；</w:t>
            </w:r>
          </w:p>
        </w:tc>
      </w:tr>
      <w:tr w14:paraId="6051B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0AEFB1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1165" w:type="dxa"/>
            <w:vMerge w:val="restart"/>
            <w:tcBorders>
              <w:tl2br w:val="nil"/>
              <w:tr2bl w:val="nil"/>
            </w:tcBorders>
            <w:vAlign w:val="center"/>
          </w:tcPr>
          <w:p w14:paraId="37DF53C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衡阳德邦新金生物科技有限公司</w:t>
            </w:r>
          </w:p>
        </w:tc>
        <w:tc>
          <w:tcPr>
            <w:tcW w:w="1134" w:type="dxa"/>
            <w:tcBorders>
              <w:tl2br w:val="nil"/>
              <w:tr2bl w:val="nil"/>
            </w:tcBorders>
            <w:vAlign w:val="center"/>
          </w:tcPr>
          <w:p w14:paraId="367EA30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D2C63F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pH、SS、COD、氨氮</w:t>
            </w:r>
          </w:p>
        </w:tc>
        <w:tc>
          <w:tcPr>
            <w:tcW w:w="1559" w:type="dxa"/>
            <w:tcBorders>
              <w:tl2br w:val="nil"/>
              <w:tr2bl w:val="nil"/>
            </w:tcBorders>
            <w:vAlign w:val="center"/>
          </w:tcPr>
          <w:p w14:paraId="53DE8A6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1530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0C3C6D5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生产工艺废水循环使用不外排；</w:t>
            </w:r>
          </w:p>
          <w:p w14:paraId="5EF891E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初期雨水经收集后进入新金公司初期雨水收集池；</w:t>
            </w:r>
          </w:p>
          <w:p w14:paraId="248FB85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生活污水经化粪池预处理后进入经开区污水管网，最终经松木污水处理厂处理后排至湘江</w:t>
            </w:r>
          </w:p>
        </w:tc>
      </w:tr>
      <w:tr w14:paraId="1EB4C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772298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0C448E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80364F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19BCB5F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粉尘、颗粒物、SO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p>
        </w:tc>
        <w:tc>
          <w:tcPr>
            <w:tcW w:w="1559" w:type="dxa"/>
            <w:tcBorders>
              <w:tl2br w:val="nil"/>
              <w:tr2bl w:val="nil"/>
            </w:tcBorders>
            <w:vAlign w:val="center"/>
          </w:tcPr>
          <w:p w14:paraId="0DD06BE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F71BED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晶体生产线粉尘采用布袋除尘处理后经15m排气筒排放；</w:t>
            </w:r>
          </w:p>
          <w:p w14:paraId="39975D5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非晶体生产线采用布袋除尘处理后经15m排气筒排放；</w:t>
            </w:r>
          </w:p>
          <w:p w14:paraId="696C617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锅炉烟气采用布袋除尘处理后经35m排气筒排放</w:t>
            </w:r>
          </w:p>
        </w:tc>
      </w:tr>
      <w:tr w14:paraId="37552A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20E618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CF22F4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58C90A2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10895C9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AE318E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327.674t/a</w:t>
            </w:r>
          </w:p>
        </w:tc>
        <w:tc>
          <w:tcPr>
            <w:tcW w:w="8034" w:type="dxa"/>
            <w:vMerge w:val="restart"/>
            <w:tcBorders>
              <w:tl2br w:val="nil"/>
              <w:tr2bl w:val="nil"/>
            </w:tcBorders>
            <w:vAlign w:val="center"/>
          </w:tcPr>
          <w:p w14:paraId="7E3A239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724DC0D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其它一般固废外售；</w:t>
            </w:r>
          </w:p>
          <w:p w14:paraId="55CD91B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铬、锰化合物包装袋等危险固废由生产厂家进行回收</w:t>
            </w:r>
          </w:p>
        </w:tc>
      </w:tr>
      <w:tr w14:paraId="744B1F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EE1A80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05C177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4E7BB24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7CE08F2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1E174AB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0.4t/a</w:t>
            </w:r>
          </w:p>
        </w:tc>
        <w:tc>
          <w:tcPr>
            <w:tcW w:w="8034" w:type="dxa"/>
            <w:vMerge w:val="continue"/>
            <w:tcBorders>
              <w:tl2br w:val="nil"/>
              <w:tr2bl w:val="nil"/>
            </w:tcBorders>
            <w:vAlign w:val="center"/>
          </w:tcPr>
          <w:p w14:paraId="253F011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26863B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8ED709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14</w:t>
            </w:r>
          </w:p>
        </w:tc>
        <w:tc>
          <w:tcPr>
            <w:tcW w:w="1165" w:type="dxa"/>
            <w:vMerge w:val="restart"/>
            <w:tcBorders>
              <w:tl2br w:val="nil"/>
              <w:tr2bl w:val="nil"/>
            </w:tcBorders>
            <w:vAlign w:val="center"/>
          </w:tcPr>
          <w:p w14:paraId="1B7D5FD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衡阳市康仕达化工实业有限公司</w:t>
            </w:r>
          </w:p>
        </w:tc>
        <w:tc>
          <w:tcPr>
            <w:tcW w:w="1134" w:type="dxa"/>
            <w:tcBorders>
              <w:tl2br w:val="nil"/>
              <w:tr2bl w:val="nil"/>
            </w:tcBorders>
            <w:vAlign w:val="center"/>
          </w:tcPr>
          <w:p w14:paraId="116A899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E0EDEE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pH、SS、COD、氨氮</w:t>
            </w:r>
          </w:p>
        </w:tc>
        <w:tc>
          <w:tcPr>
            <w:tcW w:w="1559" w:type="dxa"/>
            <w:tcBorders>
              <w:tl2br w:val="nil"/>
              <w:tr2bl w:val="nil"/>
            </w:tcBorders>
            <w:vAlign w:val="center"/>
          </w:tcPr>
          <w:p w14:paraId="3B5E4B8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03A9A2E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洗罐废水回用于生产工艺；</w:t>
            </w:r>
          </w:p>
          <w:p w14:paraId="17DB7C6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实验室废水委托资质单位进行处理，不外排；</w:t>
            </w:r>
          </w:p>
          <w:p w14:paraId="6273DA0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生活污水经化粪池预处理后经经开区污水管网进入松木污水处理厂进行处理</w:t>
            </w:r>
          </w:p>
        </w:tc>
      </w:tr>
      <w:tr w14:paraId="1AAD4E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234949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C3769C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EA0B55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11ED50F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TVOC</w:t>
            </w:r>
          </w:p>
        </w:tc>
        <w:tc>
          <w:tcPr>
            <w:tcW w:w="1559" w:type="dxa"/>
            <w:tcBorders>
              <w:tl2br w:val="nil"/>
              <w:tr2bl w:val="nil"/>
            </w:tcBorders>
            <w:vAlign w:val="center"/>
          </w:tcPr>
          <w:p w14:paraId="5CD6318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6B85045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684DFB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85DC3A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74E3AA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88183E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F4DB2D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7DEF86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2.1t/a</w:t>
            </w:r>
          </w:p>
        </w:tc>
        <w:tc>
          <w:tcPr>
            <w:tcW w:w="8034" w:type="dxa"/>
            <w:tcBorders>
              <w:tl2br w:val="nil"/>
              <w:tr2bl w:val="nil"/>
            </w:tcBorders>
            <w:vAlign w:val="center"/>
          </w:tcPr>
          <w:p w14:paraId="1A18F9C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70CEAB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9CFF1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w:t>
            </w:r>
          </w:p>
        </w:tc>
        <w:tc>
          <w:tcPr>
            <w:tcW w:w="1165" w:type="dxa"/>
            <w:vMerge w:val="restart"/>
            <w:tcBorders>
              <w:tl2br w:val="nil"/>
              <w:tr2bl w:val="nil"/>
            </w:tcBorders>
            <w:vAlign w:val="center"/>
          </w:tcPr>
          <w:p w14:paraId="27EAC042">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衡阳大为建材实业有限公司</w:t>
            </w:r>
          </w:p>
        </w:tc>
        <w:tc>
          <w:tcPr>
            <w:tcW w:w="1134" w:type="dxa"/>
            <w:tcBorders>
              <w:tl2br w:val="nil"/>
              <w:tr2bl w:val="nil"/>
            </w:tcBorders>
            <w:vAlign w:val="center"/>
          </w:tcPr>
          <w:p w14:paraId="73EDECA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4444B71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w:t>
            </w:r>
          </w:p>
        </w:tc>
        <w:tc>
          <w:tcPr>
            <w:tcW w:w="1559" w:type="dxa"/>
            <w:tcBorders>
              <w:tl2br w:val="nil"/>
              <w:tr2bl w:val="nil"/>
            </w:tcBorders>
            <w:vAlign w:val="center"/>
          </w:tcPr>
          <w:p w14:paraId="482C07C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271505m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334E743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清洗废水、地面冲洗水经厂区二级沉淀后回用，不外排；</w:t>
            </w:r>
          </w:p>
          <w:p w14:paraId="420A290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生活污水经化粪池预处理后进入经开区污水管网进入松木</w:t>
            </w:r>
            <w:r>
              <w:rPr>
                <w:rFonts w:hint="eastAsia" w:ascii="Times New Roman" w:hAnsi="Times New Roman" w:cs="Times New Roman"/>
                <w:szCs w:val="21"/>
                <w:lang w:eastAsia="zh-CN"/>
              </w:rPr>
              <w:t>污水处理厂</w:t>
            </w:r>
            <w:r>
              <w:rPr>
                <w:rFonts w:hint="default" w:ascii="Times New Roman" w:hAnsi="Times New Roman" w:eastAsia="宋体" w:cs="Times New Roman"/>
                <w:szCs w:val="21"/>
              </w:rPr>
              <w:t>进行处理</w:t>
            </w:r>
          </w:p>
        </w:tc>
      </w:tr>
      <w:tr w14:paraId="2089DB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2936A1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F07722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687EDC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16CAFA4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w:t>
            </w:r>
          </w:p>
        </w:tc>
        <w:tc>
          <w:tcPr>
            <w:tcW w:w="1559" w:type="dxa"/>
            <w:tcBorders>
              <w:tl2br w:val="nil"/>
              <w:tr2bl w:val="nil"/>
            </w:tcBorders>
            <w:vAlign w:val="center"/>
          </w:tcPr>
          <w:p w14:paraId="7B1CF16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61A7F0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筒仓顶部自带滤芯除尘器进行除尘，筒仓底部采用负压吸风收尘装置，与顶部呼吸孔共用一台除尘器</w:t>
            </w:r>
          </w:p>
        </w:tc>
      </w:tr>
      <w:tr w14:paraId="406D5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90DAD4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AFF50A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D84CEE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57BFF11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4AF888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2289t/a</w:t>
            </w:r>
          </w:p>
        </w:tc>
        <w:tc>
          <w:tcPr>
            <w:tcW w:w="8034" w:type="dxa"/>
            <w:tcBorders>
              <w:tl2br w:val="nil"/>
              <w:tr2bl w:val="nil"/>
            </w:tcBorders>
            <w:vAlign w:val="center"/>
          </w:tcPr>
          <w:p w14:paraId="041C7C9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沉渣、水泥渣等回用于生产，生活垃圾与废弃滤芯交由环卫部门进行处理</w:t>
            </w:r>
          </w:p>
        </w:tc>
      </w:tr>
      <w:tr w14:paraId="50220A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C5504D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w:t>
            </w:r>
          </w:p>
        </w:tc>
        <w:tc>
          <w:tcPr>
            <w:tcW w:w="1165" w:type="dxa"/>
            <w:vMerge w:val="restart"/>
            <w:tcBorders>
              <w:tl2br w:val="nil"/>
              <w:tr2bl w:val="nil"/>
            </w:tcBorders>
            <w:vAlign w:val="center"/>
          </w:tcPr>
          <w:p w14:paraId="33379DEC">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湖南大好新型墙体材料有限公司</w:t>
            </w:r>
          </w:p>
        </w:tc>
        <w:tc>
          <w:tcPr>
            <w:tcW w:w="1134" w:type="dxa"/>
            <w:tcBorders>
              <w:tl2br w:val="nil"/>
              <w:tr2bl w:val="nil"/>
            </w:tcBorders>
            <w:vAlign w:val="center"/>
          </w:tcPr>
          <w:p w14:paraId="2E78B0F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CC6F23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COD、氨氮、动植物油</w:t>
            </w:r>
          </w:p>
        </w:tc>
        <w:tc>
          <w:tcPr>
            <w:tcW w:w="1559" w:type="dxa"/>
            <w:tcBorders>
              <w:tl2br w:val="nil"/>
              <w:tr2bl w:val="nil"/>
            </w:tcBorders>
            <w:vAlign w:val="center"/>
          </w:tcPr>
          <w:p w14:paraId="3D049CD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7271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56C2214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生产工艺废水循环使用不外排，锅炉脱硫除尘废水经沉淀处理后循环使用，不外排；</w:t>
            </w:r>
          </w:p>
          <w:p w14:paraId="3B23F63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生活污水经化粪池预处理后经污水排放口进入经开区污水管道，最终经松木污水处理站处理后排放至湘江</w:t>
            </w:r>
          </w:p>
        </w:tc>
      </w:tr>
      <w:tr w14:paraId="2AC885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F73E8D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EDCB0B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148950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16C7CF7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p>
        </w:tc>
        <w:tc>
          <w:tcPr>
            <w:tcW w:w="1559" w:type="dxa"/>
            <w:tcBorders>
              <w:tl2br w:val="nil"/>
              <w:tr2bl w:val="nil"/>
            </w:tcBorders>
            <w:vAlign w:val="center"/>
          </w:tcPr>
          <w:p w14:paraId="6475969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0C0050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破碎、球磨过程中产生的粉尘采用布袋除尘器进行处理，经15m排气筒排放；</w:t>
            </w:r>
          </w:p>
          <w:p w14:paraId="4A015EF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锅炉烟气采用麻石水膜脱硫除尘处理后经35m排气筒外排；</w:t>
            </w:r>
          </w:p>
          <w:p w14:paraId="1125586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食堂油烟采用油烟净化设施处理后经专用排气筒排放</w:t>
            </w:r>
          </w:p>
        </w:tc>
      </w:tr>
      <w:tr w14:paraId="17E0B9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29EEEC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A31924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7D160F8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67B68FB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305B87D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1125.97t/a</w:t>
            </w:r>
          </w:p>
        </w:tc>
        <w:tc>
          <w:tcPr>
            <w:tcW w:w="8034" w:type="dxa"/>
            <w:vMerge w:val="restart"/>
            <w:tcBorders>
              <w:tl2br w:val="nil"/>
              <w:tr2bl w:val="nil"/>
            </w:tcBorders>
            <w:vAlign w:val="center"/>
          </w:tcPr>
          <w:p w14:paraId="0788D5F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布袋收集的粉尘、边角料、锅炉炉渣回用于原材料制备工序；</w:t>
            </w:r>
          </w:p>
          <w:p w14:paraId="7D3CB58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7F1A3BC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危险固废废油桶交由厂家回收利用</w:t>
            </w:r>
          </w:p>
        </w:tc>
      </w:tr>
      <w:tr w14:paraId="42626D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DDBE2E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A2394B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4DCD476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5E14A42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11A9163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0.2t/a</w:t>
            </w:r>
          </w:p>
        </w:tc>
        <w:tc>
          <w:tcPr>
            <w:tcW w:w="8034" w:type="dxa"/>
            <w:vMerge w:val="continue"/>
            <w:tcBorders>
              <w:tl2br w:val="nil"/>
              <w:tr2bl w:val="nil"/>
            </w:tcBorders>
            <w:vAlign w:val="center"/>
          </w:tcPr>
          <w:p w14:paraId="7716E72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7EADE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E1AEA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17</w:t>
            </w:r>
          </w:p>
        </w:tc>
        <w:tc>
          <w:tcPr>
            <w:tcW w:w="1165" w:type="dxa"/>
            <w:vMerge w:val="restart"/>
            <w:tcBorders>
              <w:tl2br w:val="nil"/>
              <w:tr2bl w:val="nil"/>
            </w:tcBorders>
            <w:vAlign w:val="center"/>
          </w:tcPr>
          <w:p w14:paraId="5876409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湖南金山水泥有限公司</w:t>
            </w:r>
          </w:p>
        </w:tc>
        <w:tc>
          <w:tcPr>
            <w:tcW w:w="1134" w:type="dxa"/>
            <w:tcBorders>
              <w:tl2br w:val="nil"/>
              <w:tr2bl w:val="nil"/>
            </w:tcBorders>
            <w:vAlign w:val="center"/>
          </w:tcPr>
          <w:p w14:paraId="6DA94F6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5EABFC3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COD、氨氮、动植物油</w:t>
            </w:r>
          </w:p>
        </w:tc>
        <w:tc>
          <w:tcPr>
            <w:tcW w:w="1559" w:type="dxa"/>
            <w:tcBorders>
              <w:tl2br w:val="nil"/>
              <w:tr2bl w:val="nil"/>
            </w:tcBorders>
            <w:vAlign w:val="center"/>
          </w:tcPr>
          <w:p w14:paraId="7B525BC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46200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5838C25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循环冷却系统排污水用作设备冷却水、辅助生产设施废水、余热电站排污水大部分循环使用，少量进入沉淀池处理后用于地面洒水抑尘、绿化用水；其余部分及初期雨水与经化粪池预处理的生活污水经经开区污水管网进入松木污水处理厂进行处理</w:t>
            </w:r>
          </w:p>
        </w:tc>
      </w:tr>
      <w:tr w14:paraId="62C12F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BE0984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1E6728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965B51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3B59930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r>
              <w:rPr>
                <w:rFonts w:hint="default" w:ascii="Times New Roman" w:hAnsi="Times New Roman" w:eastAsia="宋体" w:cs="Times New Roman"/>
                <w:szCs w:val="21"/>
              </w:rPr>
              <w:t>、NH</w:t>
            </w:r>
            <w:r>
              <w:rPr>
                <w:rFonts w:hint="default" w:ascii="Times New Roman" w:hAnsi="Times New Roman" w:eastAsia="宋体" w:cs="Times New Roman"/>
                <w:szCs w:val="21"/>
                <w:vertAlign w:val="subscript"/>
              </w:rPr>
              <w:t>3</w:t>
            </w:r>
          </w:p>
        </w:tc>
        <w:tc>
          <w:tcPr>
            <w:tcW w:w="1559" w:type="dxa"/>
            <w:tcBorders>
              <w:tl2br w:val="nil"/>
              <w:tr2bl w:val="nil"/>
            </w:tcBorders>
            <w:vAlign w:val="center"/>
          </w:tcPr>
          <w:p w14:paraId="2FAFF23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4507E3B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窑尾废气经电收尘+SCNR脱硝后经100m排气筒排放；</w:t>
            </w:r>
          </w:p>
          <w:p w14:paraId="778F6D3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烧成窑头废气经电收尘后经40m排气筒排放；</w:t>
            </w:r>
          </w:p>
          <w:p w14:paraId="7D1E9AD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煤粉制备粉尘经袋式收尘器处理后经30m排气筒排放；</w:t>
            </w:r>
          </w:p>
          <w:p w14:paraId="3A8EF56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熟料储存及输送产生的粉尘经袋式收尘器处理后经15m排气筒排放；</w:t>
            </w:r>
          </w:p>
          <w:p w14:paraId="75311DB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水泥粉磨、输送产生的粉尘经袋式除尘器处理后经30m排气筒排放；</w:t>
            </w:r>
          </w:p>
          <w:p w14:paraId="236FAE3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水泥包装粉尘经袋式除尘器处理后经15m排气筒排放</w:t>
            </w:r>
          </w:p>
        </w:tc>
      </w:tr>
      <w:tr w14:paraId="6BEDD9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BDBC0A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B02D45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0A482B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863809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2740904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242.9t/a</w:t>
            </w:r>
          </w:p>
        </w:tc>
        <w:tc>
          <w:tcPr>
            <w:tcW w:w="8034" w:type="dxa"/>
            <w:tcBorders>
              <w:tl2br w:val="nil"/>
              <w:tr2bl w:val="nil"/>
            </w:tcBorders>
            <w:vAlign w:val="center"/>
          </w:tcPr>
          <w:p w14:paraId="4A9DD1F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炉渣和尘灰回用于生产工艺；</w:t>
            </w:r>
          </w:p>
          <w:p w14:paraId="0CC290E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水泥包装袋由废品回收公司回收；</w:t>
            </w:r>
          </w:p>
          <w:p w14:paraId="36A6121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7E8F9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76886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w:t>
            </w:r>
          </w:p>
        </w:tc>
        <w:tc>
          <w:tcPr>
            <w:tcW w:w="1165" w:type="dxa"/>
            <w:vMerge w:val="restart"/>
            <w:tcBorders>
              <w:tl2br w:val="nil"/>
              <w:tr2bl w:val="nil"/>
            </w:tcBorders>
            <w:vAlign w:val="center"/>
          </w:tcPr>
          <w:p w14:paraId="5314F90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衡阳凯恒商品混凝土有限公司</w:t>
            </w:r>
          </w:p>
        </w:tc>
        <w:tc>
          <w:tcPr>
            <w:tcW w:w="1134" w:type="dxa"/>
            <w:tcBorders>
              <w:tl2br w:val="nil"/>
              <w:tr2bl w:val="nil"/>
            </w:tcBorders>
            <w:vAlign w:val="center"/>
          </w:tcPr>
          <w:p w14:paraId="5A4D431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45DF86C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pH、SS、COD、氨氮</w:t>
            </w:r>
          </w:p>
        </w:tc>
        <w:tc>
          <w:tcPr>
            <w:tcW w:w="1559" w:type="dxa"/>
            <w:tcBorders>
              <w:tl2br w:val="nil"/>
              <w:tr2bl w:val="nil"/>
            </w:tcBorders>
            <w:vAlign w:val="center"/>
          </w:tcPr>
          <w:p w14:paraId="3D98ACE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4403AAA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清洗废水、冲洗废水经沉淀、压滤处理后回用于生产工序；</w:t>
            </w:r>
          </w:p>
          <w:p w14:paraId="2E5B307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生活污水经化粪池预处理后进入经开区污水管网，最终经松木污水处理厂处理后排至湘江</w:t>
            </w:r>
          </w:p>
        </w:tc>
      </w:tr>
      <w:tr w14:paraId="25F887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F1653F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B70184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1982F2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044360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w:t>
            </w:r>
          </w:p>
        </w:tc>
        <w:tc>
          <w:tcPr>
            <w:tcW w:w="1559" w:type="dxa"/>
            <w:tcBorders>
              <w:tl2br w:val="nil"/>
              <w:tr2bl w:val="nil"/>
            </w:tcBorders>
            <w:vAlign w:val="center"/>
          </w:tcPr>
          <w:p w14:paraId="3CD81B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7B9DC73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kern w:val="0"/>
                <w:szCs w:val="21"/>
              </w:rPr>
              <w:t>筒仓顶部自带滤芯过滤粉尘，高度为30m</w:t>
            </w:r>
          </w:p>
        </w:tc>
      </w:tr>
      <w:tr w14:paraId="2E18C1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8792A9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8EB188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527F2C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7E82ADB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11523DD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2286.6t/a</w:t>
            </w:r>
          </w:p>
        </w:tc>
        <w:tc>
          <w:tcPr>
            <w:tcW w:w="8034" w:type="dxa"/>
            <w:tcBorders>
              <w:tl2br w:val="nil"/>
              <w:tr2bl w:val="nil"/>
            </w:tcBorders>
            <w:vAlign w:val="center"/>
          </w:tcPr>
          <w:p w14:paraId="45F05B9A">
            <w:pPr>
              <w:keepNext w:val="0"/>
              <w:keepLines w:val="0"/>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沉淀池沉渣和剩余混凝土回用于生产；</w:t>
            </w:r>
          </w:p>
          <w:p w14:paraId="66483293">
            <w:pPr>
              <w:keepNext w:val="0"/>
              <w:keepLines w:val="0"/>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污水处理污泥（主要为水泥渣）出售；</w:t>
            </w:r>
          </w:p>
          <w:p w14:paraId="2D31045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kern w:val="0"/>
                <w:szCs w:val="21"/>
              </w:rPr>
              <w:t>废弃滤芯和生活垃圾由环卫部门统一处理</w:t>
            </w:r>
          </w:p>
        </w:tc>
      </w:tr>
      <w:tr w14:paraId="3810BC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ED1A2F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19</w:t>
            </w:r>
          </w:p>
        </w:tc>
        <w:tc>
          <w:tcPr>
            <w:tcW w:w="1165" w:type="dxa"/>
            <w:vMerge w:val="restart"/>
            <w:tcBorders>
              <w:tl2br w:val="nil"/>
              <w:tr2bl w:val="nil"/>
            </w:tcBorders>
            <w:vAlign w:val="center"/>
          </w:tcPr>
          <w:p w14:paraId="71FE5A2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衡阳市成大混凝土有限公司</w:t>
            </w:r>
          </w:p>
        </w:tc>
        <w:tc>
          <w:tcPr>
            <w:tcW w:w="1134" w:type="dxa"/>
            <w:tcBorders>
              <w:tl2br w:val="nil"/>
              <w:tr2bl w:val="nil"/>
            </w:tcBorders>
            <w:vAlign w:val="center"/>
          </w:tcPr>
          <w:p w14:paraId="67DE854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8ABDDF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pH、SS、COD、氨氮</w:t>
            </w:r>
          </w:p>
        </w:tc>
        <w:tc>
          <w:tcPr>
            <w:tcW w:w="1559" w:type="dxa"/>
            <w:tcBorders>
              <w:tl2br w:val="nil"/>
              <w:tr2bl w:val="nil"/>
            </w:tcBorders>
            <w:vAlign w:val="center"/>
          </w:tcPr>
          <w:p w14:paraId="436FF1D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3060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18E9120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生产废水经二级沉淀处理后回用，不外排；</w:t>
            </w:r>
          </w:p>
          <w:p w14:paraId="433C5F1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生活污水经化粪池预处理后进入经开区污水管网，最终经松木污水处理厂处理后排至湘江</w:t>
            </w:r>
          </w:p>
        </w:tc>
      </w:tr>
      <w:tr w14:paraId="31980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DE5E45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48D248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0963F5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36EA8A6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w:t>
            </w:r>
          </w:p>
        </w:tc>
        <w:tc>
          <w:tcPr>
            <w:tcW w:w="1559" w:type="dxa"/>
            <w:tcBorders>
              <w:tl2br w:val="nil"/>
              <w:tr2bl w:val="nil"/>
            </w:tcBorders>
            <w:vAlign w:val="center"/>
          </w:tcPr>
          <w:p w14:paraId="123937E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233EAC86">
            <w:pPr>
              <w:keepNext w:val="0"/>
              <w:keepLines w:val="0"/>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筒仓顶部呼吸孔及筒仓底部粉尘采用脉冲式布袋除尘系统进行处理后排放</w:t>
            </w:r>
          </w:p>
        </w:tc>
      </w:tr>
      <w:tr w14:paraId="78CC28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94DC27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847C92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26B9A7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7C6A214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BBB86F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2286.6t/a</w:t>
            </w:r>
          </w:p>
        </w:tc>
        <w:tc>
          <w:tcPr>
            <w:tcW w:w="8034" w:type="dxa"/>
            <w:tcBorders>
              <w:tl2br w:val="nil"/>
              <w:tr2bl w:val="nil"/>
            </w:tcBorders>
            <w:vAlign w:val="center"/>
          </w:tcPr>
          <w:p w14:paraId="43F3D4D6">
            <w:pPr>
              <w:keepNext w:val="0"/>
              <w:keepLines w:val="0"/>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沉淀池沉渣和剩余混凝土回用于生产；</w:t>
            </w:r>
          </w:p>
          <w:p w14:paraId="6256560C">
            <w:pPr>
              <w:keepNext w:val="0"/>
              <w:keepLines w:val="0"/>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污水处理污泥（主要为水泥渣）出售；</w:t>
            </w:r>
          </w:p>
          <w:p w14:paraId="6B019741">
            <w:pPr>
              <w:keepNext w:val="0"/>
              <w:keepLines w:val="0"/>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生活垃圾由环卫部门统一处理</w:t>
            </w:r>
          </w:p>
        </w:tc>
      </w:tr>
      <w:tr w14:paraId="4E2092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3BD9BC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1165" w:type="dxa"/>
            <w:vMerge w:val="restart"/>
            <w:tcBorders>
              <w:tl2br w:val="nil"/>
              <w:tr2bl w:val="nil"/>
            </w:tcBorders>
            <w:vAlign w:val="center"/>
          </w:tcPr>
          <w:p w14:paraId="509A9EF0">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中民筑友科技集团有限公司</w:t>
            </w:r>
          </w:p>
        </w:tc>
        <w:tc>
          <w:tcPr>
            <w:tcW w:w="1134" w:type="dxa"/>
            <w:tcBorders>
              <w:tl2br w:val="nil"/>
              <w:tr2bl w:val="nil"/>
            </w:tcBorders>
            <w:vAlign w:val="center"/>
          </w:tcPr>
          <w:p w14:paraId="020B00C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21FB4C4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SS、COD、氨氮等</w:t>
            </w:r>
          </w:p>
        </w:tc>
        <w:tc>
          <w:tcPr>
            <w:tcW w:w="1559" w:type="dxa"/>
            <w:tcBorders>
              <w:tl2br w:val="nil"/>
              <w:tr2bl w:val="nil"/>
            </w:tcBorders>
            <w:vAlign w:val="center"/>
          </w:tcPr>
          <w:p w14:paraId="2EFF8F5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960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0A0C737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清洗废水、冲洗水经隔油+沉淀处理后进行回用；</w:t>
            </w:r>
          </w:p>
          <w:p w14:paraId="306920E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初期雨水经隔油沉淀后回用于厂区绿化带用水；</w:t>
            </w:r>
          </w:p>
          <w:p w14:paraId="0CC8023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生活污水经化粪池预处理后经经开区污水管网进入松木污水处理厂进行处理</w:t>
            </w:r>
          </w:p>
        </w:tc>
      </w:tr>
      <w:tr w14:paraId="119E3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F1D650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98DC4D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0005F3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0442C3C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w:t>
            </w:r>
          </w:p>
        </w:tc>
        <w:tc>
          <w:tcPr>
            <w:tcW w:w="1559" w:type="dxa"/>
            <w:tcBorders>
              <w:tl2br w:val="nil"/>
              <w:tr2bl w:val="nil"/>
            </w:tcBorders>
            <w:vAlign w:val="center"/>
          </w:tcPr>
          <w:p w14:paraId="732DB19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D136F4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输送、计量、投料及交办分厂经布袋除尘后排放；</w:t>
            </w:r>
          </w:p>
          <w:p w14:paraId="4A81FF14">
            <w:pPr>
              <w:keepNext w:val="0"/>
              <w:keepLines w:val="0"/>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水泥筒仓呼吸孔和仓底分厂经布袋除尘处理后经15m排气筒排放；</w:t>
            </w:r>
          </w:p>
        </w:tc>
      </w:tr>
      <w:tr w14:paraId="3F1ACA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95B7E9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1DEE93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46377D1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97354C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944AB0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461.657t/a</w:t>
            </w:r>
          </w:p>
        </w:tc>
        <w:tc>
          <w:tcPr>
            <w:tcW w:w="8034" w:type="dxa"/>
            <w:vMerge w:val="restart"/>
            <w:tcBorders>
              <w:tl2br w:val="nil"/>
              <w:tr2bl w:val="nil"/>
            </w:tcBorders>
            <w:vAlign w:val="center"/>
          </w:tcPr>
          <w:p w14:paraId="2AC37AE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模具废弃料、布袋除尘器收集的粉尘、</w:t>
            </w:r>
            <w:r>
              <w:rPr>
                <w:rFonts w:hint="default" w:ascii="Times New Roman" w:hAnsi="Times New Roman" w:eastAsia="宋体" w:cs="Times New Roman"/>
                <w:szCs w:val="21"/>
                <w:lang w:eastAsia="zh-CN"/>
              </w:rPr>
              <w:t>沉淀池</w:t>
            </w:r>
            <w:r>
              <w:rPr>
                <w:rFonts w:hint="default" w:ascii="Times New Roman" w:hAnsi="Times New Roman" w:eastAsia="宋体" w:cs="Times New Roman"/>
                <w:szCs w:val="21"/>
              </w:rPr>
              <w:t>等回用于混凝土生产线；</w:t>
            </w:r>
          </w:p>
          <w:p w14:paraId="414F498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生活垃圾等一般固废交由环卫部门进行处理；</w:t>
            </w:r>
          </w:p>
          <w:p w14:paraId="51EAD675">
            <w:pPr>
              <w:keepNext w:val="0"/>
              <w:keepLines w:val="0"/>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szCs w:val="21"/>
              </w:rPr>
              <w:t>废机油、废脱模剂等危废交由资质单位进行处理</w:t>
            </w:r>
          </w:p>
        </w:tc>
      </w:tr>
      <w:tr w14:paraId="6CBA61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5C5B3A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32569E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10B0593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7F88D87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0072786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0.3t/a</w:t>
            </w:r>
          </w:p>
        </w:tc>
        <w:tc>
          <w:tcPr>
            <w:tcW w:w="8034" w:type="dxa"/>
            <w:vMerge w:val="continue"/>
            <w:tcBorders>
              <w:tl2br w:val="nil"/>
              <w:tr2bl w:val="nil"/>
            </w:tcBorders>
            <w:vAlign w:val="center"/>
          </w:tcPr>
          <w:p w14:paraId="20D4779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r>
      <w:tr w14:paraId="0CAFD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57415C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21</w:t>
            </w:r>
          </w:p>
        </w:tc>
        <w:tc>
          <w:tcPr>
            <w:tcW w:w="1165" w:type="dxa"/>
            <w:vMerge w:val="restart"/>
            <w:tcBorders>
              <w:tl2br w:val="nil"/>
              <w:tr2bl w:val="nil"/>
            </w:tcBorders>
            <w:vAlign w:val="center"/>
          </w:tcPr>
          <w:p w14:paraId="35AB370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湖南鑫威门业有限公司</w:t>
            </w:r>
          </w:p>
        </w:tc>
        <w:tc>
          <w:tcPr>
            <w:tcW w:w="1134" w:type="dxa"/>
            <w:tcBorders>
              <w:tl2br w:val="nil"/>
              <w:tr2bl w:val="nil"/>
            </w:tcBorders>
            <w:vAlign w:val="center"/>
          </w:tcPr>
          <w:p w14:paraId="15175ED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6F1A6B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pH、SS、COD、氨氮</w:t>
            </w:r>
          </w:p>
        </w:tc>
        <w:tc>
          <w:tcPr>
            <w:tcW w:w="1559" w:type="dxa"/>
            <w:tcBorders>
              <w:tl2br w:val="nil"/>
              <w:tr2bl w:val="nil"/>
            </w:tcBorders>
            <w:vAlign w:val="center"/>
          </w:tcPr>
          <w:p w14:paraId="07CC84C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7F66309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无生产工艺废水产生；</w:t>
            </w:r>
          </w:p>
          <w:p w14:paraId="78F0D5F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经二级沉淀处理后的清洗废水、冲洗水与经化粪池预处理后的生活污水经经开区污水管网进入松木污水处理厂进行处理</w:t>
            </w:r>
          </w:p>
        </w:tc>
      </w:tr>
      <w:tr w14:paraId="3C95F3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E60127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E63780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4AEB676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35E43C0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w:t>
            </w:r>
          </w:p>
        </w:tc>
        <w:tc>
          <w:tcPr>
            <w:tcW w:w="1559" w:type="dxa"/>
            <w:tcBorders>
              <w:tl2br w:val="nil"/>
              <w:tr2bl w:val="nil"/>
            </w:tcBorders>
            <w:vAlign w:val="center"/>
          </w:tcPr>
          <w:p w14:paraId="1A4FE51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46829C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焊接烟气经焊接烟气净化装置净化后排放；</w:t>
            </w:r>
          </w:p>
          <w:p w14:paraId="4ABA056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油烟废气经过油烟净化机处理后经15m排气筒排放</w:t>
            </w:r>
          </w:p>
        </w:tc>
      </w:tr>
      <w:tr w14:paraId="7F807B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190E4B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B50E40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4125833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267C5CA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243A6D2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D3F580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生活垃圾交由环卫部门进行收集处理；</w:t>
            </w:r>
          </w:p>
          <w:p w14:paraId="71A2C26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废金属边角料外售</w:t>
            </w:r>
          </w:p>
        </w:tc>
      </w:tr>
      <w:tr w14:paraId="75BE7C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E1AF51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22</w:t>
            </w:r>
          </w:p>
        </w:tc>
        <w:tc>
          <w:tcPr>
            <w:tcW w:w="1165" w:type="dxa"/>
            <w:vMerge w:val="restart"/>
            <w:tcBorders>
              <w:tl2br w:val="nil"/>
              <w:tr2bl w:val="nil"/>
            </w:tcBorders>
            <w:vAlign w:val="center"/>
          </w:tcPr>
          <w:p w14:paraId="1E55834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湖南超声人防设备有限公司</w:t>
            </w:r>
          </w:p>
        </w:tc>
        <w:tc>
          <w:tcPr>
            <w:tcW w:w="1134" w:type="dxa"/>
            <w:tcBorders>
              <w:tl2br w:val="nil"/>
              <w:tr2bl w:val="nil"/>
            </w:tcBorders>
            <w:vAlign w:val="center"/>
          </w:tcPr>
          <w:p w14:paraId="038C01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B81D40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pH、SS、COD、氨氮</w:t>
            </w:r>
          </w:p>
        </w:tc>
        <w:tc>
          <w:tcPr>
            <w:tcW w:w="1559" w:type="dxa"/>
            <w:tcBorders>
              <w:tl2br w:val="nil"/>
              <w:tr2bl w:val="nil"/>
            </w:tcBorders>
            <w:vAlign w:val="center"/>
          </w:tcPr>
          <w:p w14:paraId="27D4B76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427.2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4B0D623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食堂含油污水经隔油处理后与生活污水进入化粪池进行预处理，处理后的污水经经开区污水管网进入松木污水处理厂进行处理</w:t>
            </w:r>
          </w:p>
        </w:tc>
      </w:tr>
      <w:tr w14:paraId="3A984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14008D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FDD036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DF9297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549450F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粉尘、有机废气等</w:t>
            </w:r>
          </w:p>
        </w:tc>
        <w:tc>
          <w:tcPr>
            <w:tcW w:w="1559" w:type="dxa"/>
            <w:tcBorders>
              <w:tl2br w:val="nil"/>
              <w:tr2bl w:val="nil"/>
            </w:tcBorders>
            <w:vAlign w:val="center"/>
          </w:tcPr>
          <w:p w14:paraId="5B1DC74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790589F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打磨粉尘、切割粉尘、焊接烟尘经动力风机进行收集处理后经屋顶排气筒排放；</w:t>
            </w:r>
          </w:p>
          <w:p w14:paraId="263FD15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油烟废气经油烟净化装置处理后排放</w:t>
            </w:r>
          </w:p>
        </w:tc>
      </w:tr>
      <w:tr w14:paraId="29F549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5AB92B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4C5E89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50CF870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1F2E486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3C4113D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12.315t/a</w:t>
            </w:r>
          </w:p>
        </w:tc>
        <w:tc>
          <w:tcPr>
            <w:tcW w:w="8034" w:type="dxa"/>
            <w:vMerge w:val="restart"/>
            <w:tcBorders>
              <w:tl2br w:val="nil"/>
              <w:tr2bl w:val="nil"/>
            </w:tcBorders>
            <w:vAlign w:val="center"/>
          </w:tcPr>
          <w:p w14:paraId="1FCAC39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危险固废分类收集暂存于危废暂存间，交由资质单位进行处理；</w:t>
            </w:r>
          </w:p>
          <w:p w14:paraId="37D40A5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焊渣、钢屑出售综合利用；</w:t>
            </w:r>
          </w:p>
          <w:p w14:paraId="3E69D21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2CECE3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082E75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F68483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7B5104E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1620FBF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16F06B5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0.345t/a</w:t>
            </w:r>
          </w:p>
        </w:tc>
        <w:tc>
          <w:tcPr>
            <w:tcW w:w="8034" w:type="dxa"/>
            <w:vMerge w:val="continue"/>
            <w:tcBorders>
              <w:tl2br w:val="nil"/>
              <w:tr2bl w:val="nil"/>
            </w:tcBorders>
            <w:vAlign w:val="center"/>
          </w:tcPr>
          <w:p w14:paraId="0DA1947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7BC07C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1B606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23</w:t>
            </w:r>
          </w:p>
        </w:tc>
        <w:tc>
          <w:tcPr>
            <w:tcW w:w="1165" w:type="dxa"/>
            <w:vMerge w:val="restart"/>
            <w:tcBorders>
              <w:tl2br w:val="nil"/>
              <w:tr2bl w:val="nil"/>
            </w:tcBorders>
            <w:vAlign w:val="center"/>
          </w:tcPr>
          <w:p w14:paraId="1D17EA9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湖南开磷雁峰塔涂料有限公司</w:t>
            </w:r>
          </w:p>
        </w:tc>
        <w:tc>
          <w:tcPr>
            <w:tcW w:w="1134" w:type="dxa"/>
            <w:tcBorders>
              <w:tl2br w:val="nil"/>
              <w:tr2bl w:val="nil"/>
            </w:tcBorders>
            <w:vAlign w:val="center"/>
          </w:tcPr>
          <w:p w14:paraId="5A555A4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003DD0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COD、SS、石油类、氨氮</w:t>
            </w:r>
          </w:p>
        </w:tc>
        <w:tc>
          <w:tcPr>
            <w:tcW w:w="1559" w:type="dxa"/>
            <w:tcBorders>
              <w:tl2br w:val="nil"/>
              <w:tr2bl w:val="nil"/>
            </w:tcBorders>
            <w:vAlign w:val="center"/>
          </w:tcPr>
          <w:p w14:paraId="7898DD5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43718.4m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4A30531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酯化废水经收集后用焚烧炉处理；</w:t>
            </w:r>
          </w:p>
          <w:p w14:paraId="6C01B2A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机泵冷却水与车间地面冲洗废水经隔油池处理达标后排入经开区污水管网进入松木污水处理厂进行处理；</w:t>
            </w:r>
          </w:p>
          <w:p w14:paraId="38669BA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生活污水经化粪池预处理后进入经开区污水管网，最终进入松木污水处理厂进行处理</w:t>
            </w:r>
          </w:p>
        </w:tc>
      </w:tr>
      <w:tr w14:paraId="02549E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1F119C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6D52B7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E6CA9F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7650366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甲苯、二甲苯、粉尘等</w:t>
            </w:r>
          </w:p>
        </w:tc>
        <w:tc>
          <w:tcPr>
            <w:tcW w:w="1559" w:type="dxa"/>
            <w:tcBorders>
              <w:tl2br w:val="nil"/>
              <w:tr2bl w:val="nil"/>
            </w:tcBorders>
            <w:vAlign w:val="center"/>
          </w:tcPr>
          <w:p w14:paraId="1691D29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14500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59DCA01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热炼车间有机废气通过“喷淋+催化氧化+活性炭吸附”处理后经25m排气筒排放；</w:t>
            </w:r>
          </w:p>
          <w:p w14:paraId="62E2A58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色漆车间加料含尘废气采用集气罩强制抽排风至废气净化系统，经布袋除尘后无组织排放；</w:t>
            </w:r>
          </w:p>
          <w:p w14:paraId="7AD675D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色漆车间工艺尾气经活性炭吸附处理后经25m排气筒排放；</w:t>
            </w:r>
          </w:p>
          <w:p w14:paraId="1F566FC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燃气锅炉烟气通过18m排气筒排放；</w:t>
            </w:r>
          </w:p>
          <w:p w14:paraId="11611D2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焚烧炉烟气通过16m排气筒排放</w:t>
            </w:r>
          </w:p>
        </w:tc>
      </w:tr>
      <w:tr w14:paraId="17465E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C3B3E0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C9362A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35F5830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325E714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2BF5BB0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11.25t/a</w:t>
            </w:r>
          </w:p>
        </w:tc>
        <w:tc>
          <w:tcPr>
            <w:tcW w:w="8034" w:type="dxa"/>
            <w:vMerge w:val="restart"/>
            <w:tcBorders>
              <w:tl2br w:val="nil"/>
              <w:tr2bl w:val="nil"/>
            </w:tcBorders>
            <w:vAlign w:val="center"/>
          </w:tcPr>
          <w:p w14:paraId="6376A9A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过滤渣、设备清洗废液、废活性炭、布袋收尘灰、废导热油、废劳保用品等危险废物委托有资质单位进行处理；</w:t>
            </w:r>
          </w:p>
          <w:p w14:paraId="4FBE0CA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布袋收尘灰回用；</w:t>
            </w:r>
          </w:p>
          <w:p w14:paraId="13B3C74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废包装材料由厂家进行回收或委托资质单位进行处理；</w:t>
            </w:r>
          </w:p>
          <w:p w14:paraId="5946DBA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2BABC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8A6AF0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91D771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6D8CBC7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645813C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6F6F052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8t/a</w:t>
            </w:r>
          </w:p>
        </w:tc>
        <w:tc>
          <w:tcPr>
            <w:tcW w:w="8034" w:type="dxa"/>
            <w:vMerge w:val="continue"/>
            <w:tcBorders>
              <w:tl2br w:val="nil"/>
              <w:tr2bl w:val="nil"/>
            </w:tcBorders>
            <w:vAlign w:val="center"/>
          </w:tcPr>
          <w:p w14:paraId="60A0C11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6C0B6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406B7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24</w:t>
            </w:r>
          </w:p>
        </w:tc>
        <w:tc>
          <w:tcPr>
            <w:tcW w:w="1165" w:type="dxa"/>
            <w:vMerge w:val="restart"/>
            <w:tcBorders>
              <w:tl2br w:val="nil"/>
              <w:tr2bl w:val="nil"/>
            </w:tcBorders>
            <w:vAlign w:val="center"/>
          </w:tcPr>
          <w:p w14:paraId="00C5405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湖南中航紧固系统有限公司</w:t>
            </w:r>
          </w:p>
        </w:tc>
        <w:tc>
          <w:tcPr>
            <w:tcW w:w="1134" w:type="dxa"/>
            <w:tcBorders>
              <w:tl2br w:val="nil"/>
              <w:tr2bl w:val="nil"/>
            </w:tcBorders>
            <w:vAlign w:val="center"/>
          </w:tcPr>
          <w:p w14:paraId="26FE50E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7229CA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石油类、SS、COD</w:t>
            </w:r>
          </w:p>
        </w:tc>
        <w:tc>
          <w:tcPr>
            <w:tcW w:w="1559" w:type="dxa"/>
            <w:tcBorders>
              <w:tl2br w:val="nil"/>
              <w:tr2bl w:val="nil"/>
            </w:tcBorders>
            <w:vAlign w:val="center"/>
          </w:tcPr>
          <w:p w14:paraId="28C4658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50820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75CC55B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车间地面含油废水经隔油处理后与经化粪池简单处理后的生活污水一起排入经开区污水管网，进入松木污水处理厂进行处理</w:t>
            </w:r>
          </w:p>
        </w:tc>
      </w:tr>
      <w:tr w14:paraId="18624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702173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E0001D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556097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9C20C9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非甲烷总烃、油烟</w:t>
            </w:r>
          </w:p>
        </w:tc>
        <w:tc>
          <w:tcPr>
            <w:tcW w:w="1559" w:type="dxa"/>
            <w:tcBorders>
              <w:tl2br w:val="nil"/>
              <w:tr2bl w:val="nil"/>
            </w:tcBorders>
            <w:vAlign w:val="center"/>
          </w:tcPr>
          <w:p w14:paraId="2839205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695m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34E47C9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有机废气经集气罩收集后送至活性炭吸附塔进行处理，处理后的废气经20m排气筒排放；</w:t>
            </w:r>
          </w:p>
          <w:p w14:paraId="1E9485A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食堂油烟废气经静电油烟净化装置处理后高空排放</w:t>
            </w:r>
          </w:p>
        </w:tc>
      </w:tr>
      <w:tr w14:paraId="583704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2BA456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8A4790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3AB11B1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2A8CC10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E6123B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320t/a</w:t>
            </w:r>
          </w:p>
        </w:tc>
        <w:tc>
          <w:tcPr>
            <w:tcW w:w="8034" w:type="dxa"/>
            <w:vMerge w:val="restart"/>
            <w:tcBorders>
              <w:tl2br w:val="nil"/>
              <w:tr2bl w:val="nil"/>
            </w:tcBorders>
            <w:vAlign w:val="center"/>
          </w:tcPr>
          <w:p w14:paraId="7D70966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金属废料、废活性炭由厂家进行回收处理；</w:t>
            </w:r>
          </w:p>
          <w:p w14:paraId="3200C47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废油重复利用，废油渣过滤后交给电镀中心</w:t>
            </w:r>
            <w:r>
              <w:rPr>
                <w:rFonts w:hint="default" w:ascii="Times New Roman" w:hAnsi="Times New Roman" w:eastAsia="宋体" w:cs="Times New Roman"/>
                <w:szCs w:val="21"/>
                <w:lang w:eastAsia="zh-CN"/>
              </w:rPr>
              <w:t>处理</w:t>
            </w:r>
            <w:r>
              <w:rPr>
                <w:rFonts w:hint="default" w:ascii="Times New Roman" w:hAnsi="Times New Roman" w:eastAsia="宋体" w:cs="Times New Roman"/>
                <w:szCs w:val="21"/>
              </w:rPr>
              <w:t>；</w:t>
            </w:r>
          </w:p>
          <w:p w14:paraId="266087E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53199B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67AEAB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356366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31B1135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1B47633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220651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124t/a</w:t>
            </w:r>
          </w:p>
        </w:tc>
        <w:tc>
          <w:tcPr>
            <w:tcW w:w="8034" w:type="dxa"/>
            <w:vMerge w:val="continue"/>
            <w:tcBorders>
              <w:tl2br w:val="nil"/>
              <w:tr2bl w:val="nil"/>
            </w:tcBorders>
            <w:vAlign w:val="center"/>
          </w:tcPr>
          <w:p w14:paraId="30A4AE5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2DBD4C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6FD7D7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25</w:t>
            </w:r>
          </w:p>
        </w:tc>
        <w:tc>
          <w:tcPr>
            <w:tcW w:w="1165" w:type="dxa"/>
            <w:vMerge w:val="restart"/>
            <w:tcBorders>
              <w:tl2br w:val="nil"/>
              <w:tr2bl w:val="nil"/>
            </w:tcBorders>
            <w:vAlign w:val="center"/>
          </w:tcPr>
          <w:p w14:paraId="6A0136C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湖南中航电镀中心有限公司</w:t>
            </w:r>
          </w:p>
        </w:tc>
        <w:tc>
          <w:tcPr>
            <w:tcW w:w="1134" w:type="dxa"/>
            <w:tcBorders>
              <w:tl2br w:val="nil"/>
              <w:tr2bl w:val="nil"/>
            </w:tcBorders>
            <w:vAlign w:val="center"/>
          </w:tcPr>
          <w:p w14:paraId="675B768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DB9F2F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重金属离子、COD、SS等</w:t>
            </w:r>
          </w:p>
        </w:tc>
        <w:tc>
          <w:tcPr>
            <w:tcW w:w="1559" w:type="dxa"/>
            <w:tcBorders>
              <w:tl2br w:val="nil"/>
              <w:tr2bl w:val="nil"/>
            </w:tcBorders>
            <w:vAlign w:val="center"/>
          </w:tcPr>
          <w:p w14:paraId="3F22E93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45000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7388A21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含铬废水经车间专用的还原、混凝、絮凝、沉淀后进入厂区污水处理站清水池；</w:t>
            </w:r>
          </w:p>
          <w:p w14:paraId="225A7B4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含镍废水、含锌废水经各自车间专用的氧化破铬、混凝、絮凝、沉淀后进入厂区污水处理站清水池；</w:t>
            </w:r>
          </w:p>
          <w:p w14:paraId="7FD100F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前处理废水经专用的三级油水分离隔油、微电解、氧化、还原、混凝、絮凝、沉淀后与经专用的混凝、絮凝、沉淀后的混排废水一并进入厂区污水处理站（工艺为水解酸化+厌氧+缺氧+好氧+MBR膜）处理后进入</w:t>
            </w:r>
            <w:r>
              <w:rPr>
                <w:rFonts w:hint="default" w:ascii="Times New Roman" w:hAnsi="Times New Roman" w:eastAsia="宋体" w:cs="Times New Roman"/>
                <w:szCs w:val="21"/>
                <w:lang w:eastAsia="zh-CN"/>
              </w:rPr>
              <w:t>污水处理站</w:t>
            </w:r>
            <w:r>
              <w:rPr>
                <w:rFonts w:hint="default" w:ascii="Times New Roman" w:hAnsi="Times New Roman" w:eastAsia="宋体" w:cs="Times New Roman"/>
                <w:szCs w:val="21"/>
              </w:rPr>
              <w:t>清水池；</w:t>
            </w:r>
          </w:p>
          <w:p w14:paraId="5359CCE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清水池废水通过总排口排入园区污水管网，再进入松木污水处理厂处理达标后排入湘江；</w:t>
            </w:r>
          </w:p>
          <w:p w14:paraId="1B69187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生活污水经化粪池预处理后经经开区污水管网进松木污水处理厂进行处理</w:t>
            </w:r>
          </w:p>
        </w:tc>
      </w:tr>
      <w:tr w14:paraId="2D463E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26E409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1DDEB7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B6C71A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368DB2B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盐酸雾、铬酸雾、粉尘等</w:t>
            </w:r>
          </w:p>
        </w:tc>
        <w:tc>
          <w:tcPr>
            <w:tcW w:w="1559" w:type="dxa"/>
            <w:tcBorders>
              <w:tl2br w:val="nil"/>
              <w:tr2bl w:val="nil"/>
            </w:tcBorders>
            <w:vAlign w:val="center"/>
          </w:tcPr>
          <w:p w14:paraId="683BC1B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F70789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碱锌电镀生产线、磷化氧化生产线产生的盐酸雾、碱性废气采用集气罩+二级碱液喷淋处理后经25m排气筒排放；</w:t>
            </w:r>
          </w:p>
          <w:p w14:paraId="40F000F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电镀镍、铬生产线产生的盐酸雾、碱性废气用集气罩+二级碱液喷淋处理后经25m排气筒排放；</w:t>
            </w:r>
          </w:p>
          <w:p w14:paraId="0374707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电镀镍、铬生产线产生的铬酸雾废气采用集气罩+二级碱液吸收处理后经25m排气筒排放；</w:t>
            </w:r>
          </w:p>
          <w:p w14:paraId="166DCC5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达克罗车间抛丸粉尘经布袋除尘处理后经15m排气筒排放（共4个）</w:t>
            </w:r>
          </w:p>
        </w:tc>
      </w:tr>
      <w:tr w14:paraId="16E8D8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C017E7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A1BC51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2E08F4E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6CA04AD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5B1B9B3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25t/a</w:t>
            </w:r>
          </w:p>
        </w:tc>
        <w:tc>
          <w:tcPr>
            <w:tcW w:w="8034" w:type="dxa"/>
            <w:vMerge w:val="restart"/>
            <w:tcBorders>
              <w:tl2br w:val="nil"/>
              <w:tr2bl w:val="nil"/>
            </w:tcBorders>
            <w:vAlign w:val="center"/>
          </w:tcPr>
          <w:p w14:paraId="4707524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抛丸机除尘粉尘外卖综合利用；</w:t>
            </w:r>
          </w:p>
          <w:p w14:paraId="5476B43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47A3E1F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电镀槽渣、除锈槽渣、钝化槽渣、废水处理污泥、废化学品包装袋（桶）等危险废物送由有资质单位处理；</w:t>
            </w:r>
          </w:p>
          <w:p w14:paraId="3EFF55A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倒槽废液经回收重金属后如厂区电镀废水处理系统处理；</w:t>
            </w:r>
          </w:p>
          <w:p w14:paraId="3BBD951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废油送湖南中航紧固系统公司回收废油设施回收；</w:t>
            </w:r>
          </w:p>
          <w:p w14:paraId="6C66BB4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废离子交换树脂由生产厂家回收利用</w:t>
            </w:r>
          </w:p>
        </w:tc>
      </w:tr>
      <w:tr w14:paraId="6AB2D8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4F7988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FC6167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2B645A8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12B576C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6820D11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24.14t/a</w:t>
            </w:r>
          </w:p>
        </w:tc>
        <w:tc>
          <w:tcPr>
            <w:tcW w:w="8034" w:type="dxa"/>
            <w:vMerge w:val="continue"/>
            <w:tcBorders>
              <w:tl2br w:val="nil"/>
              <w:tr2bl w:val="nil"/>
            </w:tcBorders>
            <w:vAlign w:val="center"/>
          </w:tcPr>
          <w:p w14:paraId="711C1C6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5C096B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665CAC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26</w:t>
            </w:r>
          </w:p>
        </w:tc>
        <w:tc>
          <w:tcPr>
            <w:tcW w:w="1165" w:type="dxa"/>
            <w:vMerge w:val="restart"/>
            <w:tcBorders>
              <w:tl2br w:val="nil"/>
              <w:tr2bl w:val="nil"/>
            </w:tcBorders>
            <w:vAlign w:val="center"/>
          </w:tcPr>
          <w:p w14:paraId="6D2643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衡阳市虹腾建材实业有限公司</w:t>
            </w:r>
          </w:p>
        </w:tc>
        <w:tc>
          <w:tcPr>
            <w:tcW w:w="1134" w:type="dxa"/>
            <w:tcBorders>
              <w:tl2br w:val="nil"/>
              <w:tr2bl w:val="nil"/>
            </w:tcBorders>
            <w:vAlign w:val="center"/>
          </w:tcPr>
          <w:p w14:paraId="47E2458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880F2F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COD、SS、BOD</w:t>
            </w:r>
            <w:r>
              <w:rPr>
                <w:rFonts w:hint="default" w:ascii="Times New Roman" w:hAnsi="Times New Roman" w:eastAsia="宋体" w:cs="Times New Roman"/>
                <w:szCs w:val="21"/>
                <w:vertAlign w:val="subscript"/>
              </w:rPr>
              <w:t>5</w:t>
            </w:r>
            <w:r>
              <w:rPr>
                <w:rFonts w:hint="default" w:ascii="Times New Roman" w:hAnsi="Times New Roman" w:eastAsia="宋体" w:cs="Times New Roman"/>
                <w:szCs w:val="21"/>
              </w:rPr>
              <w:t>、氨氮</w:t>
            </w:r>
          </w:p>
        </w:tc>
        <w:tc>
          <w:tcPr>
            <w:tcW w:w="1559" w:type="dxa"/>
            <w:tcBorders>
              <w:tl2br w:val="nil"/>
              <w:tr2bl w:val="nil"/>
            </w:tcBorders>
            <w:vAlign w:val="center"/>
          </w:tcPr>
          <w:p w14:paraId="671D6A8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7F943F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生活污水经化粪池预处理后经经开区污水管网进入松木污水处理厂进行处理</w:t>
            </w:r>
          </w:p>
        </w:tc>
      </w:tr>
      <w:tr w14:paraId="2059C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10975D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023687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085E97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058731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w:t>
            </w:r>
          </w:p>
        </w:tc>
        <w:tc>
          <w:tcPr>
            <w:tcW w:w="1559" w:type="dxa"/>
            <w:tcBorders>
              <w:tl2br w:val="nil"/>
              <w:tr2bl w:val="nil"/>
            </w:tcBorders>
            <w:vAlign w:val="center"/>
          </w:tcPr>
          <w:p w14:paraId="25EE8B0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699B1D5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粉尘经集气罩收集后高空排放；</w:t>
            </w:r>
          </w:p>
          <w:p w14:paraId="52B412B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食堂油烟经集气罩收集后经油烟净化器处理后达标排放</w:t>
            </w:r>
          </w:p>
        </w:tc>
      </w:tr>
      <w:tr w14:paraId="15723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F36CF6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AA0911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757626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E137EF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100C0BE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2C7C79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2EBC50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9D1640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27</w:t>
            </w:r>
          </w:p>
        </w:tc>
        <w:tc>
          <w:tcPr>
            <w:tcW w:w="1165" w:type="dxa"/>
            <w:vMerge w:val="restart"/>
            <w:tcBorders>
              <w:tl2br w:val="nil"/>
              <w:tr2bl w:val="nil"/>
            </w:tcBorders>
            <w:vAlign w:val="center"/>
          </w:tcPr>
          <w:p w14:paraId="53AF8D3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衡阳市金化高压容器有限公司</w:t>
            </w:r>
          </w:p>
        </w:tc>
        <w:tc>
          <w:tcPr>
            <w:tcW w:w="1134" w:type="dxa"/>
            <w:tcBorders>
              <w:tl2br w:val="nil"/>
              <w:tr2bl w:val="nil"/>
            </w:tcBorders>
            <w:vAlign w:val="center"/>
          </w:tcPr>
          <w:p w14:paraId="56CEB4B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B2D32B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COD、SS、BOD</w:t>
            </w:r>
            <w:r>
              <w:rPr>
                <w:rFonts w:hint="default" w:ascii="Times New Roman" w:hAnsi="Times New Roman" w:eastAsia="宋体" w:cs="Times New Roman"/>
                <w:szCs w:val="21"/>
                <w:vertAlign w:val="subscript"/>
              </w:rPr>
              <w:t>5</w:t>
            </w:r>
            <w:r>
              <w:rPr>
                <w:rFonts w:hint="default" w:ascii="Times New Roman" w:hAnsi="Times New Roman" w:eastAsia="宋体" w:cs="Times New Roman"/>
                <w:szCs w:val="21"/>
              </w:rPr>
              <w:t>、NH3-N</w:t>
            </w:r>
          </w:p>
        </w:tc>
        <w:tc>
          <w:tcPr>
            <w:tcW w:w="1559" w:type="dxa"/>
            <w:tcBorders>
              <w:tl2br w:val="nil"/>
              <w:tr2bl w:val="nil"/>
            </w:tcBorders>
            <w:vAlign w:val="center"/>
          </w:tcPr>
          <w:p w14:paraId="2E68521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55102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0051DF9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地面冲洗废水、清洁废水经箱式压滤机处理后经经开区污水管网进入松木污水处理厂进行处理；</w:t>
            </w:r>
          </w:p>
          <w:p w14:paraId="20C1EFF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生活污水经化粪池预处理后经经开区污水管网进入松木污水处理厂进行处理</w:t>
            </w:r>
          </w:p>
        </w:tc>
      </w:tr>
      <w:tr w14:paraId="4AA593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015F25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815D2E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464788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3F3D60C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粉尘、油烟、有机废气</w:t>
            </w:r>
          </w:p>
        </w:tc>
        <w:tc>
          <w:tcPr>
            <w:tcW w:w="1559" w:type="dxa"/>
            <w:tcBorders>
              <w:tl2br w:val="nil"/>
              <w:tr2bl w:val="nil"/>
            </w:tcBorders>
            <w:vAlign w:val="center"/>
          </w:tcPr>
          <w:p w14:paraId="43CA22B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7ACE667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油烟经油烟净化器处理后经排烟竖井引至屋顶排放；</w:t>
            </w:r>
          </w:p>
          <w:p w14:paraId="776214F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抛丸粉尘经集气罩+布袋除尘处理后经15m高排气筒排放；</w:t>
            </w:r>
          </w:p>
          <w:p w14:paraId="48BB2D2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喷漆废气经集气罩+水帘+活性炭吸附处理后经15m排气筒排放</w:t>
            </w:r>
          </w:p>
        </w:tc>
      </w:tr>
      <w:tr w14:paraId="2CE51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8170C8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1745BC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3CACA0D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8D6B94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BF8C40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1141.376t/a</w:t>
            </w:r>
          </w:p>
        </w:tc>
        <w:tc>
          <w:tcPr>
            <w:tcW w:w="8034" w:type="dxa"/>
            <w:vMerge w:val="restart"/>
            <w:tcBorders>
              <w:tl2br w:val="nil"/>
              <w:tr2bl w:val="nil"/>
            </w:tcBorders>
            <w:vAlign w:val="center"/>
          </w:tcPr>
          <w:p w14:paraId="28ADB4A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粉尘经收集后外售给衡阳钢管厂；</w:t>
            </w:r>
          </w:p>
          <w:p w14:paraId="28E8050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油漆渣、废酒精、铅、铬、镉混合废液、汞、砷混合废液、二硫化碳、三氯甲烷、四氯化碳、正丁醇混合废液等危险固废暂存于危废暂存间，达到一定数量后交由资质单位进行处理；</w:t>
            </w:r>
          </w:p>
          <w:p w14:paraId="779CC92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7303A0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45DE3E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DD3B20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2BEF870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7DE8A94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2B488EB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2.7t/a</w:t>
            </w:r>
          </w:p>
        </w:tc>
        <w:tc>
          <w:tcPr>
            <w:tcW w:w="8034" w:type="dxa"/>
            <w:vMerge w:val="continue"/>
            <w:tcBorders>
              <w:tl2br w:val="nil"/>
              <w:tr2bl w:val="nil"/>
            </w:tcBorders>
            <w:vAlign w:val="center"/>
          </w:tcPr>
          <w:p w14:paraId="06021B1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5BFCD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264264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28</w:t>
            </w:r>
          </w:p>
        </w:tc>
        <w:tc>
          <w:tcPr>
            <w:tcW w:w="1165" w:type="dxa"/>
            <w:vMerge w:val="restart"/>
            <w:tcBorders>
              <w:tl2br w:val="nil"/>
              <w:tr2bl w:val="nil"/>
            </w:tcBorders>
            <w:vAlign w:val="center"/>
          </w:tcPr>
          <w:p w14:paraId="1F38347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湖南湘硕化工有限公司</w:t>
            </w:r>
          </w:p>
        </w:tc>
        <w:tc>
          <w:tcPr>
            <w:tcW w:w="1134" w:type="dxa"/>
            <w:tcBorders>
              <w:tl2br w:val="nil"/>
              <w:tr2bl w:val="nil"/>
            </w:tcBorders>
            <w:vAlign w:val="center"/>
          </w:tcPr>
          <w:p w14:paraId="1CEBE44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15E716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COD、pH、氨氮、SS</w:t>
            </w:r>
          </w:p>
        </w:tc>
        <w:tc>
          <w:tcPr>
            <w:tcW w:w="1559" w:type="dxa"/>
            <w:tcBorders>
              <w:tl2br w:val="nil"/>
              <w:tr2bl w:val="nil"/>
            </w:tcBorders>
            <w:vAlign w:val="center"/>
          </w:tcPr>
          <w:p w14:paraId="6DF8A5E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11758t/a</w:t>
            </w:r>
          </w:p>
        </w:tc>
        <w:tc>
          <w:tcPr>
            <w:tcW w:w="8034" w:type="dxa"/>
            <w:tcBorders>
              <w:tl2br w:val="nil"/>
              <w:tr2bl w:val="nil"/>
            </w:tcBorders>
            <w:vAlign w:val="center"/>
          </w:tcPr>
          <w:p w14:paraId="105DFC8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硫代卡巴肼、亚硝基二苯胺和硫酸肼母液蒸馏脱水产生的冷凝废水、硫化碱工序母液浓缩蒸发冷凝水经酸碱中和处理后经园区污水管网送松木污水处理厂处理；</w:t>
            </w:r>
          </w:p>
          <w:p w14:paraId="159E5D0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锅炉软化水处理产生的浓水经酸碱中和处理后排入雨水管网；</w:t>
            </w:r>
          </w:p>
          <w:p w14:paraId="0AD0390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车间保洁废水经中和、鸟粪石沉淀处理后经园区污水管网送松木污水处理厂处理；</w:t>
            </w:r>
          </w:p>
          <w:p w14:paraId="203A7C6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生活污水经化粪池处理后经污水管网进入松木污水处理厂</w:t>
            </w:r>
          </w:p>
        </w:tc>
      </w:tr>
      <w:tr w14:paraId="2B01AB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E36F97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C3F732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56F6D0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18D18FC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粉尘、VOC</w:t>
            </w:r>
            <w:r>
              <w:rPr>
                <w:rFonts w:hint="default" w:ascii="Times New Roman" w:hAnsi="Times New Roman" w:eastAsia="宋体" w:cs="Times New Roman"/>
                <w:szCs w:val="21"/>
                <w:vertAlign w:val="subscript"/>
              </w:rPr>
              <w:t>S</w:t>
            </w:r>
            <w:r>
              <w:rPr>
                <w:rFonts w:hint="default" w:ascii="Times New Roman" w:hAnsi="Times New Roman" w:eastAsia="宋体" w:cs="Times New Roman"/>
                <w:szCs w:val="21"/>
              </w:rPr>
              <w:t>、硫化氢、SO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r>
              <w:rPr>
                <w:rFonts w:hint="default" w:ascii="Times New Roman" w:hAnsi="Times New Roman" w:eastAsia="宋体" w:cs="Times New Roman"/>
                <w:szCs w:val="21"/>
              </w:rPr>
              <w:t>、烟尘</w:t>
            </w:r>
          </w:p>
        </w:tc>
        <w:tc>
          <w:tcPr>
            <w:tcW w:w="1559" w:type="dxa"/>
            <w:tcBorders>
              <w:tl2br w:val="nil"/>
              <w:tr2bl w:val="nil"/>
            </w:tcBorders>
            <w:vAlign w:val="center"/>
          </w:tcPr>
          <w:p w14:paraId="204876D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43AF334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三氮唑钾盐/钠盐产品干燥及筛分产生的含尘废气经旋风除尘+布袋除尘净化处理后由15m高排气筒排放；</w:t>
            </w:r>
          </w:p>
          <w:p w14:paraId="09AEFAE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吩噻嗪产品粉碎产生的含尘废气</w:t>
            </w:r>
            <w:r>
              <w:rPr>
                <w:rFonts w:hint="default" w:ascii="Times New Roman" w:hAnsi="Times New Roman" w:eastAsia="宋体" w:cs="Times New Roman"/>
                <w:szCs w:val="21"/>
                <w:lang w:eastAsia="zh-CN"/>
              </w:rPr>
              <w:t>经</w:t>
            </w:r>
            <w:r>
              <w:rPr>
                <w:rFonts w:hint="default" w:ascii="Times New Roman" w:hAnsi="Times New Roman" w:eastAsia="宋体" w:cs="Times New Roman"/>
                <w:szCs w:val="21"/>
              </w:rPr>
              <w:t>旋风除尘+布袋除尘净化处理后由15m高排气筒排放；</w:t>
            </w:r>
          </w:p>
          <w:p w14:paraId="2E20ED3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甲酸工序酸化釜含酸废气及受槽废气经四级水吸收塔处理后由20m高排气筒排放；</w:t>
            </w:r>
          </w:p>
          <w:p w14:paraId="6B8B5B1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三氮唑成盐釜尾气、氨水分离系统尾气、氨水配置系统尾气等含氨废气经甲酸吸收、水吸收后经20m排气筒排放；</w:t>
            </w:r>
          </w:p>
          <w:p w14:paraId="178DAA7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硫化碱工序硫化氢尾气经碱液吸收塔处理后由25m排气筒排放；</w:t>
            </w:r>
          </w:p>
          <w:p w14:paraId="671C52D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天然气锅炉烟气经由8m排气筒排放；</w:t>
            </w:r>
          </w:p>
          <w:p w14:paraId="1388633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食堂油烟废气净化处理后通过专用排气筒至屋顶高空排放</w:t>
            </w:r>
          </w:p>
        </w:tc>
      </w:tr>
      <w:tr w14:paraId="34BA6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68556F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BEF889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3424917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154E772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35600F0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28.8t/a</w:t>
            </w:r>
          </w:p>
        </w:tc>
        <w:tc>
          <w:tcPr>
            <w:tcW w:w="8034" w:type="dxa"/>
            <w:tcBorders>
              <w:tl2br w:val="nil"/>
              <w:tr2bl w:val="nil"/>
            </w:tcBorders>
            <w:vAlign w:val="center"/>
          </w:tcPr>
          <w:p w14:paraId="3C0AFD9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269D95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EEE210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304FEE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0152841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329BCB0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7C988BD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298.53t/a</w:t>
            </w:r>
          </w:p>
        </w:tc>
        <w:tc>
          <w:tcPr>
            <w:tcW w:w="8034" w:type="dxa"/>
            <w:tcBorders>
              <w:tl2br w:val="nil"/>
              <w:tr2bl w:val="nil"/>
            </w:tcBorders>
            <w:vAlign w:val="center"/>
          </w:tcPr>
          <w:p w14:paraId="5CB55D0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厂区污水处理产生的沉淀渣、N-亚硝基二苯胺车间蒸馏废液等交由有资质单位处置；</w:t>
            </w:r>
          </w:p>
          <w:p w14:paraId="783C943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废弃包装材料由厂家回收处理</w:t>
            </w:r>
          </w:p>
        </w:tc>
      </w:tr>
      <w:tr w14:paraId="162950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DF7726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29</w:t>
            </w:r>
          </w:p>
        </w:tc>
        <w:tc>
          <w:tcPr>
            <w:tcW w:w="1165" w:type="dxa"/>
            <w:vMerge w:val="restart"/>
            <w:tcBorders>
              <w:tl2br w:val="nil"/>
              <w:tr2bl w:val="nil"/>
            </w:tcBorders>
            <w:vAlign w:val="center"/>
          </w:tcPr>
          <w:p w14:paraId="6E7BEEE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衡阳凌云特种材料有限公司</w:t>
            </w:r>
          </w:p>
        </w:tc>
        <w:tc>
          <w:tcPr>
            <w:tcW w:w="1134" w:type="dxa"/>
            <w:tcBorders>
              <w:tl2br w:val="nil"/>
              <w:tr2bl w:val="nil"/>
            </w:tcBorders>
            <w:vAlign w:val="center"/>
          </w:tcPr>
          <w:p w14:paraId="7FD457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FEAABB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COD、SS、动植物油</w:t>
            </w:r>
          </w:p>
        </w:tc>
        <w:tc>
          <w:tcPr>
            <w:tcW w:w="1559" w:type="dxa"/>
            <w:tcBorders>
              <w:tl2br w:val="nil"/>
              <w:tr2bl w:val="nil"/>
            </w:tcBorders>
            <w:vAlign w:val="center"/>
          </w:tcPr>
          <w:p w14:paraId="3A76B2C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4993A0D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硫酸钡反应废水经中和处理后和地面清洗水排入厂区沉淀池，经处理后排入松木污水处理厂处理；</w:t>
            </w:r>
          </w:p>
          <w:p w14:paraId="5E76F5D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反应釜冷却水循环使用；</w:t>
            </w:r>
          </w:p>
          <w:p w14:paraId="7031E60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涂料制备反应废水用桶集中收集，蒸馏回收其醇类物质；</w:t>
            </w:r>
          </w:p>
          <w:p w14:paraId="215C8CF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生活污水（食堂废水经隔油）经化粪池处理后进入松木污水处理厂处理</w:t>
            </w:r>
          </w:p>
        </w:tc>
      </w:tr>
      <w:tr w14:paraId="1F1703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933DBF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59CB87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5756BC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51F2E00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硫酸雾、粉尘</w:t>
            </w:r>
          </w:p>
        </w:tc>
        <w:tc>
          <w:tcPr>
            <w:tcW w:w="1559" w:type="dxa"/>
            <w:tcBorders>
              <w:tl2br w:val="nil"/>
              <w:tr2bl w:val="nil"/>
            </w:tcBorders>
            <w:vAlign w:val="center"/>
          </w:tcPr>
          <w:p w14:paraId="79EBF0A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5FCEDD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涂料浸涂废气采用光解处理后经15m排气筒排放；</w:t>
            </w:r>
          </w:p>
          <w:p w14:paraId="51BE089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硫酸钡破碎含尘废气采用布袋除尘器处理后经15m排气筒排放；</w:t>
            </w:r>
          </w:p>
          <w:p w14:paraId="6147415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硫酸雾废气采用集气罩收集+碱液吸收处理后经15m排气筒排放；</w:t>
            </w:r>
          </w:p>
        </w:tc>
      </w:tr>
      <w:tr w14:paraId="11EA4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B2082A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604F20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7F99076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8562CC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F7ECFC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41t/a</w:t>
            </w:r>
          </w:p>
        </w:tc>
        <w:tc>
          <w:tcPr>
            <w:tcW w:w="8034" w:type="dxa"/>
            <w:vMerge w:val="restart"/>
            <w:tcBorders>
              <w:tl2br w:val="nil"/>
              <w:tr2bl w:val="nil"/>
            </w:tcBorders>
            <w:vAlign w:val="center"/>
          </w:tcPr>
          <w:p w14:paraId="4B89477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 xml:space="preserve">生活垃圾交由环卫人员清运； </w:t>
            </w:r>
          </w:p>
          <w:p w14:paraId="71EBD4B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原料包装桶收集于仓库，出售给废品站；</w:t>
            </w:r>
          </w:p>
          <w:p w14:paraId="5C1C396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废危险化学品包装袋由厂家进行回收利用</w:t>
            </w:r>
          </w:p>
        </w:tc>
      </w:tr>
      <w:tr w14:paraId="54A052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EAAA82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F1998A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573FD44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0DB7293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4F12D8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2.4t/a</w:t>
            </w:r>
          </w:p>
        </w:tc>
        <w:tc>
          <w:tcPr>
            <w:tcW w:w="8034" w:type="dxa"/>
            <w:vMerge w:val="continue"/>
            <w:tcBorders>
              <w:tl2br w:val="nil"/>
              <w:tr2bl w:val="nil"/>
            </w:tcBorders>
            <w:vAlign w:val="center"/>
          </w:tcPr>
          <w:p w14:paraId="3D87B4F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1AE0DE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E090ED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30</w:t>
            </w:r>
          </w:p>
        </w:tc>
        <w:tc>
          <w:tcPr>
            <w:tcW w:w="1165" w:type="dxa"/>
            <w:vMerge w:val="restart"/>
            <w:tcBorders>
              <w:tl2br w:val="nil"/>
              <w:tr2bl w:val="nil"/>
            </w:tcBorders>
            <w:vAlign w:val="center"/>
          </w:tcPr>
          <w:p w14:paraId="4E50E9B2">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衡阳市鑫晟新能源有限公司</w:t>
            </w:r>
          </w:p>
        </w:tc>
        <w:tc>
          <w:tcPr>
            <w:tcW w:w="1134" w:type="dxa"/>
            <w:tcBorders>
              <w:tl2br w:val="nil"/>
              <w:tr2bl w:val="nil"/>
            </w:tcBorders>
            <w:vAlign w:val="center"/>
          </w:tcPr>
          <w:p w14:paraId="18F3F10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094388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COD、SS、氨氮</w:t>
            </w:r>
          </w:p>
        </w:tc>
        <w:tc>
          <w:tcPr>
            <w:tcW w:w="1559" w:type="dxa"/>
            <w:tcBorders>
              <w:tl2br w:val="nil"/>
              <w:tr2bl w:val="nil"/>
            </w:tcBorders>
            <w:vAlign w:val="center"/>
          </w:tcPr>
          <w:p w14:paraId="37A2C0E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3200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5FED3D4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拖地废水、离子交换树脂再生废水经中和+沉淀处理后回用于地面拖地；</w:t>
            </w:r>
          </w:p>
          <w:p w14:paraId="4442446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生活污水经化粪池预处理后进入经开区污水管网，最终进入松木污水处理厂进行处理</w:t>
            </w:r>
          </w:p>
        </w:tc>
      </w:tr>
      <w:tr w14:paraId="71FA15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80F2C8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0880D7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49AE845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0B70188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有机废气</w:t>
            </w:r>
          </w:p>
        </w:tc>
        <w:tc>
          <w:tcPr>
            <w:tcW w:w="1559" w:type="dxa"/>
            <w:tcBorders>
              <w:tl2br w:val="nil"/>
              <w:tr2bl w:val="nil"/>
            </w:tcBorders>
            <w:vAlign w:val="center"/>
          </w:tcPr>
          <w:p w14:paraId="31051C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FCFC01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涂布工序烘干废气经活性炭吸附后经20m排气筒排放；</w:t>
            </w:r>
          </w:p>
          <w:p w14:paraId="4C42DEE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电解液废气经活性炭吸附后经20m排气筒排放；</w:t>
            </w:r>
          </w:p>
          <w:p w14:paraId="2686ECD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配料粉尘经集气罩+布袋除尘后返回配料工序</w:t>
            </w:r>
          </w:p>
        </w:tc>
      </w:tr>
      <w:tr w14:paraId="58AFDC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E92D05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4EDAA9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273AD4E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A2761C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BCBAFC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40.285t/a</w:t>
            </w:r>
          </w:p>
        </w:tc>
        <w:tc>
          <w:tcPr>
            <w:tcW w:w="8034" w:type="dxa"/>
            <w:vMerge w:val="restart"/>
            <w:tcBorders>
              <w:tl2br w:val="nil"/>
              <w:tr2bl w:val="nil"/>
            </w:tcBorders>
            <w:vAlign w:val="center"/>
          </w:tcPr>
          <w:p w14:paraId="4B4C443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生活垃圾交由环卫人员清运；</w:t>
            </w:r>
          </w:p>
          <w:p w14:paraId="20406CA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废铜箔、废铝箔、废隔膜、废极耳等一般固废收集后外售；</w:t>
            </w:r>
          </w:p>
          <w:p w14:paraId="3C51A2F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废抹布、废手套、废电池、废包装材料、废活性炭、NMP冷凝回收液、废离子交换树脂、配料车间地面废渣等危险固废交由资质单位进行处理</w:t>
            </w:r>
          </w:p>
        </w:tc>
      </w:tr>
      <w:tr w14:paraId="693BA9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7E56EA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AFDE33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417A4C0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2BDBA89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4B54A94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45.9t/a</w:t>
            </w:r>
          </w:p>
        </w:tc>
        <w:tc>
          <w:tcPr>
            <w:tcW w:w="8034" w:type="dxa"/>
            <w:vMerge w:val="continue"/>
            <w:tcBorders>
              <w:tl2br w:val="nil"/>
              <w:tr2bl w:val="nil"/>
            </w:tcBorders>
            <w:vAlign w:val="center"/>
          </w:tcPr>
          <w:p w14:paraId="2742FA5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0E8D54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8B000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31</w:t>
            </w:r>
          </w:p>
        </w:tc>
        <w:tc>
          <w:tcPr>
            <w:tcW w:w="1165" w:type="dxa"/>
            <w:vMerge w:val="restart"/>
            <w:tcBorders>
              <w:tl2br w:val="nil"/>
              <w:tr2bl w:val="nil"/>
            </w:tcBorders>
            <w:vAlign w:val="center"/>
          </w:tcPr>
          <w:p w14:paraId="4ECA6BB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衡阳瑞达电源有限公司</w:t>
            </w:r>
          </w:p>
        </w:tc>
        <w:tc>
          <w:tcPr>
            <w:tcW w:w="1134" w:type="dxa"/>
            <w:tcBorders>
              <w:tl2br w:val="nil"/>
              <w:tr2bl w:val="nil"/>
            </w:tcBorders>
            <w:vAlign w:val="center"/>
          </w:tcPr>
          <w:p w14:paraId="31FE84F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54D3011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pH、SS、COD、铅、酸</w:t>
            </w:r>
          </w:p>
        </w:tc>
        <w:tc>
          <w:tcPr>
            <w:tcW w:w="1559" w:type="dxa"/>
            <w:tcBorders>
              <w:tl2br w:val="nil"/>
              <w:tr2bl w:val="nil"/>
            </w:tcBorders>
            <w:vAlign w:val="center"/>
          </w:tcPr>
          <w:p w14:paraId="7831F2A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29170m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34278AD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涂膏、化成工序和设备冲洗、地面冲洗等生产废水经厂区污水处理站处理达标后排入园区污水管网，进入松木污水处理厂进行处理，厂区污水处理站采用“隔油沉淀+混凝沉淀+砂滤”工艺；</w:t>
            </w:r>
          </w:p>
          <w:p w14:paraId="0D3A9AD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生活污水经化粪池预处理后进入经开区污水管网，最终经松木污水处理厂处理达标后排至湘江；</w:t>
            </w:r>
          </w:p>
        </w:tc>
      </w:tr>
      <w:tr w14:paraId="454E55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7E53F3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FB66F2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47B281D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7F370AD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铅尘、硫酸雾</w:t>
            </w:r>
          </w:p>
        </w:tc>
        <w:tc>
          <w:tcPr>
            <w:tcW w:w="1559" w:type="dxa"/>
            <w:tcBorders>
              <w:tl2br w:val="nil"/>
              <w:tr2bl w:val="nil"/>
            </w:tcBorders>
            <w:vAlign w:val="center"/>
          </w:tcPr>
          <w:p w14:paraId="107A10E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10C113D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铅尘采用一级布袋除尘+一级水喷淋处理方法处理后经18m排气筒排放（共5个）；</w:t>
            </w:r>
          </w:p>
          <w:p w14:paraId="4629657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硫酸雾采用物理捕捉+碱液吸收的逆流洗涤方法处理后经15m排气筒排放</w:t>
            </w:r>
          </w:p>
        </w:tc>
      </w:tr>
      <w:tr w14:paraId="220E14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379456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17069D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5355B64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5CD901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3266330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80t/a</w:t>
            </w:r>
          </w:p>
        </w:tc>
        <w:tc>
          <w:tcPr>
            <w:tcW w:w="8034" w:type="dxa"/>
            <w:vMerge w:val="restart"/>
            <w:tcBorders>
              <w:tl2br w:val="nil"/>
              <w:tr2bl w:val="nil"/>
            </w:tcBorders>
            <w:vAlign w:val="center"/>
          </w:tcPr>
          <w:p w14:paraId="7523D37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对于铅渣、铅泥、铅膏、铅尘、废水处理站污泥、废弃劳保用品等危险废物，公司采用统一收集后委托资质单位进行处理；废酸由供应商进行回收处置；</w:t>
            </w:r>
          </w:p>
          <w:p w14:paraId="3016A8C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2B226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FD9AE3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F13BD6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2EED0B4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3B8265E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危险废物</w:t>
            </w:r>
          </w:p>
        </w:tc>
        <w:tc>
          <w:tcPr>
            <w:tcW w:w="1559" w:type="dxa"/>
            <w:tcBorders>
              <w:tl2br w:val="nil"/>
              <w:tr2bl w:val="nil"/>
            </w:tcBorders>
            <w:vAlign w:val="center"/>
          </w:tcPr>
          <w:p w14:paraId="06E2E04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293.29t/a</w:t>
            </w:r>
          </w:p>
        </w:tc>
        <w:tc>
          <w:tcPr>
            <w:tcW w:w="8034" w:type="dxa"/>
            <w:vMerge w:val="continue"/>
            <w:tcBorders>
              <w:tl2br w:val="nil"/>
              <w:tr2bl w:val="nil"/>
            </w:tcBorders>
            <w:vAlign w:val="center"/>
          </w:tcPr>
          <w:p w14:paraId="1BC273E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109375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915CB8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32</w:t>
            </w:r>
          </w:p>
        </w:tc>
        <w:tc>
          <w:tcPr>
            <w:tcW w:w="1165" w:type="dxa"/>
            <w:vMerge w:val="restart"/>
            <w:tcBorders>
              <w:tl2br w:val="nil"/>
              <w:tr2bl w:val="nil"/>
            </w:tcBorders>
            <w:vAlign w:val="center"/>
          </w:tcPr>
          <w:p w14:paraId="2E7A650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衡阳瑞科电源有限公司</w:t>
            </w:r>
          </w:p>
        </w:tc>
        <w:tc>
          <w:tcPr>
            <w:tcW w:w="1134" w:type="dxa"/>
            <w:tcBorders>
              <w:tl2br w:val="nil"/>
              <w:tr2bl w:val="nil"/>
            </w:tcBorders>
            <w:vAlign w:val="center"/>
          </w:tcPr>
          <w:p w14:paraId="664C48F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2B34F68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pH、COD、SS、氨氮</w:t>
            </w:r>
          </w:p>
        </w:tc>
        <w:tc>
          <w:tcPr>
            <w:tcW w:w="1559" w:type="dxa"/>
            <w:tcBorders>
              <w:tl2br w:val="nil"/>
              <w:tr2bl w:val="nil"/>
            </w:tcBorders>
            <w:vAlign w:val="center"/>
          </w:tcPr>
          <w:p w14:paraId="3A2BA8A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1656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62CF721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洗手废水、地面冲洗废水经三级过滤后排至清水池循环利用；</w:t>
            </w:r>
          </w:p>
          <w:p w14:paraId="318415B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生活污水化粪池处理后经经开区污水管网进入松木污水处理厂进行处理</w:t>
            </w:r>
          </w:p>
        </w:tc>
      </w:tr>
      <w:tr w14:paraId="37A2CE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2721E4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98E1D1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01F0BB4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498DBDB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铅烟、铅尘、硫酸雾</w:t>
            </w:r>
          </w:p>
        </w:tc>
        <w:tc>
          <w:tcPr>
            <w:tcW w:w="1559" w:type="dxa"/>
            <w:tcBorders>
              <w:tl2br w:val="nil"/>
              <w:tr2bl w:val="nil"/>
            </w:tcBorders>
            <w:vAlign w:val="center"/>
          </w:tcPr>
          <w:p w14:paraId="295310D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14400000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2683F95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焊接烟气及包极组、装壳过程中产生的铅尘经吸尘罩+HKE铅烟净化处理装置+活性炭进行处理后经25m排气筒排放；</w:t>
            </w:r>
          </w:p>
          <w:p w14:paraId="07C67D2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硫酸雾采用酸雾收集中和装置进行处理后外排</w:t>
            </w:r>
          </w:p>
        </w:tc>
      </w:tr>
      <w:tr w14:paraId="458E21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657B6C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92AE89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742280C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6D70A9C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57A18A7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2.5t/a</w:t>
            </w:r>
          </w:p>
        </w:tc>
        <w:tc>
          <w:tcPr>
            <w:tcW w:w="8034" w:type="dxa"/>
            <w:vMerge w:val="restart"/>
            <w:tcBorders>
              <w:tl2br w:val="nil"/>
              <w:tr2bl w:val="nil"/>
            </w:tcBorders>
            <w:vAlign w:val="center"/>
          </w:tcPr>
          <w:p w14:paraId="2CBE84B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082F2D8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铅尘、废活性炭、铅渣、废电池、废劳保用品等危险固废暂存于危废暂存库中进行存储，达到一定数量后交由资质单位进行处理；</w:t>
            </w:r>
          </w:p>
          <w:p w14:paraId="1BB5D17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离子交换树脂返回厂家进行处理</w:t>
            </w:r>
          </w:p>
        </w:tc>
      </w:tr>
      <w:tr w14:paraId="0C4A5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F04892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7A8D74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4670DCE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7DBF0CC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5F2992D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5.605t/a</w:t>
            </w:r>
          </w:p>
        </w:tc>
        <w:tc>
          <w:tcPr>
            <w:tcW w:w="8034" w:type="dxa"/>
            <w:vMerge w:val="continue"/>
            <w:tcBorders>
              <w:tl2br w:val="nil"/>
              <w:tr2bl w:val="nil"/>
            </w:tcBorders>
            <w:vAlign w:val="center"/>
          </w:tcPr>
          <w:p w14:paraId="3A07A18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61F008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7E34A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33</w:t>
            </w:r>
          </w:p>
        </w:tc>
        <w:tc>
          <w:tcPr>
            <w:tcW w:w="1165" w:type="dxa"/>
            <w:vMerge w:val="restart"/>
            <w:tcBorders>
              <w:tl2br w:val="nil"/>
              <w:tr2bl w:val="nil"/>
            </w:tcBorders>
            <w:vAlign w:val="center"/>
          </w:tcPr>
          <w:p w14:paraId="4CBEF75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电科电源（深圳）有限公司</w:t>
            </w:r>
          </w:p>
        </w:tc>
        <w:tc>
          <w:tcPr>
            <w:tcW w:w="1134" w:type="dxa"/>
            <w:tcBorders>
              <w:tl2br w:val="nil"/>
              <w:tr2bl w:val="nil"/>
            </w:tcBorders>
            <w:vAlign w:val="center"/>
          </w:tcPr>
          <w:p w14:paraId="76DCCFC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2C8D9BF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COD、SS、氨氮</w:t>
            </w:r>
          </w:p>
        </w:tc>
        <w:tc>
          <w:tcPr>
            <w:tcW w:w="1559" w:type="dxa"/>
            <w:tcBorders>
              <w:tl2br w:val="nil"/>
              <w:tr2bl w:val="nil"/>
            </w:tcBorders>
            <w:vAlign w:val="center"/>
          </w:tcPr>
          <w:p w14:paraId="6F0AFA4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52830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456A67C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生产废水进行沉淀处理后循环使用；</w:t>
            </w:r>
          </w:p>
          <w:p w14:paraId="6DAC1D6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生活污水经化粪池预处理后进入经开区污水管网入松木污水处理厂进行处理</w:t>
            </w:r>
          </w:p>
        </w:tc>
      </w:tr>
      <w:tr w14:paraId="1C4372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5F0C72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C7B8E4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FB75F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65CCE68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镍尘、镉尘</w:t>
            </w:r>
          </w:p>
        </w:tc>
        <w:tc>
          <w:tcPr>
            <w:tcW w:w="1559" w:type="dxa"/>
            <w:tcBorders>
              <w:tl2br w:val="nil"/>
              <w:tr2bl w:val="nil"/>
            </w:tcBorders>
            <w:vAlign w:val="center"/>
          </w:tcPr>
          <w:p w14:paraId="2DCF669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19001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42F1235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正极清粉产生的镍尘采用集气管道+布袋除尘处理后经15m排气筒排放；</w:t>
            </w:r>
          </w:p>
          <w:p w14:paraId="684C48B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负极清粉产生的镉尘采用集气管道+水浴除尘处理后经15m排气筒排放</w:t>
            </w:r>
          </w:p>
        </w:tc>
      </w:tr>
      <w:tr w14:paraId="0362C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CA19F5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D44956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79D9972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17F132B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4CDDC2F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330t/a</w:t>
            </w:r>
          </w:p>
        </w:tc>
        <w:tc>
          <w:tcPr>
            <w:tcW w:w="8034" w:type="dxa"/>
            <w:vMerge w:val="restart"/>
            <w:tcBorders>
              <w:tl2br w:val="nil"/>
              <w:tr2bl w:val="nil"/>
            </w:tcBorders>
            <w:vAlign w:val="center"/>
          </w:tcPr>
          <w:p w14:paraId="68A66F6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正极清粉废气布袋收尘返回生产线重复利用；</w:t>
            </w:r>
          </w:p>
          <w:p w14:paraId="2B46676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镍材料桶、镉材料包装袋、职工防护受体、废水处理池污泥及水浴除尘沉渣等危险固废委托资质单位进行处理；</w:t>
            </w:r>
          </w:p>
          <w:p w14:paraId="4057511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43884A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8EBC58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A3949C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3BD5478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544DF5F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6CD915E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42.548t/a</w:t>
            </w:r>
          </w:p>
        </w:tc>
        <w:tc>
          <w:tcPr>
            <w:tcW w:w="8034" w:type="dxa"/>
            <w:vMerge w:val="continue"/>
            <w:tcBorders>
              <w:tl2br w:val="nil"/>
              <w:tr2bl w:val="nil"/>
            </w:tcBorders>
            <w:vAlign w:val="center"/>
          </w:tcPr>
          <w:p w14:paraId="50B8EE9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284E1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2C80A1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34</w:t>
            </w:r>
          </w:p>
        </w:tc>
        <w:tc>
          <w:tcPr>
            <w:tcW w:w="1165" w:type="dxa"/>
            <w:vMerge w:val="restart"/>
            <w:tcBorders>
              <w:tl2br w:val="nil"/>
              <w:tr2bl w:val="nil"/>
            </w:tcBorders>
            <w:vAlign w:val="center"/>
          </w:tcPr>
          <w:p w14:paraId="016D244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衡阳市天然气有限公司</w:t>
            </w:r>
          </w:p>
        </w:tc>
        <w:tc>
          <w:tcPr>
            <w:tcW w:w="1134" w:type="dxa"/>
            <w:tcBorders>
              <w:tl2br w:val="nil"/>
              <w:tr2bl w:val="nil"/>
            </w:tcBorders>
            <w:vAlign w:val="center"/>
          </w:tcPr>
          <w:p w14:paraId="26F076E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568D0B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COD、SS、氨氮</w:t>
            </w:r>
          </w:p>
        </w:tc>
        <w:tc>
          <w:tcPr>
            <w:tcW w:w="1559" w:type="dxa"/>
            <w:tcBorders>
              <w:tl2br w:val="nil"/>
              <w:tr2bl w:val="nil"/>
            </w:tcBorders>
            <w:vAlign w:val="center"/>
          </w:tcPr>
          <w:p w14:paraId="69942AC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548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4CF0855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不产生工艺废水；</w:t>
            </w:r>
          </w:p>
          <w:p w14:paraId="1DEB73B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食堂废水经隔油池</w:t>
            </w:r>
            <w:r>
              <w:rPr>
                <w:rFonts w:hint="default" w:ascii="Times New Roman" w:hAnsi="Times New Roman" w:eastAsia="宋体" w:cs="Times New Roman"/>
                <w:szCs w:val="21"/>
                <w:lang w:eastAsia="zh-CN"/>
              </w:rPr>
              <w:t>处理后</w:t>
            </w:r>
            <w:r>
              <w:rPr>
                <w:rFonts w:hint="default" w:ascii="Times New Roman" w:hAnsi="Times New Roman" w:eastAsia="宋体" w:cs="Times New Roman"/>
                <w:szCs w:val="21"/>
              </w:rPr>
              <w:t>与生活污水合流经化粪池处理，处理后的废水经经开区污水管网进入松木污水处理厂进行处理</w:t>
            </w:r>
          </w:p>
        </w:tc>
      </w:tr>
      <w:tr w14:paraId="366493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798C1B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CD13C1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7E113F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E3014B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甲烷、油烟</w:t>
            </w:r>
          </w:p>
        </w:tc>
        <w:tc>
          <w:tcPr>
            <w:tcW w:w="1559" w:type="dxa"/>
            <w:tcBorders>
              <w:tl2br w:val="nil"/>
              <w:tr2bl w:val="nil"/>
            </w:tcBorders>
            <w:vAlign w:val="center"/>
          </w:tcPr>
          <w:p w14:paraId="467D2CE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D5E17A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放空废气在放空管处进行燃烧；</w:t>
            </w:r>
          </w:p>
          <w:p w14:paraId="2D7E01F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油烟废气经油烟净化器处理后经屋顶排放</w:t>
            </w:r>
          </w:p>
        </w:tc>
      </w:tr>
      <w:tr w14:paraId="7B13AC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6DBAA6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4F94DE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52E703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005753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DB4DB1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7.001t/a</w:t>
            </w:r>
          </w:p>
        </w:tc>
        <w:tc>
          <w:tcPr>
            <w:tcW w:w="8034" w:type="dxa"/>
            <w:tcBorders>
              <w:tl2br w:val="nil"/>
              <w:tr2bl w:val="nil"/>
            </w:tcBorders>
            <w:vAlign w:val="center"/>
          </w:tcPr>
          <w:p w14:paraId="2047A8E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清管产生的废渣送专业回收单位回收处理；</w:t>
            </w:r>
          </w:p>
          <w:p w14:paraId="66E248F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11A401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EA62A6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35</w:t>
            </w:r>
          </w:p>
        </w:tc>
        <w:tc>
          <w:tcPr>
            <w:tcW w:w="1165" w:type="dxa"/>
            <w:vMerge w:val="restart"/>
            <w:tcBorders>
              <w:tl2br w:val="nil"/>
              <w:tr2bl w:val="nil"/>
            </w:tcBorders>
            <w:vAlign w:val="center"/>
          </w:tcPr>
          <w:p w14:paraId="3D1A817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衡阳理昂生物质发电有限公司</w:t>
            </w:r>
          </w:p>
        </w:tc>
        <w:tc>
          <w:tcPr>
            <w:tcW w:w="1134" w:type="dxa"/>
            <w:tcBorders>
              <w:tl2br w:val="nil"/>
              <w:tr2bl w:val="nil"/>
            </w:tcBorders>
            <w:vAlign w:val="center"/>
          </w:tcPr>
          <w:p w14:paraId="1301845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2E46CBE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SS、COD、氨氮</w:t>
            </w:r>
          </w:p>
        </w:tc>
        <w:tc>
          <w:tcPr>
            <w:tcW w:w="1559" w:type="dxa"/>
            <w:tcBorders>
              <w:tl2br w:val="nil"/>
              <w:tr2bl w:val="nil"/>
            </w:tcBorders>
            <w:vAlign w:val="center"/>
          </w:tcPr>
          <w:p w14:paraId="70B1B5C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50315E5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锅炉排污水、化学水处理系统排水收集后回用于干灰调湿、地面冲洗和绿化；</w:t>
            </w:r>
          </w:p>
          <w:p w14:paraId="3E135D9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地面冲洗水经油水分离器处理后进入经开区污水管网，最终进入松木污水处理厂进行处理；</w:t>
            </w:r>
          </w:p>
          <w:p w14:paraId="66944F7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生活污水经化粪池预处理后进入经开区污水管网，最终进入松木污水处理厂进行处理</w:t>
            </w:r>
          </w:p>
        </w:tc>
      </w:tr>
      <w:tr w14:paraId="6818AF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856CB6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F6F192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F2ECA3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4FAA9EB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粉尘、二氧化硫</w:t>
            </w:r>
          </w:p>
        </w:tc>
        <w:tc>
          <w:tcPr>
            <w:tcW w:w="1559" w:type="dxa"/>
            <w:tcBorders>
              <w:tl2br w:val="nil"/>
              <w:tr2bl w:val="nil"/>
            </w:tcBorders>
            <w:vAlign w:val="center"/>
          </w:tcPr>
          <w:p w14:paraId="3E8CB37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2AF737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锅炉废气采用脉冲布袋除尘进行处理，处理后经80m排气筒排放；</w:t>
            </w:r>
          </w:p>
          <w:p w14:paraId="65C65D0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食堂油烟经净化处理后经排气筒排放</w:t>
            </w:r>
          </w:p>
        </w:tc>
      </w:tr>
      <w:tr w14:paraId="30437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33D697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7200F3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23408D9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274BCCC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5AB01C2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21t/a</w:t>
            </w:r>
          </w:p>
        </w:tc>
        <w:tc>
          <w:tcPr>
            <w:tcW w:w="8034" w:type="dxa"/>
            <w:vMerge w:val="restart"/>
            <w:tcBorders>
              <w:tl2br w:val="nil"/>
              <w:tr2bl w:val="nil"/>
            </w:tcBorders>
            <w:vAlign w:val="center"/>
          </w:tcPr>
          <w:p w14:paraId="4EE6B42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19A25AF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飞灰、底渣全部外售综合利用</w:t>
            </w:r>
          </w:p>
        </w:tc>
      </w:tr>
      <w:tr w14:paraId="4E2B6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93F11F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E7B35B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1D06F48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4F99E2F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6DA6D8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vMerge w:val="continue"/>
            <w:tcBorders>
              <w:tl2br w:val="nil"/>
              <w:tr2bl w:val="nil"/>
            </w:tcBorders>
            <w:vAlign w:val="center"/>
          </w:tcPr>
          <w:p w14:paraId="02E6460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5688D7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AA089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36</w:t>
            </w:r>
          </w:p>
        </w:tc>
        <w:tc>
          <w:tcPr>
            <w:tcW w:w="1165" w:type="dxa"/>
            <w:vMerge w:val="restart"/>
            <w:tcBorders>
              <w:tl2br w:val="nil"/>
              <w:tr2bl w:val="nil"/>
            </w:tcBorders>
            <w:vAlign w:val="center"/>
          </w:tcPr>
          <w:p w14:paraId="695AE46E">
            <w:pPr>
              <w:keepNext w:val="0"/>
              <w:keepLines w:val="0"/>
              <w:widowControl/>
              <w:suppressLineNumbers w:val="0"/>
              <w:adjustRightInd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衡阳恒荣高纯半导体材料有限公司</w:t>
            </w:r>
          </w:p>
        </w:tc>
        <w:tc>
          <w:tcPr>
            <w:tcW w:w="1134" w:type="dxa"/>
            <w:tcBorders>
              <w:tl2br w:val="nil"/>
              <w:tr2bl w:val="nil"/>
            </w:tcBorders>
            <w:vAlign w:val="center"/>
          </w:tcPr>
          <w:p w14:paraId="16BAF08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D832B9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559" w:type="dxa"/>
            <w:tcBorders>
              <w:tl2br w:val="nil"/>
              <w:tr2bl w:val="nil"/>
            </w:tcBorders>
            <w:vAlign w:val="center"/>
          </w:tcPr>
          <w:p w14:paraId="198A67C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A28412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循环冷却系统排污水和高纯水制备产生的反渗透浓水进入雨水系统；</w:t>
            </w:r>
          </w:p>
          <w:p w14:paraId="31FFBFA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工艺废水进入恒光污水处理站</w:t>
            </w:r>
          </w:p>
        </w:tc>
      </w:tr>
      <w:tr w14:paraId="26D658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8A6E9B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2EBBE9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B439CB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7357A46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559" w:type="dxa"/>
            <w:tcBorders>
              <w:tl2br w:val="nil"/>
              <w:tr2bl w:val="nil"/>
            </w:tcBorders>
            <w:vAlign w:val="center"/>
          </w:tcPr>
          <w:p w14:paraId="2479611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7861FF4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工艺废气采用喷淋（水为吸收液）+二级逆流吸收处理后经25m排气筒排放</w:t>
            </w:r>
          </w:p>
        </w:tc>
      </w:tr>
      <w:tr w14:paraId="075150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BB5D3D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5215A6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975C18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BD035A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59CE97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469.73t/a</w:t>
            </w:r>
          </w:p>
        </w:tc>
        <w:tc>
          <w:tcPr>
            <w:tcW w:w="8034" w:type="dxa"/>
            <w:tcBorders>
              <w:tl2br w:val="nil"/>
              <w:tr2bl w:val="nil"/>
            </w:tcBorders>
            <w:vAlign w:val="center"/>
          </w:tcPr>
          <w:p w14:paraId="26A3608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稀盐酸交由建滔进行回收；</w:t>
            </w:r>
          </w:p>
          <w:p w14:paraId="19163B9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二氧化锗废渣进行蒸发浓缩回用于氯化工序；</w:t>
            </w:r>
          </w:p>
          <w:p w14:paraId="2D5C226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07F72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1BA65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37</w:t>
            </w:r>
          </w:p>
        </w:tc>
        <w:tc>
          <w:tcPr>
            <w:tcW w:w="1165" w:type="dxa"/>
            <w:vMerge w:val="restart"/>
            <w:tcBorders>
              <w:tl2br w:val="nil"/>
              <w:tr2bl w:val="nil"/>
            </w:tcBorders>
            <w:vAlign w:val="center"/>
          </w:tcPr>
          <w:p w14:paraId="08B646F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湖南鸿胜物流有限公司</w:t>
            </w:r>
          </w:p>
        </w:tc>
        <w:tc>
          <w:tcPr>
            <w:tcW w:w="1134" w:type="dxa"/>
            <w:tcBorders>
              <w:tl2br w:val="nil"/>
              <w:tr2bl w:val="nil"/>
            </w:tcBorders>
            <w:vAlign w:val="center"/>
          </w:tcPr>
          <w:p w14:paraId="5A9A9DE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A1B0A4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SS、COD、氨氮</w:t>
            </w:r>
          </w:p>
        </w:tc>
        <w:tc>
          <w:tcPr>
            <w:tcW w:w="1559" w:type="dxa"/>
            <w:tcBorders>
              <w:tl2br w:val="nil"/>
              <w:tr2bl w:val="nil"/>
            </w:tcBorders>
            <w:vAlign w:val="center"/>
          </w:tcPr>
          <w:p w14:paraId="612DF23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266137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生活污水经化粪池预处理后经经开区污水管网进入松木污水处理厂进行处理</w:t>
            </w:r>
          </w:p>
        </w:tc>
      </w:tr>
      <w:tr w14:paraId="633EB0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C12F24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59DFEA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B47F0C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4C94426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汽车尾气</w:t>
            </w:r>
          </w:p>
        </w:tc>
        <w:tc>
          <w:tcPr>
            <w:tcW w:w="1559" w:type="dxa"/>
            <w:tcBorders>
              <w:tl2br w:val="nil"/>
              <w:tr2bl w:val="nil"/>
            </w:tcBorders>
            <w:vAlign w:val="center"/>
          </w:tcPr>
          <w:p w14:paraId="64E2CE2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657BACD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不进行处理，直接排至大气中</w:t>
            </w:r>
          </w:p>
        </w:tc>
      </w:tr>
      <w:tr w14:paraId="756D42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0D4027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502814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67AB32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64CEB0C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32783E7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C125FC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42CE0D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3464120">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38</w:t>
            </w:r>
          </w:p>
        </w:tc>
        <w:tc>
          <w:tcPr>
            <w:tcW w:w="1165" w:type="dxa"/>
            <w:vMerge w:val="restart"/>
            <w:tcBorders>
              <w:tl2br w:val="nil"/>
              <w:tr2bl w:val="nil"/>
            </w:tcBorders>
            <w:vAlign w:val="center"/>
          </w:tcPr>
          <w:p w14:paraId="016BAA2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衡阳市大源投资置业有限公司（雁城物流）</w:t>
            </w:r>
          </w:p>
        </w:tc>
        <w:tc>
          <w:tcPr>
            <w:tcW w:w="1134" w:type="dxa"/>
            <w:tcBorders>
              <w:tl2br w:val="nil"/>
              <w:tr2bl w:val="nil"/>
            </w:tcBorders>
            <w:vAlign w:val="center"/>
          </w:tcPr>
          <w:p w14:paraId="5FE7E84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7448E5E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SS、COD、氨氮</w:t>
            </w:r>
          </w:p>
        </w:tc>
        <w:tc>
          <w:tcPr>
            <w:tcW w:w="1559" w:type="dxa"/>
            <w:tcBorders>
              <w:tl2br w:val="nil"/>
              <w:tr2bl w:val="nil"/>
            </w:tcBorders>
            <w:vAlign w:val="center"/>
          </w:tcPr>
          <w:p w14:paraId="6742BFE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7473D5D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生活污水经化粪池预处理后进入107国道市政污水管网</w:t>
            </w:r>
          </w:p>
        </w:tc>
      </w:tr>
      <w:tr w14:paraId="3E085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C84A7B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6F86DF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AF766C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FE5B29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汽车尾气</w:t>
            </w:r>
          </w:p>
        </w:tc>
        <w:tc>
          <w:tcPr>
            <w:tcW w:w="1559" w:type="dxa"/>
            <w:tcBorders>
              <w:tl2br w:val="nil"/>
              <w:tr2bl w:val="nil"/>
            </w:tcBorders>
            <w:vAlign w:val="center"/>
          </w:tcPr>
          <w:p w14:paraId="35FD367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4C4A31B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不进行处理，直接排至大气中</w:t>
            </w:r>
          </w:p>
        </w:tc>
      </w:tr>
      <w:tr w14:paraId="15C3D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72FC69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57EA2C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414853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13A718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2EB16FB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C4006C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6E115E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1805D1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39</w:t>
            </w:r>
          </w:p>
        </w:tc>
        <w:tc>
          <w:tcPr>
            <w:tcW w:w="1165" w:type="dxa"/>
            <w:vMerge w:val="restart"/>
            <w:tcBorders>
              <w:tl2br w:val="nil"/>
              <w:tr2bl w:val="nil"/>
            </w:tcBorders>
            <w:vAlign w:val="center"/>
          </w:tcPr>
          <w:p w14:paraId="046D325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衡阳市盛泰物流有限公司</w:t>
            </w:r>
          </w:p>
        </w:tc>
        <w:tc>
          <w:tcPr>
            <w:tcW w:w="1134" w:type="dxa"/>
            <w:tcBorders>
              <w:tl2br w:val="nil"/>
              <w:tr2bl w:val="nil"/>
            </w:tcBorders>
            <w:vAlign w:val="center"/>
          </w:tcPr>
          <w:p w14:paraId="642F3FF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55FE48D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SS、COD、氨氮</w:t>
            </w:r>
          </w:p>
        </w:tc>
        <w:tc>
          <w:tcPr>
            <w:tcW w:w="1559" w:type="dxa"/>
            <w:tcBorders>
              <w:tl2br w:val="nil"/>
              <w:tr2bl w:val="nil"/>
            </w:tcBorders>
            <w:vAlign w:val="center"/>
          </w:tcPr>
          <w:p w14:paraId="4FE1D3F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490E500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生活污水经化粪池预处理后经经开区污水管网进入松木污水处理厂进行处理</w:t>
            </w:r>
          </w:p>
        </w:tc>
      </w:tr>
      <w:tr w14:paraId="3FBA47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BD2880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5265F5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474BF1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0EC054E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汽车尾气</w:t>
            </w:r>
          </w:p>
        </w:tc>
        <w:tc>
          <w:tcPr>
            <w:tcW w:w="1559" w:type="dxa"/>
            <w:tcBorders>
              <w:tl2br w:val="nil"/>
              <w:tr2bl w:val="nil"/>
            </w:tcBorders>
            <w:vAlign w:val="center"/>
          </w:tcPr>
          <w:p w14:paraId="3377B96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393EB9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不进行处理，直接排至大气中</w:t>
            </w:r>
          </w:p>
        </w:tc>
      </w:tr>
      <w:tr w14:paraId="0CA50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0362ED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EC949F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36E767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257F9C6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438E299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2317CC9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3E143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C428E4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40</w:t>
            </w:r>
          </w:p>
        </w:tc>
        <w:tc>
          <w:tcPr>
            <w:tcW w:w="1165" w:type="dxa"/>
            <w:vMerge w:val="restart"/>
            <w:tcBorders>
              <w:tl2br w:val="nil"/>
              <w:tr2bl w:val="nil"/>
            </w:tcBorders>
            <w:vAlign w:val="center"/>
          </w:tcPr>
          <w:p w14:paraId="4CE302E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衡阳市诺顿焊材有限公司</w:t>
            </w:r>
          </w:p>
        </w:tc>
        <w:tc>
          <w:tcPr>
            <w:tcW w:w="1134" w:type="dxa"/>
            <w:tcBorders>
              <w:tl2br w:val="nil"/>
              <w:tr2bl w:val="nil"/>
            </w:tcBorders>
            <w:vAlign w:val="center"/>
          </w:tcPr>
          <w:p w14:paraId="699399E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13E589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SS、COD、石油类</w:t>
            </w:r>
          </w:p>
        </w:tc>
        <w:tc>
          <w:tcPr>
            <w:tcW w:w="1559" w:type="dxa"/>
            <w:tcBorders>
              <w:tl2br w:val="nil"/>
              <w:tr2bl w:val="nil"/>
            </w:tcBorders>
            <w:vAlign w:val="center"/>
          </w:tcPr>
          <w:p w14:paraId="655531D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720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7880580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酸洗、碱洗及清洗产生的废水经中和、絮凝沉淀、过滤后回用；</w:t>
            </w:r>
          </w:p>
          <w:p w14:paraId="1ACBBD7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经沉淀预处理的保洁废水与经隔油预处理的生活污水进入化粪池进行处理，处理后的污水经经开区污水管网进入松木污水处理厂进行处理</w:t>
            </w:r>
          </w:p>
        </w:tc>
      </w:tr>
      <w:tr w14:paraId="411253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6DD98F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199B9E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A8FA7A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68A9729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硫酸雾、二氧化硫、氮氧化物、油烟</w:t>
            </w:r>
          </w:p>
        </w:tc>
        <w:tc>
          <w:tcPr>
            <w:tcW w:w="1559" w:type="dxa"/>
            <w:tcBorders>
              <w:tl2br w:val="nil"/>
              <w:tr2bl w:val="nil"/>
            </w:tcBorders>
            <w:vAlign w:val="center"/>
          </w:tcPr>
          <w:p w14:paraId="080EE03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3490D3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硫酸雾经水喷淋处理装置处理后经15m排气筒排放；</w:t>
            </w:r>
          </w:p>
          <w:p w14:paraId="4E8BB65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食堂油烟经油烟净化器处理后排放</w:t>
            </w:r>
          </w:p>
        </w:tc>
      </w:tr>
      <w:tr w14:paraId="3B5AA3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53D1B8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16E6F0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4010F79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F2AD7A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127C17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35.4t/a</w:t>
            </w:r>
          </w:p>
        </w:tc>
        <w:tc>
          <w:tcPr>
            <w:tcW w:w="8034" w:type="dxa"/>
            <w:vMerge w:val="restart"/>
            <w:tcBorders>
              <w:tl2br w:val="nil"/>
              <w:tr2bl w:val="nil"/>
            </w:tcBorders>
            <w:vAlign w:val="center"/>
          </w:tcPr>
          <w:p w14:paraId="1A15D89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废边角料、铁灰等外售综合利用；</w:t>
            </w:r>
          </w:p>
          <w:p w14:paraId="0074E53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0388514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镀铜泥、污泥、废抛光油等危废进行分类收集达到一定数量后委托资质单位进行处理</w:t>
            </w:r>
          </w:p>
        </w:tc>
      </w:tr>
      <w:tr w14:paraId="09DB39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48C2C0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557F69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47C19DE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28CC40C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694487E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0.3t/a</w:t>
            </w:r>
          </w:p>
        </w:tc>
        <w:tc>
          <w:tcPr>
            <w:tcW w:w="8034" w:type="dxa"/>
            <w:vMerge w:val="continue"/>
            <w:tcBorders>
              <w:tl2br w:val="nil"/>
              <w:tr2bl w:val="nil"/>
            </w:tcBorders>
            <w:vAlign w:val="center"/>
          </w:tcPr>
          <w:p w14:paraId="02E7565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5D0ED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3B96D5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41</w:t>
            </w:r>
          </w:p>
        </w:tc>
        <w:tc>
          <w:tcPr>
            <w:tcW w:w="1165" w:type="dxa"/>
            <w:vMerge w:val="restart"/>
            <w:tcBorders>
              <w:tl2br w:val="nil"/>
              <w:tr2bl w:val="nil"/>
            </w:tcBorders>
            <w:vAlign w:val="center"/>
          </w:tcPr>
          <w:p w14:paraId="04AA22E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衡阳市壹帆纸业有限公司</w:t>
            </w:r>
          </w:p>
        </w:tc>
        <w:tc>
          <w:tcPr>
            <w:tcW w:w="1134" w:type="dxa"/>
            <w:tcBorders>
              <w:tl2br w:val="nil"/>
              <w:tr2bl w:val="nil"/>
            </w:tcBorders>
            <w:vAlign w:val="center"/>
          </w:tcPr>
          <w:p w14:paraId="47E8BF5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2F75125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SS、COD、氨氮</w:t>
            </w:r>
          </w:p>
        </w:tc>
        <w:tc>
          <w:tcPr>
            <w:tcW w:w="1559" w:type="dxa"/>
            <w:tcBorders>
              <w:tl2br w:val="nil"/>
              <w:tr2bl w:val="nil"/>
            </w:tcBorders>
            <w:vAlign w:val="center"/>
          </w:tcPr>
          <w:p w14:paraId="0EF26CF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CE8DD6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生活污水经化粪池预处理后经经开区污水管网进入松木污水处理厂进行处理</w:t>
            </w:r>
          </w:p>
        </w:tc>
      </w:tr>
      <w:tr w14:paraId="0F3DAD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1EA959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AD7D0D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4061EB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1AEBC78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w:t>
            </w:r>
          </w:p>
        </w:tc>
        <w:tc>
          <w:tcPr>
            <w:tcW w:w="1559" w:type="dxa"/>
            <w:tcBorders>
              <w:tl2br w:val="nil"/>
              <w:tr2bl w:val="nil"/>
            </w:tcBorders>
            <w:vAlign w:val="center"/>
          </w:tcPr>
          <w:p w14:paraId="4FC1F93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EC4C22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不进行处理，直排至室内</w:t>
            </w:r>
          </w:p>
        </w:tc>
      </w:tr>
      <w:tr w14:paraId="6826BB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CEC33D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409A33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7F2995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5296CB0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42F0634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6613A5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467F85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E9E15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42</w:t>
            </w:r>
          </w:p>
        </w:tc>
        <w:tc>
          <w:tcPr>
            <w:tcW w:w="1165" w:type="dxa"/>
            <w:vMerge w:val="restart"/>
            <w:tcBorders>
              <w:tl2br w:val="nil"/>
              <w:tr2bl w:val="nil"/>
            </w:tcBorders>
            <w:vAlign w:val="center"/>
          </w:tcPr>
          <w:p w14:paraId="42B2F9C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衡阳市嘉励运动器材有限公司</w:t>
            </w:r>
          </w:p>
        </w:tc>
        <w:tc>
          <w:tcPr>
            <w:tcW w:w="1134" w:type="dxa"/>
            <w:tcBorders>
              <w:tl2br w:val="nil"/>
              <w:tr2bl w:val="nil"/>
            </w:tcBorders>
            <w:vAlign w:val="center"/>
          </w:tcPr>
          <w:p w14:paraId="3DC95B3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769800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COD、SS、氨氮、石油类</w:t>
            </w:r>
          </w:p>
        </w:tc>
        <w:tc>
          <w:tcPr>
            <w:tcW w:w="1559" w:type="dxa"/>
            <w:tcBorders>
              <w:tl2br w:val="nil"/>
              <w:tr2bl w:val="nil"/>
            </w:tcBorders>
            <w:vAlign w:val="center"/>
          </w:tcPr>
          <w:p w14:paraId="099CB43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13939.6 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4FD8175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生产废水、车间地面冲洗水经厂区污水处理站（采用隔油+絮凝沉淀处理工艺）进行处理后排入经开区污水管网，进入松木污水处理厂进行处理；</w:t>
            </w:r>
          </w:p>
          <w:p w14:paraId="3343338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生活污水经化粪池预处理后汇入总排口进入经开区污水管网，经松木污水处理厂处理达标后排入湘江</w:t>
            </w:r>
          </w:p>
        </w:tc>
      </w:tr>
      <w:tr w14:paraId="5B32CB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49C443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90089B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3DE5EB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1E20979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VOC、氟化物、粉尘、颗粒物</w:t>
            </w:r>
          </w:p>
        </w:tc>
        <w:tc>
          <w:tcPr>
            <w:tcW w:w="1559" w:type="dxa"/>
            <w:tcBorders>
              <w:tl2br w:val="nil"/>
              <w:tr2bl w:val="nil"/>
            </w:tcBorders>
            <w:vAlign w:val="center"/>
          </w:tcPr>
          <w:p w14:paraId="5EC7745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784BE8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酸性废气经集气罩+碱洗塔处理后高空排放；</w:t>
            </w:r>
          </w:p>
          <w:p w14:paraId="131EA95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油漆废气经排风管道收集后经活性炭吸附后排放</w:t>
            </w:r>
          </w:p>
        </w:tc>
      </w:tr>
      <w:tr w14:paraId="114D1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592A25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8AF2F4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662961B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3266C8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F9C708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116.6t/a</w:t>
            </w:r>
          </w:p>
        </w:tc>
        <w:tc>
          <w:tcPr>
            <w:tcW w:w="8034" w:type="dxa"/>
            <w:vMerge w:val="restart"/>
            <w:tcBorders>
              <w:tl2br w:val="nil"/>
              <w:tr2bl w:val="nil"/>
            </w:tcBorders>
            <w:vAlign w:val="center"/>
          </w:tcPr>
          <w:p w14:paraId="3229E2A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6DFE5F8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废坯壳、废合金料等一般固废外售</w:t>
            </w:r>
          </w:p>
          <w:p w14:paraId="3EF650D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危化品包装袋由生产厂家进行回收；</w:t>
            </w:r>
          </w:p>
          <w:p w14:paraId="328D866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除蜡、除油废液、脱模废液、废酸液、废活性炭等其他危险废物交由资质单位进行处理</w:t>
            </w:r>
          </w:p>
        </w:tc>
      </w:tr>
      <w:tr w14:paraId="3398D1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A93473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D24F2E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324613C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2E3858F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585D53A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5.01t/a</w:t>
            </w:r>
          </w:p>
        </w:tc>
        <w:tc>
          <w:tcPr>
            <w:tcW w:w="8034" w:type="dxa"/>
            <w:vMerge w:val="continue"/>
            <w:tcBorders>
              <w:tl2br w:val="nil"/>
              <w:tr2bl w:val="nil"/>
            </w:tcBorders>
            <w:vAlign w:val="center"/>
          </w:tcPr>
          <w:p w14:paraId="798FE9B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1B4458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54B6AC6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43</w:t>
            </w:r>
          </w:p>
        </w:tc>
        <w:tc>
          <w:tcPr>
            <w:tcW w:w="1165" w:type="dxa"/>
            <w:vMerge w:val="restart"/>
            <w:tcBorders>
              <w:tl2br w:val="nil"/>
              <w:tr2bl w:val="nil"/>
            </w:tcBorders>
            <w:vAlign w:val="center"/>
          </w:tcPr>
          <w:p w14:paraId="2BA9B27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衡阳市优艺美雅松木水务有限责任公司</w:t>
            </w:r>
          </w:p>
        </w:tc>
        <w:tc>
          <w:tcPr>
            <w:tcW w:w="1134" w:type="dxa"/>
            <w:tcBorders>
              <w:tl2br w:val="nil"/>
              <w:tr2bl w:val="nil"/>
            </w:tcBorders>
            <w:vAlign w:val="center"/>
          </w:tcPr>
          <w:p w14:paraId="46C8B76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087661C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COD、SS、氨氮</w:t>
            </w:r>
          </w:p>
        </w:tc>
        <w:tc>
          <w:tcPr>
            <w:tcW w:w="1559" w:type="dxa"/>
            <w:tcBorders>
              <w:tl2br w:val="nil"/>
              <w:tr2bl w:val="nil"/>
            </w:tcBorders>
            <w:vAlign w:val="center"/>
          </w:tcPr>
          <w:p w14:paraId="6070E29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B0D4CD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反冲洗废水及沉淀池废水经沉淀后回用；</w:t>
            </w:r>
          </w:p>
          <w:p w14:paraId="42581C8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生活污水经化粪池预处理后由环卫部门上门运出厂区处理。</w:t>
            </w:r>
          </w:p>
        </w:tc>
      </w:tr>
      <w:tr w14:paraId="00DB29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077DE4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5E0C86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70C07E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5F1D18B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559" w:type="dxa"/>
            <w:tcBorders>
              <w:tl2br w:val="nil"/>
              <w:tr2bl w:val="nil"/>
            </w:tcBorders>
            <w:vAlign w:val="center"/>
          </w:tcPr>
          <w:p w14:paraId="39C292E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1493450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0C6D0F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A187AE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4AE259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B7F1CC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432B49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AEFEE6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495t/a</w:t>
            </w:r>
          </w:p>
        </w:tc>
        <w:tc>
          <w:tcPr>
            <w:tcW w:w="8034" w:type="dxa"/>
            <w:tcBorders>
              <w:tl2br w:val="nil"/>
              <w:tr2bl w:val="nil"/>
            </w:tcBorders>
            <w:vAlign w:val="center"/>
          </w:tcPr>
          <w:p w14:paraId="5C90352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3B7CD9A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沉淀池污泥、脱水泥饼等与生活垃圾一并处理</w:t>
            </w:r>
          </w:p>
        </w:tc>
      </w:tr>
      <w:tr w14:paraId="10C46A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D7A4AF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44</w:t>
            </w:r>
          </w:p>
        </w:tc>
        <w:tc>
          <w:tcPr>
            <w:tcW w:w="1165" w:type="dxa"/>
            <w:vMerge w:val="restart"/>
            <w:tcBorders>
              <w:tl2br w:val="nil"/>
              <w:tr2bl w:val="nil"/>
            </w:tcBorders>
            <w:vAlign w:val="center"/>
          </w:tcPr>
          <w:p w14:paraId="6E91470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衡阳市松木污水处理厂</w:t>
            </w:r>
          </w:p>
        </w:tc>
        <w:tc>
          <w:tcPr>
            <w:tcW w:w="1134" w:type="dxa"/>
            <w:tcBorders>
              <w:tl2br w:val="nil"/>
              <w:tr2bl w:val="nil"/>
            </w:tcBorders>
            <w:vAlign w:val="center"/>
          </w:tcPr>
          <w:p w14:paraId="4D48D1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C9C8CC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COD、SS、氨氮、石油类</w:t>
            </w:r>
          </w:p>
        </w:tc>
        <w:tc>
          <w:tcPr>
            <w:tcW w:w="1559" w:type="dxa"/>
            <w:tcBorders>
              <w:tl2br w:val="nil"/>
              <w:tr2bl w:val="nil"/>
            </w:tcBorders>
            <w:vAlign w:val="center"/>
          </w:tcPr>
          <w:p w14:paraId="13488CE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10000m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/d</w:t>
            </w:r>
          </w:p>
        </w:tc>
        <w:tc>
          <w:tcPr>
            <w:tcW w:w="8034" w:type="dxa"/>
            <w:tcBorders>
              <w:tl2br w:val="nil"/>
              <w:tr2bl w:val="nil"/>
            </w:tcBorders>
            <w:vAlign w:val="center"/>
          </w:tcPr>
          <w:p w14:paraId="19D3B79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污水采用格栅+絮凝沉淀+水解酸化+A/O生化+二次沉淀+混凝+气浮+接触消毒处理工艺处理后经总排口排至湘江</w:t>
            </w:r>
          </w:p>
        </w:tc>
      </w:tr>
      <w:tr w14:paraId="4C8BA5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468CB2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0F8DD4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09040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5F85B72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硫化氢、氨气</w:t>
            </w:r>
          </w:p>
        </w:tc>
        <w:tc>
          <w:tcPr>
            <w:tcW w:w="1559" w:type="dxa"/>
            <w:tcBorders>
              <w:tl2br w:val="nil"/>
              <w:tr2bl w:val="nil"/>
            </w:tcBorders>
            <w:vAlign w:val="center"/>
          </w:tcPr>
          <w:p w14:paraId="35C86AF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36C4408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42088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AA00FD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9006B8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1DF7226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7538A8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25F03A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5.5t/a</w:t>
            </w:r>
          </w:p>
        </w:tc>
        <w:tc>
          <w:tcPr>
            <w:tcW w:w="8034" w:type="dxa"/>
            <w:vMerge w:val="restart"/>
            <w:tcBorders>
              <w:tl2br w:val="nil"/>
              <w:tr2bl w:val="nil"/>
            </w:tcBorders>
            <w:vAlign w:val="center"/>
          </w:tcPr>
          <w:p w14:paraId="1AAE5C5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污泥暂存于危废暂存间内，达到一定数量后委托资质单位进行处理；</w:t>
            </w:r>
          </w:p>
          <w:p w14:paraId="495C8F6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331CAD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54053B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05E0AD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7A71C58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6AEB79E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032125E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650t/a</w:t>
            </w:r>
          </w:p>
        </w:tc>
        <w:tc>
          <w:tcPr>
            <w:tcW w:w="8034" w:type="dxa"/>
            <w:vMerge w:val="continue"/>
            <w:tcBorders>
              <w:tl2br w:val="nil"/>
              <w:tr2bl w:val="nil"/>
            </w:tcBorders>
            <w:vAlign w:val="center"/>
          </w:tcPr>
          <w:p w14:paraId="2FC987E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3AD39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5FF60F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45</w:t>
            </w:r>
          </w:p>
        </w:tc>
        <w:tc>
          <w:tcPr>
            <w:tcW w:w="1165" w:type="dxa"/>
            <w:vMerge w:val="restart"/>
            <w:tcBorders>
              <w:tl2br w:val="nil"/>
              <w:tr2bl w:val="nil"/>
            </w:tcBorders>
            <w:vAlign w:val="center"/>
          </w:tcPr>
          <w:p w14:paraId="23B67D2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湖南兆瑞华展再生资源回收有限公司</w:t>
            </w:r>
          </w:p>
        </w:tc>
        <w:tc>
          <w:tcPr>
            <w:tcW w:w="1134" w:type="dxa"/>
            <w:tcBorders>
              <w:tl2br w:val="nil"/>
              <w:tr2bl w:val="nil"/>
            </w:tcBorders>
            <w:vAlign w:val="center"/>
          </w:tcPr>
          <w:p w14:paraId="171A9E5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83E6D1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COD、氨氮、SS、Pb</w:t>
            </w:r>
          </w:p>
        </w:tc>
        <w:tc>
          <w:tcPr>
            <w:tcW w:w="1559" w:type="dxa"/>
            <w:tcBorders>
              <w:tl2br w:val="nil"/>
              <w:tr2bl w:val="nil"/>
            </w:tcBorders>
            <w:vAlign w:val="center"/>
          </w:tcPr>
          <w:p w14:paraId="086A6E1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290.88t/a</w:t>
            </w:r>
          </w:p>
        </w:tc>
        <w:tc>
          <w:tcPr>
            <w:tcW w:w="8034" w:type="dxa"/>
            <w:tcBorders>
              <w:tl2br w:val="nil"/>
              <w:tr2bl w:val="nil"/>
            </w:tcBorders>
            <w:vAlign w:val="center"/>
          </w:tcPr>
          <w:p w14:paraId="74670BF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厂区地面清洁拖洗废水：经沉淀池沉淀后收集至吨桶内（耐酸、防渗）与沉淀渣一起定期送至有资质单位处理，不外排；</w:t>
            </w:r>
          </w:p>
          <w:p w14:paraId="5C5EF64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生活污水经化粪池处理后进入城市污水管网送至松木污水处理厂处理达标后排放</w:t>
            </w:r>
          </w:p>
        </w:tc>
      </w:tr>
      <w:tr w14:paraId="490961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1C6D05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6CA254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AE949E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7AC8157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颗粒物、硫酸雾</w:t>
            </w:r>
          </w:p>
        </w:tc>
        <w:tc>
          <w:tcPr>
            <w:tcW w:w="1559" w:type="dxa"/>
            <w:tcBorders>
              <w:tl2br w:val="nil"/>
              <w:tr2bl w:val="nil"/>
            </w:tcBorders>
            <w:vAlign w:val="center"/>
          </w:tcPr>
          <w:p w14:paraId="235D034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少量</w:t>
            </w:r>
          </w:p>
        </w:tc>
        <w:tc>
          <w:tcPr>
            <w:tcW w:w="8034" w:type="dxa"/>
            <w:tcBorders>
              <w:tl2br w:val="nil"/>
              <w:tr2bl w:val="nil"/>
            </w:tcBorders>
            <w:vAlign w:val="center"/>
          </w:tcPr>
          <w:p w14:paraId="5E44C41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车间废气经抽风系统外排；</w:t>
            </w:r>
          </w:p>
          <w:p w14:paraId="71ACA34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食堂油烟废气经油烟净化设施处理后由专用烟道至屋顶后高空排放</w:t>
            </w:r>
          </w:p>
        </w:tc>
      </w:tr>
      <w:tr w14:paraId="13A3BC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1A2EE2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E24228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3D13B03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6612A51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D1A8CE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0.75t/a</w:t>
            </w:r>
          </w:p>
        </w:tc>
        <w:tc>
          <w:tcPr>
            <w:tcW w:w="8034" w:type="dxa"/>
            <w:tcBorders>
              <w:tl2br w:val="nil"/>
              <w:tr2bl w:val="nil"/>
            </w:tcBorders>
            <w:vAlign w:val="center"/>
          </w:tcPr>
          <w:p w14:paraId="16F23B2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650352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0A69C3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EB85C4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139BDB7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52C6F89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0F4CCA5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0.45t/a</w:t>
            </w:r>
          </w:p>
        </w:tc>
        <w:tc>
          <w:tcPr>
            <w:tcW w:w="8034" w:type="dxa"/>
            <w:tcBorders>
              <w:tl2br w:val="nil"/>
              <w:tr2bl w:val="nil"/>
            </w:tcBorders>
            <w:vAlign w:val="center"/>
          </w:tcPr>
          <w:p w14:paraId="5C6FE24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废旧个体防护装备、废拖把、废抹布、废铅酸蓄电池泄漏液、厂区地面清洁废水沉渣等由带盖专用桶收集暂存后交由有资质单位进行处理</w:t>
            </w:r>
          </w:p>
        </w:tc>
      </w:tr>
      <w:tr w14:paraId="635E9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428F72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46</w:t>
            </w:r>
          </w:p>
        </w:tc>
        <w:tc>
          <w:tcPr>
            <w:tcW w:w="1165" w:type="dxa"/>
            <w:vMerge w:val="restart"/>
            <w:tcBorders>
              <w:tl2br w:val="nil"/>
              <w:tr2bl w:val="nil"/>
            </w:tcBorders>
            <w:vAlign w:val="center"/>
          </w:tcPr>
          <w:p w14:paraId="78916CE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衡阳市佳众再生资源有限责任公司</w:t>
            </w:r>
          </w:p>
        </w:tc>
        <w:tc>
          <w:tcPr>
            <w:tcW w:w="1134" w:type="dxa"/>
            <w:tcBorders>
              <w:tl2br w:val="nil"/>
              <w:tr2bl w:val="nil"/>
            </w:tcBorders>
            <w:vAlign w:val="center"/>
          </w:tcPr>
          <w:p w14:paraId="66E7099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38EE50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COD、氨氮、SS</w:t>
            </w:r>
          </w:p>
        </w:tc>
        <w:tc>
          <w:tcPr>
            <w:tcW w:w="1559" w:type="dxa"/>
            <w:tcBorders>
              <w:tl2br w:val="nil"/>
              <w:tr2bl w:val="nil"/>
            </w:tcBorders>
            <w:vAlign w:val="center"/>
          </w:tcPr>
          <w:p w14:paraId="11411E5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294.4t/a</w:t>
            </w:r>
          </w:p>
        </w:tc>
        <w:tc>
          <w:tcPr>
            <w:tcW w:w="8034" w:type="dxa"/>
            <w:tcBorders>
              <w:tl2br w:val="nil"/>
              <w:tr2bl w:val="nil"/>
            </w:tcBorders>
            <w:vAlign w:val="center"/>
          </w:tcPr>
          <w:p w14:paraId="1BE10E8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厂区地面清洁拖洗废水：经沉淀池沉淀后收集至吨桶内（耐酸、防渗）与沉淀渣一起定期送至有资质单位处理，不外排；</w:t>
            </w:r>
          </w:p>
          <w:p w14:paraId="327446A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生活污水经化粪池处理后进入城市污水管网送至松木污水处理厂处理达标后排放</w:t>
            </w:r>
          </w:p>
        </w:tc>
      </w:tr>
      <w:tr w14:paraId="6F8F1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55C70D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AAE9CD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28E445E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3E0D1F1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颗粒物、硫酸雾</w:t>
            </w:r>
          </w:p>
        </w:tc>
        <w:tc>
          <w:tcPr>
            <w:tcW w:w="1559" w:type="dxa"/>
            <w:tcBorders>
              <w:tl2br w:val="nil"/>
              <w:tr2bl w:val="nil"/>
            </w:tcBorders>
            <w:vAlign w:val="center"/>
          </w:tcPr>
          <w:p w14:paraId="39C87A1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少量</w:t>
            </w:r>
          </w:p>
        </w:tc>
        <w:tc>
          <w:tcPr>
            <w:tcW w:w="8034" w:type="dxa"/>
            <w:tcBorders>
              <w:tl2br w:val="nil"/>
              <w:tr2bl w:val="nil"/>
            </w:tcBorders>
            <w:vAlign w:val="center"/>
          </w:tcPr>
          <w:p w14:paraId="071A91C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车间废气经活性炭净化后外排；</w:t>
            </w:r>
          </w:p>
          <w:p w14:paraId="5C4457B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食堂油烟废气经油烟净化设施处理后由专用烟道至屋顶后高空排放</w:t>
            </w:r>
          </w:p>
        </w:tc>
      </w:tr>
      <w:tr w14:paraId="30A82D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54E71B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42F7B2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2D4C2E8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7A3664A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2FEF7E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1.08t/a</w:t>
            </w:r>
          </w:p>
        </w:tc>
        <w:tc>
          <w:tcPr>
            <w:tcW w:w="8034" w:type="dxa"/>
            <w:tcBorders>
              <w:tl2br w:val="nil"/>
              <w:tr2bl w:val="nil"/>
            </w:tcBorders>
            <w:vAlign w:val="center"/>
          </w:tcPr>
          <w:p w14:paraId="6A44837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56F879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097B4D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2F92D7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3AF249A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57E4D6F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06C7C08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0.515t/a</w:t>
            </w:r>
          </w:p>
        </w:tc>
        <w:tc>
          <w:tcPr>
            <w:tcW w:w="8034" w:type="dxa"/>
            <w:tcBorders>
              <w:tl2br w:val="nil"/>
              <w:tr2bl w:val="nil"/>
            </w:tcBorders>
            <w:vAlign w:val="center"/>
          </w:tcPr>
          <w:p w14:paraId="0CC8669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废旧个体防护装备、废拖把、废抹布、废铅酸蓄电池泄漏液、废防酸滤铅网等由带盖专用桶收集暂存后交由有资质单位进行处理</w:t>
            </w:r>
          </w:p>
        </w:tc>
      </w:tr>
      <w:tr w14:paraId="0663D3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7F8764F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47</w:t>
            </w:r>
          </w:p>
        </w:tc>
        <w:tc>
          <w:tcPr>
            <w:tcW w:w="1165" w:type="dxa"/>
            <w:vMerge w:val="restart"/>
            <w:tcBorders>
              <w:tl2br w:val="nil"/>
              <w:tr2bl w:val="nil"/>
            </w:tcBorders>
            <w:vAlign w:val="center"/>
          </w:tcPr>
          <w:p w14:paraId="556B728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衡阳鸿宇化工有限责任公司</w:t>
            </w:r>
          </w:p>
        </w:tc>
        <w:tc>
          <w:tcPr>
            <w:tcW w:w="1134" w:type="dxa"/>
            <w:tcBorders>
              <w:tl2br w:val="nil"/>
              <w:tr2bl w:val="nil"/>
            </w:tcBorders>
            <w:vAlign w:val="center"/>
          </w:tcPr>
          <w:p w14:paraId="6338CE1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0E747D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pH、SS、ClO</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、Al</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、Cl</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、COD、氨氮</w:t>
            </w:r>
          </w:p>
        </w:tc>
        <w:tc>
          <w:tcPr>
            <w:tcW w:w="1559" w:type="dxa"/>
            <w:tcBorders>
              <w:tl2br w:val="nil"/>
              <w:tr2bl w:val="nil"/>
            </w:tcBorders>
            <w:vAlign w:val="center"/>
          </w:tcPr>
          <w:p w14:paraId="4CD4C55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5252t/a</w:t>
            </w:r>
          </w:p>
        </w:tc>
        <w:tc>
          <w:tcPr>
            <w:tcW w:w="8034" w:type="dxa"/>
            <w:tcBorders>
              <w:tl2br w:val="nil"/>
              <w:tr2bl w:val="nil"/>
            </w:tcBorders>
            <w:vAlign w:val="center"/>
          </w:tcPr>
          <w:p w14:paraId="628B7F4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碱洗塔洗涤水经调pH-沉淀-澄清处理后循环利用，不外排；</w:t>
            </w:r>
          </w:p>
          <w:p w14:paraId="192FE46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地坪清洁水及初期雨水经厂区污水处理站内用液碱调pH-沉淀-澄清处理后用于配置碱洗塔洗涤水，多余的废水送建滔化工中水循环处理站处理；</w:t>
            </w:r>
          </w:p>
          <w:p w14:paraId="18AF34C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生活污水经厂区化粪池预处理后，送建滔化工中水循环处理站处理</w:t>
            </w:r>
          </w:p>
        </w:tc>
      </w:tr>
      <w:tr w14:paraId="35507B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B887DA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6F754C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58EBD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483589D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氯气</w:t>
            </w:r>
          </w:p>
        </w:tc>
        <w:tc>
          <w:tcPr>
            <w:tcW w:w="1559" w:type="dxa"/>
            <w:tcBorders>
              <w:tl2br w:val="nil"/>
              <w:tr2bl w:val="nil"/>
            </w:tcBorders>
            <w:vAlign w:val="center"/>
          </w:tcPr>
          <w:p w14:paraId="351F7C4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45.7t/a</w:t>
            </w:r>
          </w:p>
        </w:tc>
        <w:tc>
          <w:tcPr>
            <w:tcW w:w="8034" w:type="dxa"/>
            <w:tcBorders>
              <w:tl2br w:val="nil"/>
              <w:tr2bl w:val="nil"/>
            </w:tcBorders>
            <w:vAlign w:val="center"/>
          </w:tcPr>
          <w:p w14:paraId="09D2E7D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氯化反应炉废气经二级碱洗塔处理后经25m排气筒排放</w:t>
            </w:r>
          </w:p>
        </w:tc>
      </w:tr>
      <w:tr w14:paraId="4AC1E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34005A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A4B951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5BCE975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358C6D6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221F342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308.8t/a</w:t>
            </w:r>
          </w:p>
        </w:tc>
        <w:tc>
          <w:tcPr>
            <w:tcW w:w="8034" w:type="dxa"/>
            <w:tcBorders>
              <w:tl2br w:val="nil"/>
              <w:tr2bl w:val="nil"/>
            </w:tcBorders>
            <w:vAlign w:val="center"/>
          </w:tcPr>
          <w:p w14:paraId="6F17706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氧化铝渣、碱洗塔洗涤水沉淀渣外售综合利用；</w:t>
            </w:r>
          </w:p>
          <w:p w14:paraId="6AF0046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0A2E75B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C62422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B90E0B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085B6E5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0E94784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6CCCAFF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20t/a</w:t>
            </w:r>
          </w:p>
        </w:tc>
        <w:tc>
          <w:tcPr>
            <w:tcW w:w="8034" w:type="dxa"/>
            <w:tcBorders>
              <w:tl2br w:val="nil"/>
              <w:tr2bl w:val="nil"/>
            </w:tcBorders>
            <w:vAlign w:val="center"/>
          </w:tcPr>
          <w:p w14:paraId="7B44208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废碱液、无水三氯化铝包装袋收集后交由有资质单位处置</w:t>
            </w:r>
          </w:p>
        </w:tc>
      </w:tr>
      <w:tr w14:paraId="1BED09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0191B3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48</w:t>
            </w:r>
          </w:p>
        </w:tc>
        <w:tc>
          <w:tcPr>
            <w:tcW w:w="1165" w:type="dxa"/>
            <w:vMerge w:val="restart"/>
            <w:tcBorders>
              <w:tl2br w:val="nil"/>
              <w:tr2bl w:val="nil"/>
            </w:tcBorders>
            <w:vAlign w:val="center"/>
          </w:tcPr>
          <w:p w14:paraId="0657F73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湖南捷瑞化工有限公司</w:t>
            </w:r>
          </w:p>
        </w:tc>
        <w:tc>
          <w:tcPr>
            <w:tcW w:w="1134" w:type="dxa"/>
            <w:tcBorders>
              <w:tl2br w:val="nil"/>
              <w:tr2bl w:val="nil"/>
            </w:tcBorders>
            <w:vAlign w:val="center"/>
          </w:tcPr>
          <w:p w14:paraId="26D3B79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00002CC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甲醇、二氯苯、醋酸、对苯二酚、HCl、SS、COD、氨氮</w:t>
            </w:r>
          </w:p>
        </w:tc>
        <w:tc>
          <w:tcPr>
            <w:tcW w:w="1559" w:type="dxa"/>
            <w:tcBorders>
              <w:tl2br w:val="nil"/>
              <w:tr2bl w:val="nil"/>
            </w:tcBorders>
            <w:vAlign w:val="center"/>
          </w:tcPr>
          <w:p w14:paraId="157CD80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9190t/a</w:t>
            </w:r>
          </w:p>
        </w:tc>
        <w:tc>
          <w:tcPr>
            <w:tcW w:w="8034" w:type="dxa"/>
            <w:tcBorders>
              <w:tl2br w:val="nil"/>
              <w:tr2bl w:val="nil"/>
            </w:tcBorders>
            <w:vAlign w:val="center"/>
          </w:tcPr>
          <w:p w14:paraId="0801831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甲醇再生废水、反应釜清洗水经厂区隔油沉淀池处理分离出二氯苯后，汇入建滔化工双氧水污水处理站处理；</w:t>
            </w:r>
          </w:p>
          <w:p w14:paraId="64CD932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车间地面冲洗水汇入建滔化工双氧水污水处理站处理；</w:t>
            </w:r>
          </w:p>
          <w:p w14:paraId="14627BE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抽三效蒸发器废水排入中和池中和后汇入建滔化工双氧水装置污水处理站处理；</w:t>
            </w:r>
          </w:p>
          <w:p w14:paraId="1BD2E0C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初期雨水经沉淀后汇入园区雨水管网；</w:t>
            </w:r>
          </w:p>
          <w:p w14:paraId="566C50B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生活污水经化粪池处理后排入建滔中水循环水处理站处理</w:t>
            </w:r>
          </w:p>
        </w:tc>
      </w:tr>
      <w:tr w14:paraId="27AC0D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5726DC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C16830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62A0447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1EB18F0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kern w:val="0"/>
                <w:szCs w:val="21"/>
              </w:rPr>
              <w:t>HCl、Cl</w:t>
            </w:r>
            <w:r>
              <w:rPr>
                <w:rFonts w:hint="default" w:ascii="Times New Roman" w:hAnsi="Times New Roman" w:eastAsia="宋体" w:cs="Times New Roman"/>
                <w:kern w:val="0"/>
                <w:szCs w:val="21"/>
                <w:vertAlign w:val="subscript"/>
              </w:rPr>
              <w:t>2</w:t>
            </w:r>
            <w:r>
              <w:rPr>
                <w:rFonts w:hint="default" w:ascii="Times New Roman" w:hAnsi="Times New Roman" w:eastAsia="宋体" w:cs="Times New Roman"/>
                <w:kern w:val="0"/>
                <w:szCs w:val="21"/>
              </w:rPr>
              <w:t>、醋酸、粉尘、油烟</w:t>
            </w:r>
          </w:p>
        </w:tc>
        <w:tc>
          <w:tcPr>
            <w:tcW w:w="1559" w:type="dxa"/>
            <w:tcBorders>
              <w:tl2br w:val="nil"/>
              <w:tr2bl w:val="nil"/>
            </w:tcBorders>
            <w:vAlign w:val="center"/>
          </w:tcPr>
          <w:p w14:paraId="051E7DF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69BB0A9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反应挥发尾气采用“二级水洗+二级碱洗”处理后通过25m高排气筒排放；</w:t>
            </w:r>
          </w:p>
          <w:p w14:paraId="6CB8A88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干燥粉尘经布袋收尘后通过15m高排气筒排放；</w:t>
            </w:r>
          </w:p>
          <w:p w14:paraId="6B3F4D9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食堂油烟废气净化处理后通过专用排气筒至屋顶高空排放</w:t>
            </w:r>
          </w:p>
        </w:tc>
      </w:tr>
      <w:tr w14:paraId="660199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18AD57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1EEB9F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2692A9C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3C04528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A47911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6.75t/a</w:t>
            </w:r>
          </w:p>
        </w:tc>
        <w:tc>
          <w:tcPr>
            <w:tcW w:w="8034" w:type="dxa"/>
            <w:tcBorders>
              <w:tl2br w:val="nil"/>
              <w:tr2bl w:val="nil"/>
            </w:tcBorders>
            <w:vAlign w:val="center"/>
          </w:tcPr>
          <w:p w14:paraId="302A862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445A36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664ECF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4F8B5D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1054C9A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27C0C52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2D28826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3t/a</w:t>
            </w:r>
          </w:p>
        </w:tc>
        <w:tc>
          <w:tcPr>
            <w:tcW w:w="8034" w:type="dxa"/>
            <w:tcBorders>
              <w:tl2br w:val="nil"/>
              <w:tr2bl w:val="nil"/>
            </w:tcBorders>
            <w:vAlign w:val="center"/>
          </w:tcPr>
          <w:p w14:paraId="0FCC4E9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废包装袋、废机油、废手套等收集后交由有资质单位处理</w:t>
            </w:r>
          </w:p>
        </w:tc>
      </w:tr>
      <w:tr w14:paraId="6419F5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F8531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49</w:t>
            </w:r>
          </w:p>
        </w:tc>
        <w:tc>
          <w:tcPr>
            <w:tcW w:w="1165" w:type="dxa"/>
            <w:vMerge w:val="restart"/>
            <w:tcBorders>
              <w:tl2br w:val="nil"/>
              <w:tr2bl w:val="nil"/>
            </w:tcBorders>
            <w:vAlign w:val="center"/>
          </w:tcPr>
          <w:p w14:paraId="78D4EAE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湖南宝康医药有限公司</w:t>
            </w:r>
          </w:p>
        </w:tc>
        <w:tc>
          <w:tcPr>
            <w:tcW w:w="1134" w:type="dxa"/>
            <w:tcBorders>
              <w:tl2br w:val="nil"/>
              <w:tr2bl w:val="nil"/>
            </w:tcBorders>
            <w:vAlign w:val="center"/>
          </w:tcPr>
          <w:p w14:paraId="3142CAF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5CE1D16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COD、氨氮</w:t>
            </w:r>
          </w:p>
        </w:tc>
        <w:tc>
          <w:tcPr>
            <w:tcW w:w="1559" w:type="dxa"/>
            <w:tcBorders>
              <w:tl2br w:val="nil"/>
              <w:tr2bl w:val="nil"/>
            </w:tcBorders>
            <w:vAlign w:val="center"/>
          </w:tcPr>
          <w:p w14:paraId="231DFB1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1314t/a</w:t>
            </w:r>
          </w:p>
        </w:tc>
        <w:tc>
          <w:tcPr>
            <w:tcW w:w="8034" w:type="dxa"/>
            <w:tcBorders>
              <w:tl2br w:val="nil"/>
              <w:tr2bl w:val="nil"/>
            </w:tcBorders>
            <w:vAlign w:val="center"/>
          </w:tcPr>
          <w:p w14:paraId="6F5159E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生活污水经化粪池处理后，经园区污水管网排入松木污水处理厂处理</w:t>
            </w:r>
          </w:p>
        </w:tc>
      </w:tr>
      <w:tr w14:paraId="21393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C43558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AE6AAA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9A93B5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50DD7FF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w:t>
            </w:r>
          </w:p>
        </w:tc>
        <w:tc>
          <w:tcPr>
            <w:tcW w:w="1559" w:type="dxa"/>
            <w:tcBorders>
              <w:tl2br w:val="nil"/>
              <w:tr2bl w:val="nil"/>
            </w:tcBorders>
            <w:vAlign w:val="center"/>
          </w:tcPr>
          <w:p w14:paraId="7E4508D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654CFA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食堂油烟废气净化处理后通过专用排气筒至屋顶高空排放</w:t>
            </w:r>
          </w:p>
        </w:tc>
      </w:tr>
      <w:tr w14:paraId="336A2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D8F1E9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D1E2D4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C7166F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7CE87B5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59BBF10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8.76t/a</w:t>
            </w:r>
          </w:p>
        </w:tc>
        <w:tc>
          <w:tcPr>
            <w:tcW w:w="8034" w:type="dxa"/>
            <w:tcBorders>
              <w:tl2br w:val="nil"/>
              <w:tr2bl w:val="nil"/>
            </w:tcBorders>
            <w:vAlign w:val="center"/>
          </w:tcPr>
          <w:p w14:paraId="7FF038B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361D75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418AB37">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50</w:t>
            </w:r>
          </w:p>
        </w:tc>
        <w:tc>
          <w:tcPr>
            <w:tcW w:w="1165" w:type="dxa"/>
            <w:vMerge w:val="restart"/>
            <w:tcBorders>
              <w:tl2br w:val="nil"/>
              <w:tr2bl w:val="nil"/>
            </w:tcBorders>
            <w:vAlign w:val="center"/>
          </w:tcPr>
          <w:p w14:paraId="78208E4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湖南新华阳建材有限公司</w:t>
            </w:r>
          </w:p>
        </w:tc>
        <w:tc>
          <w:tcPr>
            <w:tcW w:w="1134" w:type="dxa"/>
            <w:tcBorders>
              <w:tl2br w:val="nil"/>
              <w:tr2bl w:val="nil"/>
            </w:tcBorders>
            <w:vAlign w:val="center"/>
          </w:tcPr>
          <w:p w14:paraId="1D3264F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CB171D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COD、氨氮</w:t>
            </w:r>
          </w:p>
        </w:tc>
        <w:tc>
          <w:tcPr>
            <w:tcW w:w="1559" w:type="dxa"/>
            <w:tcBorders>
              <w:tl2br w:val="nil"/>
              <w:tr2bl w:val="nil"/>
            </w:tcBorders>
            <w:vAlign w:val="center"/>
          </w:tcPr>
          <w:p w14:paraId="3DF7503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462.95t/a</w:t>
            </w:r>
          </w:p>
        </w:tc>
        <w:tc>
          <w:tcPr>
            <w:tcW w:w="8034" w:type="dxa"/>
            <w:tcBorders>
              <w:tl2br w:val="nil"/>
              <w:tr2bl w:val="nil"/>
            </w:tcBorders>
            <w:vAlign w:val="center"/>
          </w:tcPr>
          <w:p w14:paraId="08B94D5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软水站排水回用于产品复配；</w:t>
            </w:r>
          </w:p>
          <w:p w14:paraId="75AC3BE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生活污水经化粪池、沉淀池预处理后经污水管网进入松木污水处理厂</w:t>
            </w:r>
          </w:p>
        </w:tc>
      </w:tr>
      <w:tr w14:paraId="423FA1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651708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BE3CD6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0545319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15A4829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颗粒物、SO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p>
        </w:tc>
        <w:tc>
          <w:tcPr>
            <w:tcW w:w="1559" w:type="dxa"/>
            <w:tcBorders>
              <w:tl2br w:val="nil"/>
              <w:tr2bl w:val="nil"/>
            </w:tcBorders>
            <w:vAlign w:val="center"/>
          </w:tcPr>
          <w:p w14:paraId="63EFB6F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p>
        </w:tc>
        <w:tc>
          <w:tcPr>
            <w:tcW w:w="8034" w:type="dxa"/>
            <w:tcBorders>
              <w:tl2br w:val="nil"/>
              <w:tr2bl w:val="nil"/>
            </w:tcBorders>
            <w:vAlign w:val="center"/>
          </w:tcPr>
          <w:p w14:paraId="783C03D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燃油锅炉（仅冬季使用）废气经8m高排气筒排放；</w:t>
            </w:r>
          </w:p>
        </w:tc>
      </w:tr>
      <w:tr w14:paraId="3BA975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131E28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1B35D4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0EF0D6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939375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11EA3E7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p>
        </w:tc>
        <w:tc>
          <w:tcPr>
            <w:tcW w:w="8034" w:type="dxa"/>
            <w:tcBorders>
              <w:tl2br w:val="nil"/>
              <w:tr2bl w:val="nil"/>
            </w:tcBorders>
            <w:vAlign w:val="center"/>
          </w:tcPr>
          <w:p w14:paraId="6E0BFC3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聚醚、维生素C、葡萄糖酸钠等废弃包装材料收集后外售；</w:t>
            </w:r>
          </w:p>
          <w:p w14:paraId="5140D21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巯基丙酸等废弃包装桶由供应商回收处置；</w:t>
            </w:r>
          </w:p>
          <w:p w14:paraId="51B8520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0A526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F120CC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51</w:t>
            </w:r>
          </w:p>
        </w:tc>
        <w:tc>
          <w:tcPr>
            <w:tcW w:w="1165" w:type="dxa"/>
            <w:vMerge w:val="restart"/>
            <w:tcBorders>
              <w:tl2br w:val="nil"/>
              <w:tr2bl w:val="nil"/>
            </w:tcBorders>
            <w:vAlign w:val="center"/>
          </w:tcPr>
          <w:p w14:paraId="327896D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衡阳市群立新科机械有限公司</w:t>
            </w:r>
          </w:p>
        </w:tc>
        <w:tc>
          <w:tcPr>
            <w:tcW w:w="1134" w:type="dxa"/>
            <w:tcBorders>
              <w:tl2br w:val="nil"/>
              <w:tr2bl w:val="nil"/>
            </w:tcBorders>
            <w:vAlign w:val="center"/>
          </w:tcPr>
          <w:p w14:paraId="5C16E39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D73B3B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石油类、SS、COD、氨氮</w:t>
            </w:r>
          </w:p>
        </w:tc>
        <w:tc>
          <w:tcPr>
            <w:tcW w:w="1559" w:type="dxa"/>
            <w:tcBorders>
              <w:tl2br w:val="nil"/>
              <w:tr2bl w:val="nil"/>
            </w:tcBorders>
            <w:vAlign w:val="center"/>
          </w:tcPr>
          <w:p w14:paraId="6B855D5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p>
        </w:tc>
        <w:tc>
          <w:tcPr>
            <w:tcW w:w="8034" w:type="dxa"/>
            <w:tcBorders>
              <w:tl2br w:val="nil"/>
              <w:tr2bl w:val="nil"/>
            </w:tcBorders>
            <w:vAlign w:val="center"/>
          </w:tcPr>
          <w:p w14:paraId="55D2104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清洗废水、脱模废水等经隔油+混凝沉淀处理后回用；</w:t>
            </w:r>
          </w:p>
          <w:p w14:paraId="16E2719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生活污水经化粪池、沉淀池预处理后经污水管网进入松木污水处理厂</w:t>
            </w:r>
          </w:p>
        </w:tc>
      </w:tr>
      <w:tr w14:paraId="4638D1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358A11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0419CD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B2BEB8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7A7F332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w:t>
            </w:r>
          </w:p>
        </w:tc>
        <w:tc>
          <w:tcPr>
            <w:tcW w:w="1559" w:type="dxa"/>
            <w:tcBorders>
              <w:tl2br w:val="nil"/>
              <w:tr2bl w:val="nil"/>
            </w:tcBorders>
            <w:vAlign w:val="center"/>
          </w:tcPr>
          <w:p w14:paraId="107AB13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p>
        </w:tc>
        <w:tc>
          <w:tcPr>
            <w:tcW w:w="8034" w:type="dxa"/>
            <w:tcBorders>
              <w:tl2br w:val="nil"/>
              <w:tr2bl w:val="nil"/>
            </w:tcBorders>
            <w:vAlign w:val="center"/>
          </w:tcPr>
          <w:p w14:paraId="0D132FA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食堂油烟废气净化处理后通过专用排气筒至屋顶高空排放</w:t>
            </w:r>
          </w:p>
        </w:tc>
      </w:tr>
      <w:tr w14:paraId="6661D7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77C863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303036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1FE393E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6483FC8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261CFE4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60t/a</w:t>
            </w:r>
          </w:p>
        </w:tc>
        <w:tc>
          <w:tcPr>
            <w:tcW w:w="8034" w:type="dxa"/>
            <w:tcBorders>
              <w:tl2br w:val="nil"/>
              <w:tr2bl w:val="nil"/>
            </w:tcBorders>
            <w:vAlign w:val="center"/>
          </w:tcPr>
          <w:p w14:paraId="4F6D5B6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金属边角料经收集后外售；</w:t>
            </w:r>
          </w:p>
          <w:p w14:paraId="1130B98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5A7F9A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D13622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E2E9C1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23C8544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05C70E3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危险废物</w:t>
            </w:r>
          </w:p>
        </w:tc>
        <w:tc>
          <w:tcPr>
            <w:tcW w:w="1559" w:type="dxa"/>
            <w:tcBorders>
              <w:tl2br w:val="nil"/>
              <w:tr2bl w:val="nil"/>
            </w:tcBorders>
            <w:vAlign w:val="center"/>
          </w:tcPr>
          <w:p w14:paraId="4EA93DF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5t/a</w:t>
            </w:r>
          </w:p>
        </w:tc>
        <w:tc>
          <w:tcPr>
            <w:tcW w:w="8034" w:type="dxa"/>
            <w:tcBorders>
              <w:tl2br w:val="nil"/>
              <w:tr2bl w:val="nil"/>
            </w:tcBorders>
            <w:vAlign w:val="center"/>
          </w:tcPr>
          <w:p w14:paraId="77AAC39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废液压油、废机油、污水处理污泥等危险废物交由有资质单位处理</w:t>
            </w:r>
          </w:p>
        </w:tc>
      </w:tr>
      <w:tr w14:paraId="1B5EC8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CEBB6D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52</w:t>
            </w:r>
          </w:p>
        </w:tc>
        <w:tc>
          <w:tcPr>
            <w:tcW w:w="1165" w:type="dxa"/>
            <w:vMerge w:val="restart"/>
            <w:tcBorders>
              <w:tl2br w:val="nil"/>
              <w:tr2bl w:val="nil"/>
            </w:tcBorders>
            <w:vAlign w:val="center"/>
          </w:tcPr>
          <w:p w14:paraId="14EA81F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湖南春晓明珠门窗有限公司</w:t>
            </w:r>
          </w:p>
        </w:tc>
        <w:tc>
          <w:tcPr>
            <w:tcW w:w="1134" w:type="dxa"/>
            <w:tcBorders>
              <w:tl2br w:val="nil"/>
              <w:tr2bl w:val="nil"/>
            </w:tcBorders>
            <w:vAlign w:val="center"/>
          </w:tcPr>
          <w:p w14:paraId="721DD88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00451E8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COD、氨氮、SS</w:t>
            </w:r>
          </w:p>
        </w:tc>
        <w:tc>
          <w:tcPr>
            <w:tcW w:w="1559" w:type="dxa"/>
            <w:tcBorders>
              <w:tl2br w:val="nil"/>
              <w:tr2bl w:val="nil"/>
            </w:tcBorders>
            <w:vAlign w:val="center"/>
          </w:tcPr>
          <w:p w14:paraId="3300B36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10058.4t/a</w:t>
            </w:r>
          </w:p>
        </w:tc>
        <w:tc>
          <w:tcPr>
            <w:tcW w:w="8034" w:type="dxa"/>
            <w:tcBorders>
              <w:tl2br w:val="nil"/>
              <w:tr2bl w:val="nil"/>
            </w:tcBorders>
            <w:vAlign w:val="center"/>
          </w:tcPr>
          <w:p w14:paraId="5515098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清洗废水经二级沉淀池处理后，再经园区污水管网排入松木污水处理厂处理；</w:t>
            </w:r>
          </w:p>
          <w:p w14:paraId="66C798D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磨边冲洗水经静置沉淀后循环利用不外排；</w:t>
            </w:r>
          </w:p>
          <w:p w14:paraId="39E2CEB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生活污水经化粪池处理后，经园区污水管网排入松木污水处理厂处理</w:t>
            </w:r>
          </w:p>
        </w:tc>
      </w:tr>
      <w:tr w14:paraId="5FC196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5CB085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4566A6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AD5A27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34AEE22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VOC</w:t>
            </w:r>
            <w:r>
              <w:rPr>
                <w:rFonts w:hint="default" w:ascii="Times New Roman" w:hAnsi="Times New Roman" w:eastAsia="宋体" w:cs="Times New Roman"/>
                <w:szCs w:val="21"/>
                <w:vertAlign w:val="subscript"/>
              </w:rPr>
              <w:t>S</w:t>
            </w:r>
            <w:r>
              <w:rPr>
                <w:rFonts w:hint="default" w:ascii="Times New Roman" w:hAnsi="Times New Roman" w:eastAsia="宋体" w:cs="Times New Roman"/>
                <w:szCs w:val="21"/>
              </w:rPr>
              <w:t>、油烟</w:t>
            </w:r>
          </w:p>
        </w:tc>
        <w:tc>
          <w:tcPr>
            <w:tcW w:w="1559" w:type="dxa"/>
            <w:tcBorders>
              <w:tl2br w:val="nil"/>
              <w:tr2bl w:val="nil"/>
            </w:tcBorders>
            <w:vAlign w:val="center"/>
          </w:tcPr>
          <w:p w14:paraId="700AD8C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p>
        </w:tc>
        <w:tc>
          <w:tcPr>
            <w:tcW w:w="8034" w:type="dxa"/>
            <w:tcBorders>
              <w:tl2br w:val="nil"/>
              <w:tr2bl w:val="nil"/>
            </w:tcBorders>
            <w:vAlign w:val="center"/>
          </w:tcPr>
          <w:p w14:paraId="167CA29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打胶机、涂丁基胶等工序会产生有机废气经气楼排放；</w:t>
            </w:r>
          </w:p>
          <w:p w14:paraId="081564A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食堂油烟废气净化处理后通过专用排气筒至屋顶高空排放</w:t>
            </w:r>
          </w:p>
        </w:tc>
      </w:tr>
      <w:tr w14:paraId="0307ED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FF0FD3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EB9F4B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4B7222A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F1388C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9E08F7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428.45t/a</w:t>
            </w:r>
          </w:p>
        </w:tc>
        <w:tc>
          <w:tcPr>
            <w:tcW w:w="8034" w:type="dxa"/>
            <w:tcBorders>
              <w:tl2br w:val="nil"/>
              <w:tr2bl w:val="nil"/>
            </w:tcBorders>
            <w:vAlign w:val="center"/>
          </w:tcPr>
          <w:p w14:paraId="6073C59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玻璃边角料、铝材边角料、金属粉尘等收集后外卖；</w:t>
            </w:r>
          </w:p>
          <w:p w14:paraId="02443E9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残留焊丝收集后回用；</w:t>
            </w:r>
          </w:p>
          <w:p w14:paraId="2102829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生活垃圾、玻璃泥、清洗废水沉淀渣交由环卫部门进行处理</w:t>
            </w:r>
          </w:p>
        </w:tc>
      </w:tr>
      <w:tr w14:paraId="706806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820DB7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53</w:t>
            </w:r>
          </w:p>
        </w:tc>
        <w:tc>
          <w:tcPr>
            <w:tcW w:w="1165" w:type="dxa"/>
            <w:vMerge w:val="restart"/>
            <w:tcBorders>
              <w:tl2br w:val="nil"/>
              <w:tr2bl w:val="nil"/>
            </w:tcBorders>
            <w:vAlign w:val="center"/>
          </w:tcPr>
          <w:p w14:paraId="1C07E1C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衡阳市金源开发建设投资有限责任公司（金兰砂场）</w:t>
            </w:r>
          </w:p>
        </w:tc>
        <w:tc>
          <w:tcPr>
            <w:tcW w:w="1134" w:type="dxa"/>
            <w:tcBorders>
              <w:tl2br w:val="nil"/>
              <w:tr2bl w:val="nil"/>
            </w:tcBorders>
            <w:vAlign w:val="center"/>
          </w:tcPr>
          <w:p w14:paraId="51CD163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45A9C34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SS、COD、氨氮</w:t>
            </w:r>
          </w:p>
        </w:tc>
        <w:tc>
          <w:tcPr>
            <w:tcW w:w="1559" w:type="dxa"/>
            <w:tcBorders>
              <w:tl2br w:val="nil"/>
              <w:tr2bl w:val="nil"/>
            </w:tcBorders>
            <w:vAlign w:val="center"/>
          </w:tcPr>
          <w:p w14:paraId="731336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4504t/a</w:t>
            </w:r>
          </w:p>
        </w:tc>
        <w:tc>
          <w:tcPr>
            <w:tcW w:w="8034" w:type="dxa"/>
            <w:tcBorders>
              <w:tl2br w:val="nil"/>
              <w:tr2bl w:val="nil"/>
            </w:tcBorders>
            <w:vAlign w:val="center"/>
          </w:tcPr>
          <w:p w14:paraId="658069C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地面、车辆、道路冲洗废水、初期雨水经初期雨水池沉淀</w:t>
            </w:r>
            <w:r>
              <w:rPr>
                <w:rFonts w:hint="default" w:ascii="Times New Roman" w:hAnsi="Times New Roman" w:eastAsia="宋体" w:cs="Times New Roman"/>
                <w:kern w:val="44"/>
                <w:szCs w:val="21"/>
              </w:rPr>
              <w:t>后</w:t>
            </w:r>
            <w:r>
              <w:rPr>
                <w:rFonts w:hint="default" w:ascii="Times New Roman" w:hAnsi="Times New Roman" w:eastAsia="宋体" w:cs="Times New Roman"/>
                <w:szCs w:val="21"/>
              </w:rPr>
              <w:t>回用于生产；</w:t>
            </w:r>
          </w:p>
          <w:p w14:paraId="2D484CF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生活污水经化粪池处理后，经园区污水管网排入松木污水处理厂处理</w:t>
            </w:r>
          </w:p>
        </w:tc>
      </w:tr>
      <w:tr w14:paraId="764B3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834F55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547131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FD73AC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F99B73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粉尘、油烟</w:t>
            </w:r>
          </w:p>
        </w:tc>
        <w:tc>
          <w:tcPr>
            <w:tcW w:w="1559" w:type="dxa"/>
            <w:tcBorders>
              <w:tl2br w:val="nil"/>
              <w:tr2bl w:val="nil"/>
            </w:tcBorders>
            <w:vAlign w:val="center"/>
          </w:tcPr>
          <w:p w14:paraId="55BFE58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p>
        </w:tc>
        <w:tc>
          <w:tcPr>
            <w:tcW w:w="8034" w:type="dxa"/>
            <w:tcBorders>
              <w:tl2br w:val="nil"/>
              <w:tr2bl w:val="nil"/>
            </w:tcBorders>
            <w:vAlign w:val="center"/>
          </w:tcPr>
          <w:p w14:paraId="7854798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振动筛分产生粉尘通过喷淋降尘措施；</w:t>
            </w:r>
          </w:p>
          <w:p w14:paraId="5A3C7C6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油烟废气净化处理后通过专用排气筒至屋顶高空排放</w:t>
            </w:r>
          </w:p>
        </w:tc>
      </w:tr>
      <w:tr w14:paraId="453C7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0DEBF7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3CACCD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2CA2807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5965115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6D57EB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2003t/a</w:t>
            </w:r>
          </w:p>
        </w:tc>
        <w:tc>
          <w:tcPr>
            <w:tcW w:w="8034" w:type="dxa"/>
            <w:tcBorders>
              <w:tl2br w:val="nil"/>
              <w:tr2bl w:val="nil"/>
            </w:tcBorders>
            <w:vAlign w:val="center"/>
          </w:tcPr>
          <w:p w14:paraId="5892524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废水处理设施沉淀渣定期清捞；</w:t>
            </w:r>
          </w:p>
          <w:p w14:paraId="6A62FC6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废弃设备零部件收集后送废品回收站回收利用；</w:t>
            </w:r>
          </w:p>
          <w:p w14:paraId="3D50959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542E5D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65B24F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B60590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35EE72D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356E59C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76E0249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0.01t/a</w:t>
            </w:r>
          </w:p>
        </w:tc>
        <w:tc>
          <w:tcPr>
            <w:tcW w:w="8034" w:type="dxa"/>
            <w:tcBorders>
              <w:tl2br w:val="nil"/>
              <w:tr2bl w:val="nil"/>
            </w:tcBorders>
            <w:vAlign w:val="center"/>
          </w:tcPr>
          <w:p w14:paraId="4A8CEDC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废润滑油送衡阳市危险废物处置中心</w:t>
            </w:r>
          </w:p>
        </w:tc>
      </w:tr>
      <w:tr w14:paraId="6E291E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6B4769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54</w:t>
            </w:r>
          </w:p>
        </w:tc>
        <w:tc>
          <w:tcPr>
            <w:tcW w:w="1165" w:type="dxa"/>
            <w:vMerge w:val="restart"/>
            <w:tcBorders>
              <w:tl2br w:val="nil"/>
              <w:tr2bl w:val="nil"/>
            </w:tcBorders>
            <w:vAlign w:val="center"/>
          </w:tcPr>
          <w:p w14:paraId="494F3A4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衡阳市晋宏精细化工有限公司</w:t>
            </w:r>
          </w:p>
        </w:tc>
        <w:tc>
          <w:tcPr>
            <w:tcW w:w="1134" w:type="dxa"/>
            <w:tcBorders>
              <w:tl2br w:val="nil"/>
              <w:tr2bl w:val="nil"/>
            </w:tcBorders>
            <w:vAlign w:val="center"/>
          </w:tcPr>
          <w:p w14:paraId="65BD66A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302908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氰、Pb、Ag、SS、COD、氨氮</w:t>
            </w:r>
          </w:p>
        </w:tc>
        <w:tc>
          <w:tcPr>
            <w:tcW w:w="1559" w:type="dxa"/>
            <w:tcBorders>
              <w:tl2br w:val="nil"/>
              <w:tr2bl w:val="nil"/>
            </w:tcBorders>
            <w:vAlign w:val="center"/>
          </w:tcPr>
          <w:p w14:paraId="0F9A40B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3570t/a</w:t>
            </w:r>
          </w:p>
        </w:tc>
        <w:tc>
          <w:tcPr>
            <w:tcW w:w="8034" w:type="dxa"/>
            <w:tcBorders>
              <w:tl2br w:val="nil"/>
              <w:tr2bl w:val="nil"/>
            </w:tcBorders>
            <w:vAlign w:val="center"/>
          </w:tcPr>
          <w:p w14:paraId="254CECD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氰化亚金钾生产废水经厂区自建污水处理管道进入含氰废水处理站处理；</w:t>
            </w:r>
          </w:p>
          <w:p w14:paraId="7125E6E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车间地面清洗废水经收集后进入含氰废水处理站处理；</w:t>
            </w:r>
          </w:p>
          <w:p w14:paraId="3DC7EED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员工生产洗手水，工服清洗水经过管道收集至回用桶后进入含氰废水处理站处理；</w:t>
            </w:r>
          </w:p>
          <w:p w14:paraId="113181E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纯水制备所产生的浓排水进入含氰废水处理站处理；</w:t>
            </w:r>
          </w:p>
          <w:p w14:paraId="75118D6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含氰废水处理站处理达标后废水回用于生产；</w:t>
            </w:r>
          </w:p>
          <w:p w14:paraId="7C9F46C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生活污水经化粪池预处理后排入园区污水管网，进入松木污水处理厂处理，处理达标后排入湘江。</w:t>
            </w:r>
          </w:p>
        </w:tc>
      </w:tr>
      <w:tr w14:paraId="55E83B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683512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B22DF1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1A3D83F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65D7CE6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氰、烟尘</w:t>
            </w:r>
          </w:p>
        </w:tc>
        <w:tc>
          <w:tcPr>
            <w:tcW w:w="1559" w:type="dxa"/>
            <w:tcBorders>
              <w:tl2br w:val="nil"/>
              <w:tr2bl w:val="nil"/>
            </w:tcBorders>
            <w:vAlign w:val="center"/>
          </w:tcPr>
          <w:p w14:paraId="6DFA912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7E66E8C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 xml:space="preserve">电解含氰废气先通过冷却系统进行冷却，冷却后的废气采用两级喷淋（焦亚硫酸钠+双氧水）+锌丝吸金法处理，最后经过气水分离，经由30m排气筒外排； </w:t>
            </w:r>
          </w:p>
          <w:p w14:paraId="70079ED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烘干废气经管道收集抽到含氰废气处理塔中处理后通过两级喷淋（焦亚硫酸钠+双氧水）+锌丝吸金法处理30m排气筒外排；</w:t>
            </w:r>
          </w:p>
          <w:p w14:paraId="0F729F3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再生金粉中频熔炉烟尘通过负压收集抽至综合废气吸收塔通过双氧水喷淋处理后通过28m排气筒外排</w:t>
            </w:r>
          </w:p>
        </w:tc>
      </w:tr>
      <w:tr w14:paraId="5D654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385A15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31585F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6556D9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59ACBD4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4F65301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4.8t/a</w:t>
            </w:r>
          </w:p>
        </w:tc>
        <w:tc>
          <w:tcPr>
            <w:tcW w:w="8034" w:type="dxa"/>
            <w:tcBorders>
              <w:tl2br w:val="nil"/>
              <w:tr2bl w:val="nil"/>
            </w:tcBorders>
            <w:vAlign w:val="center"/>
          </w:tcPr>
          <w:p w14:paraId="72B68A4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废反渗透膜由厂家回收处置；</w:t>
            </w:r>
          </w:p>
          <w:p w14:paraId="36A4514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废包装材料及生活垃圾交由环卫部门进行处理</w:t>
            </w:r>
          </w:p>
        </w:tc>
      </w:tr>
      <w:tr w14:paraId="39D426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D11EC8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55</w:t>
            </w:r>
          </w:p>
        </w:tc>
        <w:tc>
          <w:tcPr>
            <w:tcW w:w="1165" w:type="dxa"/>
            <w:vMerge w:val="restart"/>
            <w:tcBorders>
              <w:tl2br w:val="nil"/>
              <w:tr2bl w:val="nil"/>
            </w:tcBorders>
            <w:vAlign w:val="center"/>
          </w:tcPr>
          <w:p w14:paraId="28F88E9C">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衡阳市利美电瓶车制造有限公司</w:t>
            </w:r>
          </w:p>
        </w:tc>
        <w:tc>
          <w:tcPr>
            <w:tcW w:w="1134" w:type="dxa"/>
            <w:tcBorders>
              <w:tl2br w:val="nil"/>
              <w:tr2bl w:val="nil"/>
            </w:tcBorders>
            <w:vAlign w:val="center"/>
          </w:tcPr>
          <w:p w14:paraId="4D73DD5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B69502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SS、COD、氨氮</w:t>
            </w:r>
          </w:p>
        </w:tc>
        <w:tc>
          <w:tcPr>
            <w:tcW w:w="1559" w:type="dxa"/>
            <w:tcBorders>
              <w:tl2br w:val="nil"/>
              <w:tr2bl w:val="nil"/>
            </w:tcBorders>
            <w:vAlign w:val="center"/>
          </w:tcPr>
          <w:p w14:paraId="2FD1755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18t/d</w:t>
            </w:r>
          </w:p>
        </w:tc>
        <w:tc>
          <w:tcPr>
            <w:tcW w:w="8034" w:type="dxa"/>
            <w:tcBorders>
              <w:tl2br w:val="nil"/>
              <w:tr2bl w:val="nil"/>
            </w:tcBorders>
            <w:vAlign w:val="center"/>
          </w:tcPr>
          <w:p w14:paraId="062788D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生活污水经化粪池预处理后排入园区污水管网，进入松木污水处理厂处理，处理达标后排入湘江。</w:t>
            </w:r>
          </w:p>
        </w:tc>
      </w:tr>
      <w:tr w14:paraId="59C21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44D810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D04621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7F547B9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68983BC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VOC</w:t>
            </w:r>
            <w:r>
              <w:rPr>
                <w:rFonts w:hint="default" w:ascii="Times New Roman" w:hAnsi="Times New Roman" w:eastAsia="宋体" w:cs="Times New Roman"/>
                <w:szCs w:val="21"/>
                <w:vertAlign w:val="subscript"/>
              </w:rPr>
              <w:t>S</w:t>
            </w:r>
          </w:p>
        </w:tc>
        <w:tc>
          <w:tcPr>
            <w:tcW w:w="1559" w:type="dxa"/>
            <w:tcBorders>
              <w:tl2br w:val="nil"/>
              <w:tr2bl w:val="nil"/>
            </w:tcBorders>
            <w:vAlign w:val="center"/>
          </w:tcPr>
          <w:p w14:paraId="0416F94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1500m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/h</w:t>
            </w:r>
          </w:p>
        </w:tc>
        <w:tc>
          <w:tcPr>
            <w:tcW w:w="8034" w:type="dxa"/>
            <w:tcBorders>
              <w:tl2br w:val="nil"/>
              <w:tr2bl w:val="nil"/>
            </w:tcBorders>
            <w:vAlign w:val="center"/>
          </w:tcPr>
          <w:p w14:paraId="03EB555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采用集气罩收集后水淋处理外排</w:t>
            </w:r>
          </w:p>
        </w:tc>
      </w:tr>
      <w:tr w14:paraId="37B19C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0A4420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277772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2E72C22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5ED93D1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B1C655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p>
        </w:tc>
        <w:tc>
          <w:tcPr>
            <w:tcW w:w="8034" w:type="dxa"/>
            <w:tcBorders>
              <w:tl2br w:val="nil"/>
              <w:tr2bl w:val="nil"/>
            </w:tcBorders>
            <w:vAlign w:val="center"/>
          </w:tcPr>
          <w:p w14:paraId="6BEBC51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3D04E4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72C3D5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56</w:t>
            </w:r>
          </w:p>
        </w:tc>
        <w:tc>
          <w:tcPr>
            <w:tcW w:w="1165" w:type="dxa"/>
            <w:vMerge w:val="restart"/>
            <w:tcBorders>
              <w:tl2br w:val="nil"/>
              <w:tr2bl w:val="nil"/>
            </w:tcBorders>
            <w:vAlign w:val="center"/>
          </w:tcPr>
          <w:p w14:paraId="1CC48A60">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松木港一期</w:t>
            </w:r>
          </w:p>
        </w:tc>
        <w:tc>
          <w:tcPr>
            <w:tcW w:w="1134" w:type="dxa"/>
            <w:tcBorders>
              <w:tl2br w:val="nil"/>
              <w:tr2bl w:val="nil"/>
            </w:tcBorders>
            <w:vAlign w:val="center"/>
          </w:tcPr>
          <w:p w14:paraId="5A50064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08EAA64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石油类、SS、COD、氨氮</w:t>
            </w:r>
          </w:p>
        </w:tc>
        <w:tc>
          <w:tcPr>
            <w:tcW w:w="1559" w:type="dxa"/>
            <w:tcBorders>
              <w:tl2br w:val="nil"/>
              <w:tr2bl w:val="nil"/>
            </w:tcBorders>
            <w:vAlign w:val="center"/>
          </w:tcPr>
          <w:p w14:paraId="4A209CA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11788.95t/a</w:t>
            </w:r>
          </w:p>
        </w:tc>
        <w:tc>
          <w:tcPr>
            <w:tcW w:w="8034" w:type="dxa"/>
            <w:tcBorders>
              <w:tl2br w:val="nil"/>
              <w:tr2bl w:val="nil"/>
            </w:tcBorders>
            <w:vAlign w:val="center"/>
          </w:tcPr>
          <w:p w14:paraId="6976023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船舶含油废水收集后由有条件的码头接收并处理；船舶生活污水经船舶生活污水处理装置处理后交由有接收条件的码头接收处理；</w:t>
            </w:r>
          </w:p>
          <w:p w14:paraId="09379D1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地面冲洗废水经管沟收集后纳入松木污水处理厂处理；</w:t>
            </w:r>
          </w:p>
          <w:p w14:paraId="0A0A64C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机械冲洗、修理含油废水经隔油沉淀后进入园区污水管网，最终进入松木污水处理厂处理；</w:t>
            </w:r>
          </w:p>
          <w:p w14:paraId="356E7CE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生活污水经化粪池处理后排入园区污水管网，送至松木污水处理厂处理</w:t>
            </w:r>
          </w:p>
        </w:tc>
      </w:tr>
      <w:tr w14:paraId="4A709A1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D747C5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654D06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6F8E7FA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4075814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一氧化碳、氮氧化物</w:t>
            </w:r>
          </w:p>
        </w:tc>
        <w:tc>
          <w:tcPr>
            <w:tcW w:w="1559" w:type="dxa"/>
            <w:tcBorders>
              <w:tl2br w:val="nil"/>
              <w:tr2bl w:val="nil"/>
            </w:tcBorders>
            <w:vAlign w:val="center"/>
          </w:tcPr>
          <w:p w14:paraId="179FF6F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p>
        </w:tc>
        <w:tc>
          <w:tcPr>
            <w:tcW w:w="8034" w:type="dxa"/>
            <w:tcBorders>
              <w:tl2br w:val="nil"/>
              <w:tr2bl w:val="nil"/>
            </w:tcBorders>
            <w:vAlign w:val="center"/>
          </w:tcPr>
          <w:p w14:paraId="3712670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车辆及船舶排放尾气呈无组织排放</w:t>
            </w:r>
          </w:p>
        </w:tc>
      </w:tr>
      <w:tr w14:paraId="4B3063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077E97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12FFF4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restart"/>
            <w:tcBorders>
              <w:tl2br w:val="nil"/>
              <w:tr2bl w:val="nil"/>
            </w:tcBorders>
            <w:vAlign w:val="center"/>
          </w:tcPr>
          <w:p w14:paraId="37E8A01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517C2BC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59BFBD9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100t/a</w:t>
            </w:r>
          </w:p>
        </w:tc>
        <w:tc>
          <w:tcPr>
            <w:tcW w:w="8034" w:type="dxa"/>
            <w:vMerge w:val="restart"/>
            <w:tcBorders>
              <w:tl2br w:val="nil"/>
              <w:tr2bl w:val="nil"/>
            </w:tcBorders>
            <w:vAlign w:val="center"/>
          </w:tcPr>
          <w:p w14:paraId="1DC068D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77A7E5B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废油交由有资质单位处理</w:t>
            </w:r>
          </w:p>
        </w:tc>
      </w:tr>
      <w:tr w14:paraId="1A04F3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57D849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4F877D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continue"/>
            <w:tcBorders>
              <w:tl2br w:val="nil"/>
              <w:tr2bl w:val="nil"/>
            </w:tcBorders>
            <w:vAlign w:val="center"/>
          </w:tcPr>
          <w:p w14:paraId="0F4E36A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6CDC806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4D25B7B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3.6t/a</w:t>
            </w:r>
          </w:p>
        </w:tc>
        <w:tc>
          <w:tcPr>
            <w:tcW w:w="8034" w:type="dxa"/>
            <w:vMerge w:val="continue"/>
            <w:tcBorders>
              <w:tl2br w:val="nil"/>
              <w:tr2bl w:val="nil"/>
            </w:tcBorders>
            <w:vAlign w:val="center"/>
          </w:tcPr>
          <w:p w14:paraId="295903F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26A982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7D317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kern w:val="0"/>
                <w:szCs w:val="21"/>
              </w:rPr>
              <w:t>57</w:t>
            </w:r>
          </w:p>
        </w:tc>
        <w:tc>
          <w:tcPr>
            <w:tcW w:w="1165" w:type="dxa"/>
            <w:vMerge w:val="restart"/>
            <w:tcBorders>
              <w:tl2br w:val="nil"/>
              <w:tr2bl w:val="nil"/>
            </w:tcBorders>
            <w:vAlign w:val="center"/>
          </w:tcPr>
          <w:p w14:paraId="28E62C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衡阳市锦轩化工有限公司</w:t>
            </w:r>
          </w:p>
        </w:tc>
        <w:tc>
          <w:tcPr>
            <w:tcW w:w="1134" w:type="dxa"/>
            <w:tcBorders>
              <w:tl2br w:val="nil"/>
              <w:tr2bl w:val="nil"/>
            </w:tcBorders>
            <w:vAlign w:val="center"/>
          </w:tcPr>
          <w:p w14:paraId="2B096F7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5B5C706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pH、SS、COD、BOD</w:t>
            </w:r>
            <w:r>
              <w:rPr>
                <w:rFonts w:hint="default" w:ascii="Times New Roman" w:hAnsi="Times New Roman" w:eastAsia="宋体" w:cs="Times New Roman"/>
                <w:szCs w:val="21"/>
                <w:vertAlign w:val="subscript"/>
              </w:rPr>
              <w:t>5</w:t>
            </w:r>
            <w:r>
              <w:rPr>
                <w:rFonts w:hint="default" w:ascii="Times New Roman" w:hAnsi="Times New Roman" w:eastAsia="宋体" w:cs="Times New Roman"/>
                <w:szCs w:val="21"/>
              </w:rPr>
              <w:t>、NH</w:t>
            </w:r>
            <w:r>
              <w:rPr>
                <w:rFonts w:hint="default" w:ascii="Times New Roman" w:hAnsi="Times New Roman" w:eastAsia="宋体" w:cs="Times New Roman"/>
                <w:szCs w:val="21"/>
                <w:vertAlign w:val="subscript"/>
              </w:rPr>
              <w:t>3</w:t>
            </w:r>
            <w:r>
              <w:rPr>
                <w:rFonts w:hint="default" w:ascii="Times New Roman" w:hAnsi="Times New Roman" w:eastAsia="宋体" w:cs="Times New Roman"/>
                <w:szCs w:val="21"/>
              </w:rPr>
              <w:t>-N、氟化物</w:t>
            </w:r>
          </w:p>
        </w:tc>
        <w:tc>
          <w:tcPr>
            <w:tcW w:w="1559" w:type="dxa"/>
            <w:tcBorders>
              <w:tl2br w:val="nil"/>
              <w:tr2bl w:val="nil"/>
            </w:tcBorders>
            <w:vAlign w:val="center"/>
          </w:tcPr>
          <w:p w14:paraId="0D88A61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421.2m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8034" w:type="dxa"/>
            <w:tcBorders>
              <w:tl2br w:val="nil"/>
              <w:tr2bl w:val="nil"/>
            </w:tcBorders>
            <w:vAlign w:val="center"/>
          </w:tcPr>
          <w:p w14:paraId="2F41439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生产区清洗水和初期雨水集中收集后经厂内污水站预处理后通过污水管网排至松木污水处理厂，厂区污水处理站处理工艺为“气提+沉淀”；</w:t>
            </w:r>
          </w:p>
          <w:p w14:paraId="46C66F6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生活污水经厂区化粪池处理后，汇入经开区污水管网，最终进入松木污水处理厂处理达标后外排湘江</w:t>
            </w:r>
          </w:p>
        </w:tc>
      </w:tr>
      <w:tr w14:paraId="744B80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A3A498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65" w:type="dxa"/>
            <w:vMerge w:val="continue"/>
            <w:tcBorders>
              <w:tl2br w:val="nil"/>
              <w:tr2bl w:val="nil"/>
            </w:tcBorders>
            <w:vAlign w:val="center"/>
          </w:tcPr>
          <w:p w14:paraId="129BCE3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31E5AF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4FDBCC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颗粒物</w:t>
            </w:r>
          </w:p>
        </w:tc>
        <w:tc>
          <w:tcPr>
            <w:tcW w:w="1559" w:type="dxa"/>
            <w:tcBorders>
              <w:tl2br w:val="nil"/>
              <w:tr2bl w:val="nil"/>
            </w:tcBorders>
            <w:vAlign w:val="center"/>
          </w:tcPr>
          <w:p w14:paraId="3E6D949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532232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干燥环节产生的粉尘先经旋风除尘器一次处理；粉碎环节产生的粉尘浓先经布袋除尘器一次处理后，然后两股粉尘集中收集进入湿式除尘器内统一再经过二次除尘处理达标后，通过20m高的排气筒外排</w:t>
            </w:r>
          </w:p>
        </w:tc>
      </w:tr>
      <w:tr w14:paraId="4AB63A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783A89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65" w:type="dxa"/>
            <w:vMerge w:val="continue"/>
            <w:tcBorders>
              <w:tl2br w:val="nil"/>
              <w:tr2bl w:val="nil"/>
            </w:tcBorders>
            <w:vAlign w:val="center"/>
          </w:tcPr>
          <w:p w14:paraId="69B81A9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2AD6436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750606E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369770F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28.765t/a</w:t>
            </w:r>
          </w:p>
        </w:tc>
        <w:tc>
          <w:tcPr>
            <w:tcW w:w="8034" w:type="dxa"/>
            <w:tcBorders>
              <w:tl2br w:val="nil"/>
              <w:tr2bl w:val="nil"/>
            </w:tcBorders>
            <w:vAlign w:val="center"/>
          </w:tcPr>
          <w:p w14:paraId="184D90A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p w14:paraId="6673FDE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粉尘尘渣回用于生产</w:t>
            </w:r>
          </w:p>
        </w:tc>
      </w:tr>
      <w:tr w14:paraId="66575A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A99465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65" w:type="dxa"/>
            <w:vMerge w:val="continue"/>
            <w:tcBorders>
              <w:tl2br w:val="nil"/>
              <w:tr2bl w:val="nil"/>
            </w:tcBorders>
            <w:vAlign w:val="center"/>
          </w:tcPr>
          <w:p w14:paraId="1B8933F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0ABB229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58A212E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0F72206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8t/a</w:t>
            </w:r>
          </w:p>
        </w:tc>
        <w:tc>
          <w:tcPr>
            <w:tcW w:w="8034" w:type="dxa"/>
            <w:tcBorders>
              <w:tl2br w:val="nil"/>
              <w:tr2bl w:val="nil"/>
            </w:tcBorders>
            <w:vAlign w:val="center"/>
          </w:tcPr>
          <w:p w14:paraId="61EAB45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委托有相应危废资质的单位回收处置</w:t>
            </w:r>
          </w:p>
        </w:tc>
      </w:tr>
      <w:tr w14:paraId="3159A0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763DAD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58</w:t>
            </w:r>
          </w:p>
        </w:tc>
        <w:tc>
          <w:tcPr>
            <w:tcW w:w="1165" w:type="dxa"/>
            <w:vMerge w:val="restart"/>
            <w:tcBorders>
              <w:tl2br w:val="nil"/>
              <w:tr2bl w:val="nil"/>
            </w:tcBorders>
            <w:vAlign w:val="center"/>
          </w:tcPr>
          <w:p w14:paraId="0AC4D2B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衡阳恒缘新材料科技股份有限公司</w:t>
            </w:r>
          </w:p>
        </w:tc>
        <w:tc>
          <w:tcPr>
            <w:tcW w:w="1134" w:type="dxa"/>
            <w:tcBorders>
              <w:tl2br w:val="nil"/>
              <w:tr2bl w:val="nil"/>
            </w:tcBorders>
            <w:vAlign w:val="center"/>
          </w:tcPr>
          <w:p w14:paraId="4131546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4C701EC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COD、氨氮、石油类、SS、挥发酚</w:t>
            </w:r>
          </w:p>
        </w:tc>
        <w:tc>
          <w:tcPr>
            <w:tcW w:w="1559" w:type="dxa"/>
            <w:tcBorders>
              <w:tl2br w:val="nil"/>
              <w:tr2bl w:val="nil"/>
            </w:tcBorders>
            <w:vAlign w:val="center"/>
          </w:tcPr>
          <w:p w14:paraId="70BD241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47574t/a</w:t>
            </w:r>
          </w:p>
        </w:tc>
        <w:tc>
          <w:tcPr>
            <w:tcW w:w="8034" w:type="dxa"/>
            <w:tcBorders>
              <w:tl2br w:val="nil"/>
              <w:tr2bl w:val="nil"/>
            </w:tcBorders>
            <w:vAlign w:val="center"/>
          </w:tcPr>
          <w:p w14:paraId="788E004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酯化反应生成水等工艺废水经收集暂存后委托有资质单位处理；</w:t>
            </w:r>
          </w:p>
          <w:p w14:paraId="6FC02AD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车间地面冲洗废水、机泵冷却水排水经沉砂、隔油池处理达标后通过市政管网送至松木污水处理厂处理；</w:t>
            </w:r>
          </w:p>
          <w:p w14:paraId="57C6EBE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机加工废水经沉淀处理后循环回用；</w:t>
            </w:r>
          </w:p>
          <w:p w14:paraId="1A764B7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生活污水经化粪池预处理后排入园区污水管网，进入松木污水处理厂处理，处理达标后排入湘江。</w:t>
            </w:r>
          </w:p>
        </w:tc>
      </w:tr>
      <w:tr w14:paraId="326B4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F1A6C2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6206547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663A31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843AF4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粉尘、甲醇、甲苯、二甲苯、甲醛、非甲烷总体</w:t>
            </w:r>
          </w:p>
        </w:tc>
        <w:tc>
          <w:tcPr>
            <w:tcW w:w="1559" w:type="dxa"/>
            <w:tcBorders>
              <w:tl2br w:val="nil"/>
              <w:tr2bl w:val="nil"/>
            </w:tcBorders>
            <w:vAlign w:val="center"/>
          </w:tcPr>
          <w:p w14:paraId="46C9C54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6D2891E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成型件加工车间含尘废气经布袋收尘后经15m排气筒排放；</w:t>
            </w:r>
          </w:p>
          <w:p w14:paraId="557E6B6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层压车间、油漆树脂车间工艺废气、云母管棒车间废气等经蓄热焚烧炉焚烧后经15m高排气筒排放</w:t>
            </w:r>
          </w:p>
        </w:tc>
      </w:tr>
      <w:tr w14:paraId="348E3C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B47276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9FBAF5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1F9B3D5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1E49A2B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5C5053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394t/a</w:t>
            </w:r>
          </w:p>
        </w:tc>
        <w:tc>
          <w:tcPr>
            <w:tcW w:w="8034" w:type="dxa"/>
            <w:tcBorders>
              <w:tl2br w:val="nil"/>
              <w:tr2bl w:val="nil"/>
            </w:tcBorders>
            <w:vAlign w:val="center"/>
          </w:tcPr>
          <w:p w14:paraId="543DAE0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废水沉淀渣、布袋收尘灰、机加工废渣等收集后送生活垃圾填埋场处理；</w:t>
            </w:r>
          </w:p>
          <w:p w14:paraId="011E905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废包装材料由厂家回收；</w:t>
            </w:r>
          </w:p>
          <w:p w14:paraId="199C928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1D7D98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CD655D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34C11C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2677749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1429B4B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1C54E9E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123.399t/a</w:t>
            </w:r>
          </w:p>
        </w:tc>
        <w:tc>
          <w:tcPr>
            <w:tcW w:w="8034" w:type="dxa"/>
            <w:tcBorders>
              <w:tl2br w:val="nil"/>
              <w:tr2bl w:val="nil"/>
            </w:tcBorders>
            <w:vAlign w:val="center"/>
          </w:tcPr>
          <w:p w14:paraId="77E5A26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过滤渣、废导热油、废劳保用品、酯化反应废水经收集后送有资质单位处理</w:t>
            </w:r>
          </w:p>
        </w:tc>
      </w:tr>
      <w:tr w14:paraId="7A7E8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46DD842D">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59</w:t>
            </w:r>
          </w:p>
        </w:tc>
        <w:tc>
          <w:tcPr>
            <w:tcW w:w="1165" w:type="dxa"/>
            <w:vMerge w:val="restart"/>
            <w:tcBorders>
              <w:tl2br w:val="nil"/>
              <w:tr2bl w:val="nil"/>
            </w:tcBorders>
            <w:vAlign w:val="center"/>
          </w:tcPr>
          <w:p w14:paraId="3A6FA008">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衡阳力赛储能有限公司</w:t>
            </w:r>
          </w:p>
        </w:tc>
        <w:tc>
          <w:tcPr>
            <w:tcW w:w="1134" w:type="dxa"/>
            <w:tcBorders>
              <w:tl2br w:val="nil"/>
              <w:tr2bl w:val="nil"/>
            </w:tcBorders>
            <w:vAlign w:val="center"/>
          </w:tcPr>
          <w:p w14:paraId="39EED80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13E1196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COD、P、Li、氨氮、SS</w:t>
            </w:r>
          </w:p>
        </w:tc>
        <w:tc>
          <w:tcPr>
            <w:tcW w:w="1559" w:type="dxa"/>
            <w:tcBorders>
              <w:tl2br w:val="nil"/>
              <w:tr2bl w:val="nil"/>
            </w:tcBorders>
            <w:vAlign w:val="center"/>
          </w:tcPr>
          <w:p w14:paraId="5B0F05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1726.35t/a</w:t>
            </w:r>
          </w:p>
        </w:tc>
        <w:tc>
          <w:tcPr>
            <w:tcW w:w="8034" w:type="dxa"/>
            <w:tcBorders>
              <w:tl2br w:val="nil"/>
              <w:tr2bl w:val="nil"/>
            </w:tcBorders>
            <w:vAlign w:val="center"/>
          </w:tcPr>
          <w:p w14:paraId="2970F13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电池清洗废水经厂区污水处理站（调节pH值+一级氧化处理+二级强氧化处理+絮凝沉淀）处理后排入松木污水处理厂处理；</w:t>
            </w:r>
          </w:p>
          <w:p w14:paraId="268BDF4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生活污水经化粪池预处理后排入园区污水管网，进入松木污水处理厂处理，处理达标后排入湘江</w:t>
            </w:r>
          </w:p>
        </w:tc>
      </w:tr>
      <w:tr w14:paraId="3F664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607FA4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D02197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5FB2B36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0D8704E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VOC</w:t>
            </w:r>
            <w:r>
              <w:rPr>
                <w:rFonts w:hint="default" w:ascii="Times New Roman" w:hAnsi="Times New Roman" w:eastAsia="宋体" w:cs="Times New Roman"/>
                <w:szCs w:val="21"/>
                <w:vertAlign w:val="subscript"/>
              </w:rPr>
              <w:t>S</w:t>
            </w:r>
          </w:p>
        </w:tc>
        <w:tc>
          <w:tcPr>
            <w:tcW w:w="1559" w:type="dxa"/>
            <w:tcBorders>
              <w:tl2br w:val="nil"/>
              <w:tr2bl w:val="nil"/>
            </w:tcBorders>
            <w:vAlign w:val="center"/>
          </w:tcPr>
          <w:p w14:paraId="3162F31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158338A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涂布烘干废气经转轮吸附系统吸收后部分返回涂布工序，部分通过15m高排气筒排放；</w:t>
            </w:r>
          </w:p>
          <w:p w14:paraId="573D611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电解液废气经转轮吸附系统吸收后通过15m高排气筒排放；</w:t>
            </w:r>
          </w:p>
        </w:tc>
      </w:tr>
      <w:tr w14:paraId="3DD588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C9673C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E5912F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restart"/>
            <w:tcBorders>
              <w:tl2br w:val="nil"/>
              <w:tr2bl w:val="nil"/>
            </w:tcBorders>
            <w:vAlign w:val="center"/>
          </w:tcPr>
          <w:p w14:paraId="7960B0E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3119243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4BBC788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43.675t/a</w:t>
            </w:r>
          </w:p>
        </w:tc>
        <w:tc>
          <w:tcPr>
            <w:tcW w:w="8034" w:type="dxa"/>
            <w:tcBorders>
              <w:tl2br w:val="nil"/>
              <w:tr2bl w:val="nil"/>
            </w:tcBorders>
            <w:vAlign w:val="center"/>
          </w:tcPr>
          <w:p w14:paraId="397C378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废包装材料、正负极板下角料、废极耳、废铜箔等外售综合利用；</w:t>
            </w:r>
          </w:p>
          <w:p w14:paraId="1E2DF3A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4043B2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E9FEB6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1F8C84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continue"/>
            <w:tcBorders>
              <w:tl2br w:val="nil"/>
              <w:tr2bl w:val="nil"/>
            </w:tcBorders>
            <w:vAlign w:val="center"/>
          </w:tcPr>
          <w:p w14:paraId="36D3982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1524BDE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1FDA15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952.6t/a</w:t>
            </w:r>
          </w:p>
        </w:tc>
        <w:tc>
          <w:tcPr>
            <w:tcW w:w="8034" w:type="dxa"/>
            <w:tcBorders>
              <w:tl2br w:val="nil"/>
              <w:tr2bl w:val="nil"/>
            </w:tcBorders>
            <w:vAlign w:val="center"/>
          </w:tcPr>
          <w:p w14:paraId="170CC1C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污泥委托有资质单位处理；</w:t>
            </w:r>
          </w:p>
          <w:p w14:paraId="5A38669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NMP冷凝回收液送生产厂家回收处理</w:t>
            </w:r>
          </w:p>
        </w:tc>
      </w:tr>
      <w:tr w14:paraId="66FDD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3BABAFE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60</w:t>
            </w:r>
          </w:p>
        </w:tc>
        <w:tc>
          <w:tcPr>
            <w:tcW w:w="1165" w:type="dxa"/>
            <w:vMerge w:val="restart"/>
            <w:tcBorders>
              <w:tl2br w:val="nil"/>
              <w:tr2bl w:val="nil"/>
            </w:tcBorders>
            <w:vAlign w:val="center"/>
          </w:tcPr>
          <w:p w14:paraId="5BBBA5E0">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湖南大合新材料有限公司</w:t>
            </w:r>
          </w:p>
        </w:tc>
        <w:tc>
          <w:tcPr>
            <w:tcW w:w="1134" w:type="dxa"/>
            <w:tcBorders>
              <w:tl2br w:val="nil"/>
              <w:tr2bl w:val="nil"/>
            </w:tcBorders>
            <w:vAlign w:val="center"/>
          </w:tcPr>
          <w:p w14:paraId="0325FB6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BBB2C7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SS、COD、石油类、硫化物、氨氮</w:t>
            </w:r>
          </w:p>
        </w:tc>
        <w:tc>
          <w:tcPr>
            <w:tcW w:w="1559" w:type="dxa"/>
            <w:tcBorders>
              <w:tl2br w:val="nil"/>
              <w:tr2bl w:val="nil"/>
            </w:tcBorders>
            <w:vAlign w:val="center"/>
          </w:tcPr>
          <w:p w14:paraId="61392A8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30967t/a</w:t>
            </w:r>
          </w:p>
        </w:tc>
        <w:tc>
          <w:tcPr>
            <w:tcW w:w="8034" w:type="dxa"/>
            <w:tcBorders>
              <w:tl2br w:val="nil"/>
              <w:tr2bl w:val="nil"/>
            </w:tcBorders>
            <w:vAlign w:val="center"/>
          </w:tcPr>
          <w:p w14:paraId="0BF0687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酯化冷凝废水、环合废水、精制废水、洗涤塔废水、CS2储罐水封废水、设备及地面冲洗水等生产废水及初期雨水收集后经硫酸亚铁沉淀+芬顿反应+MVR蒸发+生化处理后部分回用，其余排至园区污水处理厂处理；</w:t>
            </w:r>
          </w:p>
          <w:p w14:paraId="6993F9F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生活污水经化粪池预处理后排入园区污水管网，进入松木污水处理厂处理，处理达标后排入湘江</w:t>
            </w:r>
          </w:p>
        </w:tc>
      </w:tr>
      <w:tr w14:paraId="027F77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9D7D51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6F605C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5EDD4B4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DD9C24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二氧化硫、VOC</w:t>
            </w:r>
            <w:r>
              <w:rPr>
                <w:rFonts w:hint="default" w:ascii="Times New Roman" w:hAnsi="Times New Roman" w:eastAsia="宋体" w:cs="Times New Roman"/>
                <w:szCs w:val="21"/>
                <w:vertAlign w:val="subscript"/>
              </w:rPr>
              <w:t>S</w:t>
            </w:r>
            <w:r>
              <w:rPr>
                <w:rFonts w:hint="default" w:ascii="Times New Roman" w:hAnsi="Times New Roman" w:eastAsia="宋体" w:cs="Times New Roman"/>
                <w:szCs w:val="21"/>
              </w:rPr>
              <w:t>、粉尘、氯化氢、NH</w:t>
            </w:r>
            <w:r>
              <w:rPr>
                <w:rFonts w:hint="default" w:ascii="Times New Roman" w:hAnsi="Times New Roman" w:eastAsia="宋体" w:cs="Times New Roman"/>
                <w:szCs w:val="21"/>
                <w:vertAlign w:val="subscript"/>
              </w:rPr>
              <w:t>3</w:t>
            </w:r>
          </w:p>
        </w:tc>
        <w:tc>
          <w:tcPr>
            <w:tcW w:w="1559" w:type="dxa"/>
            <w:tcBorders>
              <w:tl2br w:val="nil"/>
              <w:tr2bl w:val="nil"/>
            </w:tcBorders>
            <w:vAlign w:val="center"/>
          </w:tcPr>
          <w:p w14:paraId="187D23F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26CFD09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酯化反应尾气、环合釜尾气和半胱胺盐酸盐减压精馏尾气经引风机引至洗涤塔经一级碱洗+一级水洗后，由20米排气筒外排；</w:t>
            </w:r>
          </w:p>
          <w:p w14:paraId="4D67A52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水解尾气送水降膜吸收塔+填料塔回收氯化氢后送硫化氢焚烧炉尾气送至湖南恒光化工有限公司硫酸制酸系统经“二转二吸工艺”生产硫酸；</w:t>
            </w:r>
          </w:p>
          <w:p w14:paraId="38EC71C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元明粉离心干燥器自带旋风除尘和布袋除尘器处理后由17米排气筒外排</w:t>
            </w:r>
          </w:p>
        </w:tc>
      </w:tr>
      <w:tr w14:paraId="6C7E32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E49687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D4BF44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restart"/>
            <w:tcBorders>
              <w:tl2br w:val="nil"/>
              <w:tr2bl w:val="nil"/>
            </w:tcBorders>
            <w:vAlign w:val="center"/>
          </w:tcPr>
          <w:p w14:paraId="03FADA9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5B477EB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34944AE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689t/a</w:t>
            </w:r>
          </w:p>
        </w:tc>
        <w:tc>
          <w:tcPr>
            <w:tcW w:w="8034" w:type="dxa"/>
            <w:tcBorders>
              <w:tl2br w:val="nil"/>
              <w:tr2bl w:val="nil"/>
            </w:tcBorders>
            <w:vAlign w:val="center"/>
          </w:tcPr>
          <w:p w14:paraId="4677330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废水处理站污泥经脱水后送至垃圾填埋场填埋、粉尘外售、废旧包装袋/桶返回厂家利用；生活垃圾交由环卫部门处理</w:t>
            </w:r>
          </w:p>
        </w:tc>
      </w:tr>
      <w:tr w14:paraId="4B4312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CEC89C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18D1BC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continue"/>
            <w:tcBorders>
              <w:tl2br w:val="nil"/>
              <w:tr2bl w:val="nil"/>
            </w:tcBorders>
            <w:vAlign w:val="center"/>
          </w:tcPr>
          <w:p w14:paraId="2E76F30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550FE33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29DC6DC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3.236t/a</w:t>
            </w:r>
          </w:p>
        </w:tc>
        <w:tc>
          <w:tcPr>
            <w:tcW w:w="8034" w:type="dxa"/>
            <w:tcBorders>
              <w:tl2br w:val="nil"/>
              <w:tr2bl w:val="nil"/>
            </w:tcBorders>
            <w:vAlign w:val="center"/>
          </w:tcPr>
          <w:p w14:paraId="5CE0BFF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交由资质单位处理</w:t>
            </w:r>
          </w:p>
        </w:tc>
      </w:tr>
      <w:tr w14:paraId="45C25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679803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61</w:t>
            </w:r>
          </w:p>
        </w:tc>
        <w:tc>
          <w:tcPr>
            <w:tcW w:w="1165" w:type="dxa"/>
            <w:vMerge w:val="restart"/>
            <w:tcBorders>
              <w:tl2br w:val="nil"/>
              <w:tr2bl w:val="nil"/>
            </w:tcBorders>
            <w:vAlign w:val="center"/>
          </w:tcPr>
          <w:p w14:paraId="0FC0C60E">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湖南丰联精细化工有限公司</w:t>
            </w:r>
          </w:p>
        </w:tc>
        <w:tc>
          <w:tcPr>
            <w:tcW w:w="1134" w:type="dxa"/>
            <w:tcBorders>
              <w:tl2br w:val="nil"/>
              <w:tr2bl w:val="nil"/>
            </w:tcBorders>
            <w:vAlign w:val="center"/>
          </w:tcPr>
          <w:p w14:paraId="76331E6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CEB530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pH、COD、SS、硫化物、硫酸盐、石油类、氨氮</w:t>
            </w:r>
          </w:p>
        </w:tc>
        <w:tc>
          <w:tcPr>
            <w:tcW w:w="1559" w:type="dxa"/>
            <w:tcBorders>
              <w:tl2br w:val="nil"/>
              <w:tr2bl w:val="nil"/>
            </w:tcBorders>
            <w:vAlign w:val="center"/>
          </w:tcPr>
          <w:p w14:paraId="527C55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28226.55t/a</w:t>
            </w:r>
          </w:p>
        </w:tc>
        <w:tc>
          <w:tcPr>
            <w:tcW w:w="8034" w:type="dxa"/>
            <w:tcBorders>
              <w:tl2br w:val="nil"/>
              <w:tr2bl w:val="nil"/>
            </w:tcBorders>
            <w:vAlign w:val="center"/>
          </w:tcPr>
          <w:p w14:paraId="438389F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酯化生产废水、环合废水、精制废水、洗涤塔废水、CS2储罐水封废水、设备及地面冲洗废水等经厂区污水处理站处理后排至松木污水处理厂处理；</w:t>
            </w:r>
          </w:p>
          <w:p w14:paraId="63C33D1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生活污水经化粪池预处理后排入园区污水管网，进入松木污水处理厂处理，处理达标后排入湘江</w:t>
            </w:r>
          </w:p>
        </w:tc>
      </w:tr>
      <w:tr w14:paraId="107707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97CEFD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BE2BEB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5B04247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02E7DE0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硫化氢、氯化氢、硫化碳、氨、VOC</w:t>
            </w:r>
            <w:r>
              <w:rPr>
                <w:rFonts w:hint="default" w:ascii="Times New Roman" w:hAnsi="Times New Roman" w:eastAsia="宋体" w:cs="Times New Roman"/>
                <w:szCs w:val="21"/>
                <w:vertAlign w:val="subscript"/>
              </w:rPr>
              <w:t>S</w:t>
            </w:r>
          </w:p>
        </w:tc>
        <w:tc>
          <w:tcPr>
            <w:tcW w:w="1559" w:type="dxa"/>
            <w:tcBorders>
              <w:tl2br w:val="nil"/>
              <w:tr2bl w:val="nil"/>
            </w:tcBorders>
            <w:vAlign w:val="center"/>
          </w:tcPr>
          <w:p w14:paraId="48DC7DB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00E4E84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元明粉干燥废气经旋风除尘+布袋除尘后由17m排气筒外排；</w:t>
            </w:r>
          </w:p>
          <w:p w14:paraId="24350E2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水解釜尾气经降膜吸收塔+填料塔回收氯化氢后，送硫化氢焚烧炉焚烧，焚烧尾气送湖南恒光化工有限公司制酸系统回用；</w:t>
            </w:r>
          </w:p>
          <w:p w14:paraId="3774376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酯化反应尾气、环合釜尾气、精馏尾气经洗涤塔碱洗后由20m排气筒排放</w:t>
            </w:r>
          </w:p>
        </w:tc>
      </w:tr>
      <w:tr w14:paraId="4B4C56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380C42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E30522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restart"/>
            <w:tcBorders>
              <w:tl2br w:val="nil"/>
              <w:tr2bl w:val="nil"/>
            </w:tcBorders>
            <w:vAlign w:val="center"/>
          </w:tcPr>
          <w:p w14:paraId="1364AAB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D6579E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076890C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702.2t/a</w:t>
            </w:r>
          </w:p>
        </w:tc>
        <w:tc>
          <w:tcPr>
            <w:tcW w:w="8034" w:type="dxa"/>
            <w:tcBorders>
              <w:tl2br w:val="nil"/>
              <w:tr2bl w:val="nil"/>
            </w:tcBorders>
            <w:vAlign w:val="center"/>
          </w:tcPr>
          <w:p w14:paraId="221CAB7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污水处理站污泥脱水后送垃圾填埋场填埋处理；</w:t>
            </w:r>
          </w:p>
          <w:p w14:paraId="0D6DF8B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收尘器粉尘经收集后外售处理；</w:t>
            </w:r>
          </w:p>
          <w:p w14:paraId="3824E27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废包装材料返回厂家利用；</w:t>
            </w:r>
          </w:p>
          <w:p w14:paraId="5A35DFF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2597AE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3368E9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317E71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continue"/>
            <w:tcBorders>
              <w:tl2br w:val="nil"/>
              <w:tr2bl w:val="nil"/>
            </w:tcBorders>
            <w:vAlign w:val="center"/>
          </w:tcPr>
          <w:p w14:paraId="4781BD8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2F5E34B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08CB665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3.2t/a</w:t>
            </w:r>
          </w:p>
        </w:tc>
        <w:tc>
          <w:tcPr>
            <w:tcW w:w="8034" w:type="dxa"/>
            <w:tcBorders>
              <w:tl2br w:val="nil"/>
              <w:tr2bl w:val="nil"/>
            </w:tcBorders>
            <w:vAlign w:val="center"/>
          </w:tcPr>
          <w:p w14:paraId="16CC116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外委有资质单位处理</w:t>
            </w:r>
          </w:p>
        </w:tc>
      </w:tr>
      <w:tr w14:paraId="51CCCA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2EE1289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62</w:t>
            </w:r>
          </w:p>
        </w:tc>
        <w:tc>
          <w:tcPr>
            <w:tcW w:w="1165" w:type="dxa"/>
            <w:vMerge w:val="restart"/>
            <w:tcBorders>
              <w:tl2br w:val="nil"/>
              <w:tr2bl w:val="nil"/>
            </w:tcBorders>
            <w:vAlign w:val="center"/>
          </w:tcPr>
          <w:p w14:paraId="2E06E3C5">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湖南潇峰化工科技有限公司</w:t>
            </w:r>
          </w:p>
        </w:tc>
        <w:tc>
          <w:tcPr>
            <w:tcW w:w="1134" w:type="dxa"/>
            <w:tcBorders>
              <w:tl2br w:val="nil"/>
              <w:tr2bl w:val="nil"/>
            </w:tcBorders>
            <w:vAlign w:val="center"/>
          </w:tcPr>
          <w:p w14:paraId="6906C0E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2DE1B2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COD、氨氮、SS</w:t>
            </w:r>
          </w:p>
        </w:tc>
        <w:tc>
          <w:tcPr>
            <w:tcW w:w="1559" w:type="dxa"/>
            <w:tcBorders>
              <w:tl2br w:val="nil"/>
              <w:tr2bl w:val="nil"/>
            </w:tcBorders>
            <w:vAlign w:val="center"/>
          </w:tcPr>
          <w:p w14:paraId="3A46913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280t/a</w:t>
            </w:r>
          </w:p>
        </w:tc>
        <w:tc>
          <w:tcPr>
            <w:tcW w:w="8034" w:type="dxa"/>
            <w:tcBorders>
              <w:tl2br w:val="nil"/>
              <w:tr2bl w:val="nil"/>
            </w:tcBorders>
            <w:vAlign w:val="center"/>
          </w:tcPr>
          <w:p w14:paraId="014F842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地面冲洗废水经沉淀隔油池处理后进入松木污水处理厂；生活污水经化粪池预处理后进入松木污水处理厂；</w:t>
            </w:r>
          </w:p>
        </w:tc>
      </w:tr>
      <w:tr w14:paraId="4A1E1A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BB09A5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C7295B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1C2532C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ADBB34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VOC</w:t>
            </w:r>
            <w:r>
              <w:rPr>
                <w:rFonts w:hint="default" w:ascii="Times New Roman" w:hAnsi="Times New Roman" w:eastAsia="宋体" w:cs="Times New Roman"/>
                <w:szCs w:val="21"/>
                <w:vertAlign w:val="subscript"/>
              </w:rPr>
              <w:t>S</w:t>
            </w:r>
          </w:p>
        </w:tc>
        <w:tc>
          <w:tcPr>
            <w:tcW w:w="1559" w:type="dxa"/>
            <w:tcBorders>
              <w:tl2br w:val="nil"/>
              <w:tr2bl w:val="nil"/>
            </w:tcBorders>
            <w:vAlign w:val="center"/>
          </w:tcPr>
          <w:p w14:paraId="4C086DB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1050090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聚合有机废气经活性炭吸附+光催化氧化设施处理后经15m排气筒外排；</w:t>
            </w:r>
          </w:p>
        </w:tc>
      </w:tr>
      <w:tr w14:paraId="030668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5F3863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E553F7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restart"/>
            <w:tcBorders>
              <w:tl2br w:val="nil"/>
              <w:tr2bl w:val="nil"/>
            </w:tcBorders>
            <w:vAlign w:val="center"/>
          </w:tcPr>
          <w:p w14:paraId="3C3981A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4E41E0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745311C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4.6t/a</w:t>
            </w:r>
          </w:p>
        </w:tc>
        <w:tc>
          <w:tcPr>
            <w:tcW w:w="8034" w:type="dxa"/>
            <w:tcBorders>
              <w:tl2br w:val="nil"/>
              <w:tr2bl w:val="nil"/>
            </w:tcBorders>
            <w:vAlign w:val="center"/>
          </w:tcPr>
          <w:p w14:paraId="0ECB8B3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生活垃圾及废旧包装袋交由环卫部门进行处理</w:t>
            </w:r>
          </w:p>
        </w:tc>
      </w:tr>
      <w:tr w14:paraId="450E25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3AF03C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06517C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continue"/>
            <w:tcBorders>
              <w:tl2br w:val="nil"/>
              <w:tr2bl w:val="nil"/>
            </w:tcBorders>
            <w:vAlign w:val="center"/>
          </w:tcPr>
          <w:p w14:paraId="2E60FC6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6870D22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51D5D57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14.6t/a</w:t>
            </w:r>
          </w:p>
        </w:tc>
        <w:tc>
          <w:tcPr>
            <w:tcW w:w="8034" w:type="dxa"/>
            <w:tcBorders>
              <w:tl2br w:val="nil"/>
              <w:tr2bl w:val="nil"/>
            </w:tcBorders>
            <w:vAlign w:val="center"/>
          </w:tcPr>
          <w:p w14:paraId="72A5138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滤渣、沉淀池沉渣、废导热油、废活性炭交由有资质单位处理</w:t>
            </w:r>
          </w:p>
        </w:tc>
      </w:tr>
      <w:tr w14:paraId="5E82D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1615C7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63</w:t>
            </w:r>
          </w:p>
        </w:tc>
        <w:tc>
          <w:tcPr>
            <w:tcW w:w="1165" w:type="dxa"/>
            <w:vMerge w:val="restart"/>
            <w:tcBorders>
              <w:tl2br w:val="nil"/>
              <w:tr2bl w:val="nil"/>
            </w:tcBorders>
            <w:vAlign w:val="center"/>
          </w:tcPr>
          <w:p w14:paraId="7F0E49BF">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衡阳金新莱孚新材料有限公司</w:t>
            </w:r>
          </w:p>
        </w:tc>
        <w:tc>
          <w:tcPr>
            <w:tcW w:w="1134" w:type="dxa"/>
            <w:tcBorders>
              <w:tl2br w:val="nil"/>
              <w:tr2bl w:val="nil"/>
            </w:tcBorders>
            <w:vAlign w:val="center"/>
          </w:tcPr>
          <w:p w14:paraId="343459D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DDBFC1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pH、F</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4</w:t>
            </w:r>
            <w:r>
              <w:rPr>
                <w:rFonts w:hint="default" w:ascii="Times New Roman" w:hAnsi="Times New Roman" w:eastAsia="宋体" w:cs="Times New Roman"/>
                <w:szCs w:val="21"/>
                <w:vertAlign w:val="superscript"/>
              </w:rPr>
              <w:t>2-</w:t>
            </w:r>
            <w:r>
              <w:rPr>
                <w:rFonts w:hint="default" w:ascii="Times New Roman" w:hAnsi="Times New Roman" w:eastAsia="宋体" w:cs="Times New Roman"/>
                <w:szCs w:val="21"/>
              </w:rPr>
              <w:t>、NH</w:t>
            </w:r>
            <w:r>
              <w:rPr>
                <w:rFonts w:hint="default" w:ascii="Times New Roman" w:hAnsi="Times New Roman" w:eastAsia="宋体" w:cs="Times New Roman"/>
                <w:szCs w:val="21"/>
                <w:vertAlign w:val="subscript"/>
              </w:rPr>
              <w:t>4</w:t>
            </w:r>
            <w:r>
              <w:rPr>
                <w:rFonts w:hint="default" w:ascii="Times New Roman" w:hAnsi="Times New Roman" w:eastAsia="宋体" w:cs="Times New Roman"/>
                <w:szCs w:val="21"/>
                <w:vertAlign w:val="superscript"/>
              </w:rPr>
              <w:t>+</w:t>
            </w:r>
            <w:r>
              <w:rPr>
                <w:rFonts w:hint="default" w:ascii="Times New Roman" w:hAnsi="Times New Roman" w:eastAsia="宋体" w:cs="Times New Roman"/>
                <w:szCs w:val="21"/>
              </w:rPr>
              <w:t>、COD</w:t>
            </w:r>
          </w:p>
        </w:tc>
        <w:tc>
          <w:tcPr>
            <w:tcW w:w="1559" w:type="dxa"/>
            <w:tcBorders>
              <w:tl2br w:val="nil"/>
              <w:tr2bl w:val="nil"/>
            </w:tcBorders>
            <w:vAlign w:val="center"/>
          </w:tcPr>
          <w:p w14:paraId="0E71828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74400t/a</w:t>
            </w:r>
          </w:p>
        </w:tc>
        <w:tc>
          <w:tcPr>
            <w:tcW w:w="8034" w:type="dxa"/>
            <w:tcBorders>
              <w:tl2br w:val="nil"/>
              <w:tr2bl w:val="nil"/>
            </w:tcBorders>
            <w:vAlign w:val="center"/>
          </w:tcPr>
          <w:p w14:paraId="5BD5C3B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淋洗塔冷凝废水及清水洗淋废水回用于钽铌矿分解；碱洗淋洗废水进入厂区污水处理站加石灰沉淀处理后排入园区污水管网进松木污水处理厂处理；</w:t>
            </w:r>
          </w:p>
          <w:p w14:paraId="6BF1C2D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矿萃车间含氟废水80%回用于钽铌矿分解，20%排入废水处理站加石灰浆后隔油沉淀处理后排入松木污水处理厂处理；</w:t>
            </w:r>
          </w:p>
          <w:p w14:paraId="77EF2A7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含氨废水经过加石灰浆调pH值并且沉淀SO42-、F-，再通过蒸气进行三级吹脱脱氨、鸟粪石沉淀、石灰乳和聚合硫酸铝沉淀法处理后排入松木污水处理厂处理；</w:t>
            </w:r>
          </w:p>
          <w:p w14:paraId="7BCED17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阴阳离子交换废水经中和处理后排入松木污水处理厂处理；</w:t>
            </w:r>
          </w:p>
          <w:p w14:paraId="5E8BB51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厂区车间清洁废水及初期雨水与含氨废水调节后，采用鸟粪石沉淀、石灰乳和聚合硫酸铝沉淀法处理，而后排入松木污水处理厂处理；</w:t>
            </w:r>
          </w:p>
          <w:p w14:paraId="30A3AE1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生活污水经化粪池处理后，经园区污水管网排入松木污水处理厂处理</w:t>
            </w:r>
          </w:p>
        </w:tc>
      </w:tr>
      <w:tr w14:paraId="526402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6D290A7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108CA2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759A288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ECF20B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r>
              <w:rPr>
                <w:rFonts w:hint="default" w:ascii="Times New Roman" w:hAnsi="Times New Roman" w:eastAsia="宋体" w:cs="Times New Roman"/>
                <w:szCs w:val="21"/>
              </w:rPr>
              <w:t>、HF、硫酸雾、油烟</w:t>
            </w:r>
          </w:p>
        </w:tc>
        <w:tc>
          <w:tcPr>
            <w:tcW w:w="1559" w:type="dxa"/>
            <w:tcBorders>
              <w:tl2br w:val="nil"/>
              <w:tr2bl w:val="nil"/>
            </w:tcBorders>
            <w:vAlign w:val="center"/>
          </w:tcPr>
          <w:p w14:paraId="4385459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2D20783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燃气锅炉废气通过15m排气筒排放；</w:t>
            </w:r>
          </w:p>
          <w:p w14:paraId="11E7BB2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磨矿粉尘经过布袋除尘器处理后，通过15m高排气筒排放；</w:t>
            </w:r>
          </w:p>
          <w:p w14:paraId="79FD79F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分解过程中产生HF、硫酸雾的酸性废气经过冷凝、二级清水淋洗塔、二级碱洗淋洗塔淋洗后经过15m排气筒排放；</w:t>
            </w:r>
          </w:p>
          <w:p w14:paraId="1A344BD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油烟废气净化处理后通过专用排气筒至屋顶高空排放</w:t>
            </w:r>
          </w:p>
        </w:tc>
      </w:tr>
      <w:tr w14:paraId="1AA2C50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EA5ED8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3DBDC3B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restart"/>
            <w:tcBorders>
              <w:tl2br w:val="nil"/>
              <w:tr2bl w:val="nil"/>
            </w:tcBorders>
            <w:vAlign w:val="center"/>
          </w:tcPr>
          <w:p w14:paraId="176AFE4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7ABE056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26B93B1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236.7t/a</w:t>
            </w:r>
          </w:p>
        </w:tc>
        <w:tc>
          <w:tcPr>
            <w:tcW w:w="8034" w:type="dxa"/>
            <w:tcBorders>
              <w:tl2br w:val="nil"/>
              <w:tr2bl w:val="nil"/>
            </w:tcBorders>
            <w:vAlign w:val="center"/>
          </w:tcPr>
          <w:p w14:paraId="1BE09C8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脱氨废水沉淀渣外售做肥料综合利用；</w:t>
            </w:r>
          </w:p>
          <w:p w14:paraId="073E352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废离子交换树脂返回生产厂家处理；</w:t>
            </w:r>
          </w:p>
          <w:p w14:paraId="61A7393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7F7776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56FD6E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E83357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continue"/>
            <w:tcBorders>
              <w:tl2br w:val="nil"/>
              <w:tr2bl w:val="nil"/>
            </w:tcBorders>
            <w:vAlign w:val="center"/>
          </w:tcPr>
          <w:p w14:paraId="7C30869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341BFEC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危险固废（低放射性）</w:t>
            </w:r>
          </w:p>
        </w:tc>
        <w:tc>
          <w:tcPr>
            <w:tcW w:w="1559" w:type="dxa"/>
            <w:tcBorders>
              <w:tl2br w:val="nil"/>
              <w:tr2bl w:val="nil"/>
            </w:tcBorders>
            <w:vAlign w:val="center"/>
          </w:tcPr>
          <w:p w14:paraId="34DC4D9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3070t/a</w:t>
            </w:r>
          </w:p>
        </w:tc>
        <w:tc>
          <w:tcPr>
            <w:tcW w:w="8034" w:type="dxa"/>
            <w:tcBorders>
              <w:tl2br w:val="nil"/>
              <w:tr2bl w:val="nil"/>
            </w:tcBorders>
            <w:vAlign w:val="center"/>
          </w:tcPr>
          <w:p w14:paraId="2BDE35F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矿萃分解滤渣、中和沉渣等送湖南省放射性废物库</w:t>
            </w:r>
          </w:p>
        </w:tc>
      </w:tr>
      <w:tr w14:paraId="785DE4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E50537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64</w:t>
            </w:r>
          </w:p>
        </w:tc>
        <w:tc>
          <w:tcPr>
            <w:tcW w:w="1165" w:type="dxa"/>
            <w:vMerge w:val="restart"/>
            <w:tcBorders>
              <w:tl2br w:val="nil"/>
              <w:tr2bl w:val="nil"/>
            </w:tcBorders>
            <w:vAlign w:val="center"/>
          </w:tcPr>
          <w:p w14:paraId="335C6E6B">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lang w:bidi="ar"/>
              </w:rPr>
              <w:t>衡阳市铖昱锌品有限责任公司</w:t>
            </w:r>
          </w:p>
        </w:tc>
        <w:tc>
          <w:tcPr>
            <w:tcW w:w="1134" w:type="dxa"/>
            <w:tcBorders>
              <w:tl2br w:val="nil"/>
              <w:tr2bl w:val="nil"/>
            </w:tcBorders>
            <w:vAlign w:val="center"/>
          </w:tcPr>
          <w:p w14:paraId="3CE0F27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5342E7F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SS、Pb、As、pH、硫酸铵、硫酸钠、COD、氨氮</w:t>
            </w:r>
          </w:p>
        </w:tc>
        <w:tc>
          <w:tcPr>
            <w:tcW w:w="1559" w:type="dxa"/>
            <w:tcBorders>
              <w:tl2br w:val="nil"/>
              <w:tr2bl w:val="nil"/>
            </w:tcBorders>
            <w:vAlign w:val="center"/>
          </w:tcPr>
          <w:p w14:paraId="2F742C7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49.532万t/a</w:t>
            </w:r>
          </w:p>
        </w:tc>
        <w:tc>
          <w:tcPr>
            <w:tcW w:w="8034" w:type="dxa"/>
            <w:tcBorders>
              <w:tl2br w:val="nil"/>
              <w:tr2bl w:val="nil"/>
            </w:tcBorders>
            <w:vAlign w:val="center"/>
          </w:tcPr>
          <w:p w14:paraId="312CB88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回转窑冲渣水经循环水池沉淀后循环使用；</w:t>
            </w:r>
          </w:p>
          <w:p w14:paraId="4D70FDD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布袋清洗废水经中和沉淀后循环使用；</w:t>
            </w:r>
          </w:p>
          <w:p w14:paraId="58B5C3F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软化系统废水回用于回转窑冲渣；</w:t>
            </w:r>
          </w:p>
          <w:p w14:paraId="56C0780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沉锌后液及碱式碳酸锌洗水外运至衡阳市建衡实业有限公司生产硫酸铝铵；</w:t>
            </w:r>
          </w:p>
          <w:p w14:paraId="4E28939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地面及设备清洗废水经中和沉淀后回用于回转窑冲渣；</w:t>
            </w:r>
          </w:p>
          <w:p w14:paraId="018094B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碱液喷淋废水及酸雾吸收废水循环使用不外排；</w:t>
            </w:r>
          </w:p>
          <w:p w14:paraId="01AAF6B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原料及废渣堆放渗滤液用于瓦斯灰湿润；</w:t>
            </w:r>
          </w:p>
          <w:p w14:paraId="3D505ACC">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生活污水经化粪池预处理后排入园区污水管网，进入松木污水处理厂处理，处理达标后排入湘江</w:t>
            </w:r>
          </w:p>
        </w:tc>
      </w:tr>
      <w:tr w14:paraId="7510D2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849097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4595CF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54E2E9B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73C76FA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烟尘、SO</w:t>
            </w:r>
            <w:r>
              <w:rPr>
                <w:rFonts w:hint="default" w:ascii="Times New Roman" w:hAnsi="Times New Roman" w:eastAsia="宋体" w:cs="Times New Roman"/>
                <w:szCs w:val="21"/>
                <w:vertAlign w:val="subscript"/>
              </w:rPr>
              <w:t>2</w:t>
            </w:r>
            <w:r>
              <w:rPr>
                <w:rFonts w:hint="default" w:ascii="Times New Roman" w:hAnsi="Times New Roman" w:eastAsia="宋体" w:cs="Times New Roman"/>
                <w:szCs w:val="21"/>
              </w:rPr>
              <w:t>、NO</w:t>
            </w:r>
            <w:r>
              <w:rPr>
                <w:rFonts w:hint="default" w:ascii="Times New Roman" w:hAnsi="Times New Roman" w:eastAsia="宋体" w:cs="Times New Roman"/>
                <w:szCs w:val="21"/>
                <w:vertAlign w:val="subscript"/>
              </w:rPr>
              <w:t>X</w:t>
            </w:r>
            <w:r>
              <w:rPr>
                <w:rFonts w:hint="default" w:ascii="Times New Roman" w:hAnsi="Times New Roman" w:eastAsia="宋体" w:cs="Times New Roman"/>
                <w:szCs w:val="21"/>
              </w:rPr>
              <w:t>、Pb、As、Cd、硫酸雾、砷化氢、氨</w:t>
            </w:r>
          </w:p>
        </w:tc>
        <w:tc>
          <w:tcPr>
            <w:tcW w:w="1559" w:type="dxa"/>
            <w:tcBorders>
              <w:tl2br w:val="nil"/>
              <w:tr2bl w:val="nil"/>
            </w:tcBorders>
            <w:vAlign w:val="center"/>
          </w:tcPr>
          <w:p w14:paraId="0FF440E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6EFA469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回转窑炉烟气通过“余热锅炉+烟道冷却+布袋收尘+碱液喷淋+水喷淋”后由30m烟囱排放；</w:t>
            </w:r>
          </w:p>
          <w:p w14:paraId="55BEB13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回转窑卫生收尘废气经布袋收尘后由30m高烟囱排放；</w:t>
            </w:r>
          </w:p>
          <w:p w14:paraId="5E9293B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浸出酸雾、砷化氢废气经碱液吸收后由15m高排气筒排放；</w:t>
            </w:r>
          </w:p>
          <w:p w14:paraId="23CFB39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闪蒸干燥废气经旋风除尘+布袋收尘+水膜除尘后由20m排气筒排放；</w:t>
            </w:r>
          </w:p>
          <w:p w14:paraId="305C884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煅烧窑炉废气经布袋收尘+水膜除尘后由20m排气筒排放；</w:t>
            </w:r>
          </w:p>
          <w:p w14:paraId="3474FC2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煤气燃烧废气经水膜除尘后由20m排气筒排放</w:t>
            </w:r>
          </w:p>
        </w:tc>
      </w:tr>
      <w:tr w14:paraId="65171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4CA7B5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EBC42B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restart"/>
            <w:tcBorders>
              <w:tl2br w:val="nil"/>
              <w:tr2bl w:val="nil"/>
            </w:tcBorders>
            <w:vAlign w:val="center"/>
          </w:tcPr>
          <w:p w14:paraId="0A40CFC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33B4826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11FDA0E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48432t/a</w:t>
            </w:r>
          </w:p>
        </w:tc>
        <w:tc>
          <w:tcPr>
            <w:tcW w:w="8034" w:type="dxa"/>
            <w:tcBorders>
              <w:tl2br w:val="nil"/>
              <w:tr2bl w:val="nil"/>
            </w:tcBorders>
            <w:vAlign w:val="center"/>
          </w:tcPr>
          <w:p w14:paraId="1C9745C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回转窑水淬渣外售处理；</w:t>
            </w:r>
          </w:p>
          <w:p w14:paraId="68C8039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煤气发生炉渣、脱硫渣外售处理；</w:t>
            </w:r>
          </w:p>
          <w:p w14:paraId="4E381AB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生活垃圾交由环卫部门进行处理</w:t>
            </w:r>
          </w:p>
        </w:tc>
      </w:tr>
      <w:tr w14:paraId="3BF3A0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C309554">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7BA998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continue"/>
            <w:tcBorders>
              <w:tl2br w:val="nil"/>
              <w:tr2bl w:val="nil"/>
            </w:tcBorders>
            <w:vAlign w:val="center"/>
          </w:tcPr>
          <w:p w14:paraId="3189A7F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3B7541F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526F3EC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8762.89t/a</w:t>
            </w:r>
          </w:p>
        </w:tc>
        <w:tc>
          <w:tcPr>
            <w:tcW w:w="8034" w:type="dxa"/>
            <w:tcBorders>
              <w:tl2br w:val="nil"/>
              <w:tr2bl w:val="nil"/>
            </w:tcBorders>
            <w:vAlign w:val="center"/>
          </w:tcPr>
          <w:p w14:paraId="7234AFC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回转窑重力收尘灰、铁渣及废水处理污泥返回回转窑配料；干燥煅烧收尘灰返闪蒸干燥机；原料包装袋经清洗后循环使用；</w:t>
            </w:r>
          </w:p>
          <w:p w14:paraId="35384C4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浸出铅渣、铜镉渣出售给有资质单位处理；</w:t>
            </w:r>
          </w:p>
        </w:tc>
      </w:tr>
      <w:tr w14:paraId="0F0303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6788BF5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65</w:t>
            </w:r>
          </w:p>
        </w:tc>
        <w:tc>
          <w:tcPr>
            <w:tcW w:w="1165" w:type="dxa"/>
            <w:vMerge w:val="restart"/>
            <w:tcBorders>
              <w:tl2br w:val="nil"/>
              <w:tr2bl w:val="nil"/>
            </w:tcBorders>
            <w:vAlign w:val="center"/>
          </w:tcPr>
          <w:p w14:paraId="55EE7449">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湖南鸿业变压器有限公司</w:t>
            </w:r>
          </w:p>
        </w:tc>
        <w:tc>
          <w:tcPr>
            <w:tcW w:w="1134" w:type="dxa"/>
            <w:tcBorders>
              <w:tl2br w:val="nil"/>
              <w:tr2bl w:val="nil"/>
            </w:tcBorders>
            <w:vAlign w:val="center"/>
          </w:tcPr>
          <w:p w14:paraId="5AE092F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5B2024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COD、BOD</w:t>
            </w:r>
            <w:r>
              <w:rPr>
                <w:rFonts w:hint="default" w:ascii="Times New Roman" w:hAnsi="Times New Roman" w:eastAsia="宋体" w:cs="Times New Roman"/>
                <w:szCs w:val="21"/>
                <w:vertAlign w:val="subscript"/>
              </w:rPr>
              <w:t>5</w:t>
            </w:r>
            <w:r>
              <w:rPr>
                <w:rFonts w:hint="default" w:ascii="Times New Roman" w:hAnsi="Times New Roman" w:eastAsia="宋体" w:cs="Times New Roman"/>
                <w:szCs w:val="21"/>
              </w:rPr>
              <w:t>、氨氮</w:t>
            </w:r>
          </w:p>
        </w:tc>
        <w:tc>
          <w:tcPr>
            <w:tcW w:w="1559" w:type="dxa"/>
            <w:tcBorders>
              <w:tl2br w:val="nil"/>
              <w:tr2bl w:val="nil"/>
            </w:tcBorders>
            <w:vAlign w:val="center"/>
          </w:tcPr>
          <w:p w14:paraId="3BC8C88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1183.5t/a</w:t>
            </w:r>
          </w:p>
        </w:tc>
        <w:tc>
          <w:tcPr>
            <w:tcW w:w="8034" w:type="dxa"/>
            <w:tcBorders>
              <w:tl2br w:val="nil"/>
              <w:tr2bl w:val="nil"/>
            </w:tcBorders>
            <w:vAlign w:val="center"/>
          </w:tcPr>
          <w:p w14:paraId="01067F6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生活污水经化粪池处理后排入松木污水处理厂处理</w:t>
            </w:r>
          </w:p>
        </w:tc>
      </w:tr>
      <w:tr w14:paraId="29CCF7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CB6BFA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2DA36B8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52D10F2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32D49F2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w:t>
            </w:r>
          </w:p>
        </w:tc>
        <w:tc>
          <w:tcPr>
            <w:tcW w:w="1559" w:type="dxa"/>
            <w:tcBorders>
              <w:tl2br w:val="nil"/>
              <w:tr2bl w:val="nil"/>
            </w:tcBorders>
            <w:vAlign w:val="center"/>
          </w:tcPr>
          <w:p w14:paraId="2CCB46F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4C2EE7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烘干废气主要为水蒸气，经烟道有组织排放</w:t>
            </w:r>
          </w:p>
          <w:p w14:paraId="6B7C3F0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食堂油烟经油烟净化器进行净化后引至食堂楼顶排放。</w:t>
            </w:r>
          </w:p>
        </w:tc>
      </w:tr>
      <w:tr w14:paraId="254C06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F8F947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D98FB2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restart"/>
            <w:tcBorders>
              <w:tl2br w:val="nil"/>
              <w:tr2bl w:val="nil"/>
            </w:tcBorders>
            <w:vAlign w:val="center"/>
          </w:tcPr>
          <w:p w14:paraId="777E07F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1C3ED5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064211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12.3t/a</w:t>
            </w:r>
          </w:p>
        </w:tc>
        <w:tc>
          <w:tcPr>
            <w:tcW w:w="8034" w:type="dxa"/>
            <w:vMerge w:val="restart"/>
            <w:tcBorders>
              <w:tl2br w:val="nil"/>
              <w:tr2bl w:val="nil"/>
            </w:tcBorders>
            <w:vAlign w:val="center"/>
          </w:tcPr>
          <w:p w14:paraId="5C0004C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废变压器油、废油渣等由有资质单位处理；</w:t>
            </w:r>
          </w:p>
          <w:p w14:paraId="67B1D96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硅钢片剪切边角料、绝缘板材边角料等由生产厂家回收；</w:t>
            </w:r>
          </w:p>
          <w:p w14:paraId="1D32F9C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废包装材料作为废品出售；</w:t>
            </w:r>
          </w:p>
          <w:p w14:paraId="15E7D230">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生活垃圾经收集后由环卫部门处理。</w:t>
            </w:r>
          </w:p>
        </w:tc>
      </w:tr>
      <w:tr w14:paraId="4E6B02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24BEF9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CA74C1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continue"/>
            <w:tcBorders>
              <w:tl2br w:val="nil"/>
              <w:tr2bl w:val="nil"/>
            </w:tcBorders>
            <w:vAlign w:val="center"/>
          </w:tcPr>
          <w:p w14:paraId="286EE59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1679C4A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0968CAE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3.2t/a</w:t>
            </w:r>
          </w:p>
        </w:tc>
        <w:tc>
          <w:tcPr>
            <w:tcW w:w="8034" w:type="dxa"/>
            <w:vMerge w:val="continue"/>
            <w:tcBorders>
              <w:tl2br w:val="nil"/>
              <w:tr2bl w:val="nil"/>
            </w:tcBorders>
            <w:vAlign w:val="center"/>
          </w:tcPr>
          <w:p w14:paraId="42FD145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0306B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0970D90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66</w:t>
            </w:r>
          </w:p>
        </w:tc>
        <w:tc>
          <w:tcPr>
            <w:tcW w:w="1165" w:type="dxa"/>
            <w:vMerge w:val="restart"/>
            <w:tcBorders>
              <w:tl2br w:val="nil"/>
              <w:tr2bl w:val="nil"/>
            </w:tcBorders>
            <w:vAlign w:val="center"/>
          </w:tcPr>
          <w:p w14:paraId="2E79622C">
            <w:pPr>
              <w:keepNext w:val="0"/>
              <w:keepLines w:val="0"/>
              <w:widowControl/>
              <w:suppressLineNumbers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szCs w:val="21"/>
              </w:rPr>
              <w:t>衡阳三祥特变电力有限公司</w:t>
            </w:r>
          </w:p>
        </w:tc>
        <w:tc>
          <w:tcPr>
            <w:tcW w:w="1134" w:type="dxa"/>
            <w:tcBorders>
              <w:tl2br w:val="nil"/>
              <w:tr2bl w:val="nil"/>
            </w:tcBorders>
            <w:vAlign w:val="center"/>
          </w:tcPr>
          <w:p w14:paraId="6044B2D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3D4340E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COD、BOD</w:t>
            </w:r>
            <w:r>
              <w:rPr>
                <w:rFonts w:hint="default" w:ascii="Times New Roman" w:hAnsi="Times New Roman" w:eastAsia="宋体" w:cs="Times New Roman"/>
                <w:szCs w:val="21"/>
                <w:vertAlign w:val="subscript"/>
              </w:rPr>
              <w:t>5</w:t>
            </w:r>
            <w:r>
              <w:rPr>
                <w:rFonts w:hint="default" w:ascii="Times New Roman" w:hAnsi="Times New Roman" w:eastAsia="宋体" w:cs="Times New Roman"/>
                <w:szCs w:val="21"/>
              </w:rPr>
              <w:t>、氨氮</w:t>
            </w:r>
          </w:p>
        </w:tc>
        <w:tc>
          <w:tcPr>
            <w:tcW w:w="1559" w:type="dxa"/>
            <w:tcBorders>
              <w:tl2br w:val="nil"/>
              <w:tr2bl w:val="nil"/>
            </w:tcBorders>
            <w:vAlign w:val="center"/>
          </w:tcPr>
          <w:p w14:paraId="1DD9B28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400t/a</w:t>
            </w:r>
          </w:p>
        </w:tc>
        <w:tc>
          <w:tcPr>
            <w:tcW w:w="8034" w:type="dxa"/>
            <w:tcBorders>
              <w:tl2br w:val="nil"/>
              <w:tr2bl w:val="nil"/>
            </w:tcBorders>
            <w:vAlign w:val="center"/>
          </w:tcPr>
          <w:p w14:paraId="65F806F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生活污水经化粪池处理后排入松木污水处理厂处理</w:t>
            </w:r>
          </w:p>
        </w:tc>
      </w:tr>
      <w:tr w14:paraId="30F5E9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5FF8DE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D2FA28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tcBorders>
              <w:tl2br w:val="nil"/>
              <w:tr2bl w:val="nil"/>
            </w:tcBorders>
            <w:vAlign w:val="center"/>
          </w:tcPr>
          <w:p w14:paraId="78A2D6E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29C6B10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w:t>
            </w:r>
          </w:p>
        </w:tc>
        <w:tc>
          <w:tcPr>
            <w:tcW w:w="1559" w:type="dxa"/>
            <w:tcBorders>
              <w:tl2br w:val="nil"/>
              <w:tr2bl w:val="nil"/>
            </w:tcBorders>
            <w:vAlign w:val="center"/>
          </w:tcPr>
          <w:p w14:paraId="2C8429B9">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68FEC5B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烘干废气主要为水蒸气，经烟道有组织排放；</w:t>
            </w:r>
          </w:p>
          <w:p w14:paraId="0A294CE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食堂油烟经油烟净化器进行净化后引至食堂楼顶排放</w:t>
            </w:r>
          </w:p>
        </w:tc>
      </w:tr>
      <w:tr w14:paraId="36DF9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AC5BA0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925CA6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restart"/>
            <w:tcBorders>
              <w:tl2br w:val="nil"/>
              <w:tr2bl w:val="nil"/>
            </w:tcBorders>
            <w:vAlign w:val="center"/>
          </w:tcPr>
          <w:p w14:paraId="28E477F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08B2579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613CA7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2.69t/a</w:t>
            </w:r>
          </w:p>
        </w:tc>
        <w:tc>
          <w:tcPr>
            <w:tcW w:w="8034" w:type="dxa"/>
            <w:vMerge w:val="restart"/>
            <w:tcBorders>
              <w:tl2br w:val="nil"/>
              <w:tr2bl w:val="nil"/>
            </w:tcBorders>
            <w:vAlign w:val="center"/>
          </w:tcPr>
          <w:p w14:paraId="5ABBD1C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废绝缘纸板边角料由生产厂家回收；废包装材料作为废品外售；</w:t>
            </w:r>
          </w:p>
          <w:p w14:paraId="5727054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废变压器油、废变压器油渣交由有资质单位处置；</w:t>
            </w:r>
          </w:p>
          <w:p w14:paraId="152CF3F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生活垃圾收集后交由当地环卫部门处理</w:t>
            </w:r>
          </w:p>
        </w:tc>
      </w:tr>
      <w:tr w14:paraId="65EB85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8BC6213">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CCE7427">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34" w:type="dxa"/>
            <w:vMerge w:val="continue"/>
            <w:tcBorders>
              <w:tl2br w:val="nil"/>
              <w:tr2bl w:val="nil"/>
            </w:tcBorders>
            <w:vAlign w:val="center"/>
          </w:tcPr>
          <w:p w14:paraId="7741ACD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2E913E2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1CDD07C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0.6t/a</w:t>
            </w:r>
          </w:p>
        </w:tc>
        <w:tc>
          <w:tcPr>
            <w:tcW w:w="8034" w:type="dxa"/>
            <w:vMerge w:val="continue"/>
            <w:tcBorders>
              <w:tl2br w:val="nil"/>
              <w:tr2bl w:val="nil"/>
            </w:tcBorders>
            <w:vAlign w:val="center"/>
          </w:tcPr>
          <w:p w14:paraId="71C6B6A9">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13C8EE6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1D7F09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67</w:t>
            </w:r>
          </w:p>
        </w:tc>
        <w:tc>
          <w:tcPr>
            <w:tcW w:w="1165" w:type="dxa"/>
            <w:vMerge w:val="restart"/>
            <w:tcBorders>
              <w:tl2br w:val="nil"/>
              <w:tr2bl w:val="nil"/>
            </w:tcBorders>
            <w:vAlign w:val="center"/>
          </w:tcPr>
          <w:p w14:paraId="2C14C5D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衡阳市华宜光电科技有限公司</w:t>
            </w:r>
          </w:p>
        </w:tc>
        <w:tc>
          <w:tcPr>
            <w:tcW w:w="1134" w:type="dxa"/>
            <w:tcBorders>
              <w:tl2br w:val="nil"/>
              <w:tr2bl w:val="nil"/>
            </w:tcBorders>
            <w:vAlign w:val="center"/>
          </w:tcPr>
          <w:p w14:paraId="0E29A69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209DD0D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COD、BOD</w:t>
            </w:r>
            <w:r>
              <w:rPr>
                <w:rFonts w:hint="default" w:ascii="Times New Roman" w:hAnsi="Times New Roman" w:eastAsia="宋体" w:cs="Times New Roman"/>
                <w:szCs w:val="21"/>
                <w:vertAlign w:val="subscript"/>
              </w:rPr>
              <w:t>5</w:t>
            </w:r>
            <w:r>
              <w:rPr>
                <w:rFonts w:hint="default" w:ascii="Times New Roman" w:hAnsi="Times New Roman" w:eastAsia="宋体" w:cs="Times New Roman"/>
                <w:szCs w:val="21"/>
              </w:rPr>
              <w:t>、SS、氨氮</w:t>
            </w:r>
          </w:p>
        </w:tc>
        <w:tc>
          <w:tcPr>
            <w:tcW w:w="1559" w:type="dxa"/>
            <w:tcBorders>
              <w:tl2br w:val="nil"/>
              <w:tr2bl w:val="nil"/>
            </w:tcBorders>
            <w:vAlign w:val="center"/>
          </w:tcPr>
          <w:p w14:paraId="0B6BE44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500t/a</w:t>
            </w:r>
          </w:p>
        </w:tc>
        <w:tc>
          <w:tcPr>
            <w:tcW w:w="8034" w:type="dxa"/>
            <w:tcBorders>
              <w:tl2br w:val="nil"/>
              <w:tr2bl w:val="nil"/>
            </w:tcBorders>
            <w:vAlign w:val="center"/>
          </w:tcPr>
          <w:p w14:paraId="31AFFDA8">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车间地面清洗废水及生活污水经化粪池处理后排入松木污水处理厂处理。</w:t>
            </w:r>
          </w:p>
        </w:tc>
      </w:tr>
      <w:tr w14:paraId="7360DD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D7FDF1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855C0F0">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58F41F7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412481A6">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w:t>
            </w:r>
          </w:p>
        </w:tc>
        <w:tc>
          <w:tcPr>
            <w:tcW w:w="1559" w:type="dxa"/>
            <w:tcBorders>
              <w:tl2br w:val="nil"/>
              <w:tr2bl w:val="nil"/>
            </w:tcBorders>
            <w:vAlign w:val="center"/>
          </w:tcPr>
          <w:p w14:paraId="72FD5BF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479AD92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食堂油烟经油烟净化器进行净化后引至食堂楼顶排放。</w:t>
            </w:r>
          </w:p>
        </w:tc>
      </w:tr>
      <w:tr w14:paraId="6CDF25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0F8ED6C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5A7D5F95">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638CC1CF">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AF3A9AB">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F2B3DB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4.5t/a</w:t>
            </w:r>
          </w:p>
        </w:tc>
        <w:tc>
          <w:tcPr>
            <w:tcW w:w="8034" w:type="dxa"/>
            <w:vMerge w:val="restart"/>
            <w:tcBorders>
              <w:tl2br w:val="nil"/>
              <w:tr2bl w:val="nil"/>
            </w:tcBorders>
            <w:vAlign w:val="center"/>
          </w:tcPr>
          <w:p w14:paraId="4E2B37A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废乳化液由资质单位处理；</w:t>
            </w:r>
          </w:p>
          <w:p w14:paraId="2577C8E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残次品由厂家回收处理；金属屑外售金属回收公司；</w:t>
            </w:r>
          </w:p>
          <w:p w14:paraId="5A837A9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生活垃圾收集后交由当地环卫部门处理。</w:t>
            </w:r>
          </w:p>
        </w:tc>
      </w:tr>
      <w:tr w14:paraId="5B2F9F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778CC16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E44B808">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0FE33A8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560" w:type="dxa"/>
            <w:tcBorders>
              <w:tl2br w:val="nil"/>
              <w:tr2bl w:val="nil"/>
            </w:tcBorders>
            <w:vAlign w:val="center"/>
          </w:tcPr>
          <w:p w14:paraId="1234CCB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危险固废</w:t>
            </w:r>
          </w:p>
        </w:tc>
        <w:tc>
          <w:tcPr>
            <w:tcW w:w="1559" w:type="dxa"/>
            <w:tcBorders>
              <w:tl2br w:val="nil"/>
              <w:tr2bl w:val="nil"/>
            </w:tcBorders>
            <w:vAlign w:val="center"/>
          </w:tcPr>
          <w:p w14:paraId="44BEB58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20kg/a</w:t>
            </w:r>
          </w:p>
        </w:tc>
        <w:tc>
          <w:tcPr>
            <w:tcW w:w="8034" w:type="dxa"/>
            <w:vMerge w:val="continue"/>
            <w:tcBorders>
              <w:tl2br w:val="nil"/>
              <w:tr2bl w:val="nil"/>
            </w:tcBorders>
            <w:vAlign w:val="center"/>
          </w:tcPr>
          <w:p w14:paraId="1ED485B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r>
      <w:tr w14:paraId="4F7C4A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B530BA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68</w:t>
            </w:r>
          </w:p>
        </w:tc>
        <w:tc>
          <w:tcPr>
            <w:tcW w:w="1165" w:type="dxa"/>
            <w:vMerge w:val="restart"/>
            <w:tcBorders>
              <w:tl2br w:val="nil"/>
              <w:tr2bl w:val="nil"/>
            </w:tcBorders>
            <w:vAlign w:val="center"/>
          </w:tcPr>
          <w:p w14:paraId="435AB9D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衡阳市大成洗涤科技有限责任公司</w:t>
            </w:r>
          </w:p>
        </w:tc>
        <w:tc>
          <w:tcPr>
            <w:tcW w:w="1134" w:type="dxa"/>
            <w:tcBorders>
              <w:tl2br w:val="nil"/>
              <w:tr2bl w:val="nil"/>
            </w:tcBorders>
            <w:vAlign w:val="center"/>
          </w:tcPr>
          <w:p w14:paraId="265185F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200E715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COD、BOD</w:t>
            </w:r>
            <w:r>
              <w:rPr>
                <w:rFonts w:hint="default" w:ascii="Times New Roman" w:hAnsi="Times New Roman" w:eastAsia="宋体" w:cs="Times New Roman"/>
                <w:szCs w:val="21"/>
                <w:vertAlign w:val="subscript"/>
              </w:rPr>
              <w:t>5</w:t>
            </w:r>
            <w:r>
              <w:rPr>
                <w:rFonts w:hint="default" w:ascii="Times New Roman" w:hAnsi="Times New Roman" w:eastAsia="宋体" w:cs="Times New Roman"/>
                <w:szCs w:val="21"/>
              </w:rPr>
              <w:t>、SS、氨氮、阴离子表面活性剂</w:t>
            </w:r>
          </w:p>
        </w:tc>
        <w:tc>
          <w:tcPr>
            <w:tcW w:w="1559" w:type="dxa"/>
            <w:tcBorders>
              <w:tl2br w:val="nil"/>
              <w:tr2bl w:val="nil"/>
            </w:tcBorders>
            <w:vAlign w:val="center"/>
          </w:tcPr>
          <w:p w14:paraId="2863EC4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5841t/a</w:t>
            </w:r>
          </w:p>
        </w:tc>
        <w:tc>
          <w:tcPr>
            <w:tcW w:w="8034" w:type="dxa"/>
            <w:tcBorders>
              <w:tl2br w:val="nil"/>
              <w:tr2bl w:val="nil"/>
            </w:tcBorders>
            <w:vAlign w:val="center"/>
          </w:tcPr>
          <w:p w14:paraId="3F91CB8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布草清洗废水经自建污水处理厂（处理工艺为接触氧化+絮凝沉淀+过滤）处理后60%的废水回用于洗涤工序，其余外排至经开区污水管网后进入松木污水处理厂处理；</w:t>
            </w:r>
          </w:p>
          <w:p w14:paraId="73D7666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生活污水经化粪池处理后排入松木污水处理厂处理。</w:t>
            </w:r>
          </w:p>
        </w:tc>
      </w:tr>
      <w:tr w14:paraId="47291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3DA90872">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1C936921">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77B427F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63E84725">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油烟</w:t>
            </w:r>
          </w:p>
        </w:tc>
        <w:tc>
          <w:tcPr>
            <w:tcW w:w="1559" w:type="dxa"/>
            <w:tcBorders>
              <w:tl2br w:val="nil"/>
              <w:tr2bl w:val="nil"/>
            </w:tcBorders>
            <w:vAlign w:val="center"/>
          </w:tcPr>
          <w:p w14:paraId="5F7F31B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2371AE1E">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食堂油烟经油烟净化器进行净化后引至食堂楼顶排放。</w:t>
            </w:r>
          </w:p>
        </w:tc>
      </w:tr>
      <w:tr w14:paraId="6F6763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1DCEC4A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0D7C3CC">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36ACA5D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77240AD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5F72D76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68t/a</w:t>
            </w:r>
          </w:p>
        </w:tc>
        <w:tc>
          <w:tcPr>
            <w:tcW w:w="8034" w:type="dxa"/>
            <w:tcBorders>
              <w:tl2br w:val="nil"/>
              <w:tr2bl w:val="nil"/>
            </w:tcBorders>
            <w:vAlign w:val="center"/>
          </w:tcPr>
          <w:p w14:paraId="1EC94ED3">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污水处理站污泥经板框压滤后运至填埋场处置；</w:t>
            </w:r>
          </w:p>
          <w:p w14:paraId="416B5E6A">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废包装材料交物资回收部门回收利用；</w:t>
            </w:r>
          </w:p>
          <w:p w14:paraId="2B3EFEC1">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烘干纤维、生活垃圾经收集后交由环卫部门处置。</w:t>
            </w:r>
          </w:p>
        </w:tc>
      </w:tr>
      <w:tr w14:paraId="6C4737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restart"/>
            <w:tcBorders>
              <w:tl2br w:val="nil"/>
              <w:tr2bl w:val="nil"/>
            </w:tcBorders>
            <w:vAlign w:val="center"/>
          </w:tcPr>
          <w:p w14:paraId="1812436B">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69</w:t>
            </w:r>
          </w:p>
        </w:tc>
        <w:tc>
          <w:tcPr>
            <w:tcW w:w="1165" w:type="dxa"/>
            <w:vMerge w:val="restart"/>
            <w:tcBorders>
              <w:tl2br w:val="nil"/>
              <w:tr2bl w:val="nil"/>
            </w:tcBorders>
            <w:vAlign w:val="center"/>
          </w:tcPr>
          <w:p w14:paraId="36490C96">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衡阳比亚迪实业有限公司</w:t>
            </w:r>
          </w:p>
        </w:tc>
        <w:tc>
          <w:tcPr>
            <w:tcW w:w="1134" w:type="dxa"/>
            <w:tcBorders>
              <w:tl2br w:val="nil"/>
              <w:tr2bl w:val="nil"/>
            </w:tcBorders>
            <w:vAlign w:val="center"/>
          </w:tcPr>
          <w:p w14:paraId="7DD690F7">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废水</w:t>
            </w:r>
          </w:p>
        </w:tc>
        <w:tc>
          <w:tcPr>
            <w:tcW w:w="1560" w:type="dxa"/>
            <w:tcBorders>
              <w:tl2br w:val="nil"/>
              <w:tr2bl w:val="nil"/>
            </w:tcBorders>
            <w:vAlign w:val="center"/>
          </w:tcPr>
          <w:p w14:paraId="6D561107">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COD、BOD</w:t>
            </w:r>
            <w:r>
              <w:rPr>
                <w:rFonts w:hint="default" w:ascii="Times New Roman" w:hAnsi="Times New Roman" w:eastAsia="宋体" w:cs="Times New Roman"/>
                <w:szCs w:val="21"/>
                <w:vertAlign w:val="subscript"/>
              </w:rPr>
              <w:t>5</w:t>
            </w:r>
            <w:r>
              <w:rPr>
                <w:rFonts w:hint="default" w:ascii="Times New Roman" w:hAnsi="Times New Roman" w:eastAsia="宋体" w:cs="Times New Roman"/>
                <w:szCs w:val="21"/>
              </w:rPr>
              <w:t>、SS、氨氮</w:t>
            </w:r>
          </w:p>
        </w:tc>
        <w:tc>
          <w:tcPr>
            <w:tcW w:w="1559" w:type="dxa"/>
            <w:tcBorders>
              <w:tl2br w:val="nil"/>
              <w:tr2bl w:val="nil"/>
            </w:tcBorders>
            <w:vAlign w:val="center"/>
          </w:tcPr>
          <w:p w14:paraId="7792DAE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30388.5</w:t>
            </w:r>
          </w:p>
        </w:tc>
        <w:tc>
          <w:tcPr>
            <w:tcW w:w="8034" w:type="dxa"/>
            <w:tcBorders>
              <w:tl2br w:val="nil"/>
              <w:tr2bl w:val="nil"/>
            </w:tcBorders>
            <w:vAlign w:val="center"/>
          </w:tcPr>
          <w:p w14:paraId="6CBFF35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软水弃水和循环冷却系统溢流排水作为清下水和雨水通过雨水排口排入市政雨水管网；地面清洁废水经隔油沉淀池预处理后纳入市政官网至松木污水处理厂集中处理；生活污水经化粪池预处理后排入松木污水处理厂，最终排入湘江。</w:t>
            </w:r>
          </w:p>
        </w:tc>
      </w:tr>
      <w:tr w14:paraId="28CA26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520E4BF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0345EB1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tcBorders>
              <w:tl2br w:val="nil"/>
              <w:tr2bl w:val="nil"/>
            </w:tcBorders>
            <w:vAlign w:val="center"/>
          </w:tcPr>
          <w:p w14:paraId="0D79997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废气</w:t>
            </w:r>
          </w:p>
        </w:tc>
        <w:tc>
          <w:tcPr>
            <w:tcW w:w="1560" w:type="dxa"/>
            <w:tcBorders>
              <w:tl2br w:val="nil"/>
              <w:tr2bl w:val="nil"/>
            </w:tcBorders>
            <w:vAlign w:val="center"/>
          </w:tcPr>
          <w:p w14:paraId="7897F239">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kern w:val="0"/>
                <w:szCs w:val="21"/>
              </w:rPr>
              <w:t>TSP、苯、甲苯、二甲苯、非甲烷总烃</w:t>
            </w:r>
          </w:p>
        </w:tc>
        <w:tc>
          <w:tcPr>
            <w:tcW w:w="1559" w:type="dxa"/>
            <w:tcBorders>
              <w:tl2br w:val="nil"/>
              <w:tr2bl w:val="nil"/>
            </w:tcBorders>
            <w:vAlign w:val="center"/>
          </w:tcPr>
          <w:p w14:paraId="5F4A9B1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8034" w:type="dxa"/>
            <w:tcBorders>
              <w:tl2br w:val="nil"/>
              <w:tr2bl w:val="nil"/>
            </w:tcBorders>
            <w:vAlign w:val="center"/>
          </w:tcPr>
          <w:p w14:paraId="5F2851AF">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涂装废气采用1套“过滤棉吸附+蓄热式热氧化设备（RTO）”处置后18m排放；水泥拌合粉尘经布袋除尘器处理后15m排放，、锅炉燃气废气15m排放；零部件项目抛丸粉尘经自带的喷砂粉尘过滤系统处理后18m排放；喷漆废气及烘干废气经水旋式除漆雾+活性炭吸附浓缩+催化燃烧装置处置后18m排放；切割和焊接烟尘经移动滤筒式焊接烟尘净化机处理后18m排放；注塑有机废气经活性炭吸附后15m排放；喷涂、烘干有机废气经干式过滤+蓄热式氧化（RTO）处置后18m排放。</w:t>
            </w:r>
          </w:p>
        </w:tc>
      </w:tr>
      <w:tr w14:paraId="18CA47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2267E3CE">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767BDF8D">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restart"/>
            <w:tcBorders>
              <w:tl2br w:val="nil"/>
              <w:tr2bl w:val="nil"/>
            </w:tcBorders>
            <w:vAlign w:val="center"/>
          </w:tcPr>
          <w:p w14:paraId="00A1E0F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w:t>
            </w:r>
          </w:p>
        </w:tc>
        <w:tc>
          <w:tcPr>
            <w:tcW w:w="1560" w:type="dxa"/>
            <w:tcBorders>
              <w:tl2br w:val="nil"/>
              <w:tr2bl w:val="nil"/>
            </w:tcBorders>
            <w:vAlign w:val="center"/>
          </w:tcPr>
          <w:p w14:paraId="4DA5218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一般固废</w:t>
            </w:r>
          </w:p>
        </w:tc>
        <w:tc>
          <w:tcPr>
            <w:tcW w:w="1559" w:type="dxa"/>
            <w:tcBorders>
              <w:tl2br w:val="nil"/>
              <w:tr2bl w:val="nil"/>
            </w:tcBorders>
            <w:vAlign w:val="center"/>
          </w:tcPr>
          <w:p w14:paraId="6E9B38B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48.78</w:t>
            </w:r>
          </w:p>
        </w:tc>
        <w:tc>
          <w:tcPr>
            <w:tcW w:w="8034" w:type="dxa"/>
            <w:tcBorders>
              <w:tl2br w:val="nil"/>
              <w:tr2bl w:val="nil"/>
            </w:tcBorders>
            <w:vAlign w:val="center"/>
          </w:tcPr>
          <w:p w14:paraId="269CAB1D">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废包装材料收集后外售综合处理。废边角料和不合格产品返回重加工再利用。</w:t>
            </w:r>
          </w:p>
        </w:tc>
      </w:tr>
      <w:tr w14:paraId="5DA30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67" w:type="dxa"/>
            <w:vMerge w:val="continue"/>
            <w:tcBorders>
              <w:tl2br w:val="nil"/>
              <w:tr2bl w:val="nil"/>
            </w:tcBorders>
            <w:vAlign w:val="center"/>
          </w:tcPr>
          <w:p w14:paraId="48B6445F">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kern w:val="0"/>
                <w:szCs w:val="21"/>
              </w:rPr>
            </w:pPr>
          </w:p>
        </w:tc>
        <w:tc>
          <w:tcPr>
            <w:tcW w:w="1165" w:type="dxa"/>
            <w:vMerge w:val="continue"/>
            <w:tcBorders>
              <w:tl2br w:val="nil"/>
              <w:tr2bl w:val="nil"/>
            </w:tcBorders>
            <w:vAlign w:val="center"/>
          </w:tcPr>
          <w:p w14:paraId="4FC0765A">
            <w:pPr>
              <w:keepNext w:val="0"/>
              <w:keepLines w:val="0"/>
              <w:widowControl/>
              <w:suppressLineNumbers w:val="0"/>
              <w:snapToGrid w:val="0"/>
              <w:spacing w:before="0" w:beforeAutospacing="0" w:after="0" w:afterAutospacing="0"/>
              <w:ind w:left="0" w:right="0"/>
              <w:rPr>
                <w:rFonts w:hint="default" w:ascii="Times New Roman" w:hAnsi="Times New Roman" w:eastAsia="宋体" w:cs="Times New Roman"/>
                <w:szCs w:val="21"/>
              </w:rPr>
            </w:pPr>
          </w:p>
        </w:tc>
        <w:tc>
          <w:tcPr>
            <w:tcW w:w="1134" w:type="dxa"/>
            <w:vMerge w:val="continue"/>
            <w:tcBorders>
              <w:tl2br w:val="nil"/>
              <w:tr2bl w:val="nil"/>
            </w:tcBorders>
            <w:vAlign w:val="center"/>
          </w:tcPr>
          <w:p w14:paraId="2058BB08">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rPr>
            </w:pPr>
          </w:p>
        </w:tc>
        <w:tc>
          <w:tcPr>
            <w:tcW w:w="1560" w:type="dxa"/>
            <w:tcBorders>
              <w:tl2br w:val="nil"/>
              <w:tr2bl w:val="nil"/>
            </w:tcBorders>
            <w:vAlign w:val="center"/>
          </w:tcPr>
          <w:p w14:paraId="1D9852A4">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危险废物</w:t>
            </w:r>
          </w:p>
        </w:tc>
        <w:tc>
          <w:tcPr>
            <w:tcW w:w="1559" w:type="dxa"/>
            <w:tcBorders>
              <w:tl2br w:val="nil"/>
              <w:tr2bl w:val="nil"/>
            </w:tcBorders>
            <w:vAlign w:val="center"/>
          </w:tcPr>
          <w:p w14:paraId="5455FE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81.12</w:t>
            </w:r>
          </w:p>
        </w:tc>
        <w:tc>
          <w:tcPr>
            <w:tcW w:w="8034" w:type="dxa"/>
            <w:tcBorders>
              <w:tl2br w:val="nil"/>
              <w:tr2bl w:val="nil"/>
            </w:tcBorders>
            <w:vAlign w:val="center"/>
          </w:tcPr>
          <w:p w14:paraId="2F448922">
            <w:pPr>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废漆渣、废油漆桶、废过滤棉、废活性炭、废抹布及手套、清洗废液，均属于危险废物，委托有资质的单位安全处置</w:t>
            </w:r>
          </w:p>
        </w:tc>
      </w:tr>
    </w:tbl>
    <w:p w14:paraId="0944B15B">
      <w:pPr>
        <w:spacing w:line="500" w:lineRule="exact"/>
        <w:ind w:firstLine="420" w:firstLineChars="200"/>
        <w:rPr>
          <w:rFonts w:hint="default" w:ascii="Times New Roman" w:hAnsi="Times New Roman" w:eastAsia="宋体" w:cs="Times New Roman"/>
        </w:rPr>
        <w:sectPr>
          <w:pgSz w:w="16838" w:h="11906" w:orient="landscape"/>
          <w:pgMar w:top="1588" w:right="1701" w:bottom="1588" w:left="1418" w:header="992" w:footer="992" w:gutter="0"/>
          <w:pgBorders>
            <w:top w:val="none" w:sz="0" w:space="0"/>
            <w:left w:val="none" w:sz="0" w:space="0"/>
            <w:bottom w:val="none" w:sz="0" w:space="0"/>
            <w:right w:val="none" w:sz="0" w:space="0"/>
          </w:pgBorders>
          <w:cols w:space="720" w:num="1"/>
          <w:docGrid w:linePitch="326" w:charSpace="0"/>
        </w:sectPr>
      </w:pPr>
    </w:p>
    <w:p w14:paraId="4A2B97F9">
      <w:pPr>
        <w:pStyle w:val="82"/>
        <w:spacing w:line="360" w:lineRule="auto"/>
        <w:ind w:firstLine="482" w:firstLineChars="200"/>
        <w:rPr>
          <w:rFonts w:hint="default" w:ascii="Times New Roman" w:hAnsi="Times New Roman" w:eastAsia="宋体" w:cs="Times New Roman"/>
          <w:b/>
          <w:bCs/>
          <w:sz w:val="24"/>
          <w:szCs w:val="18"/>
        </w:rPr>
      </w:pPr>
      <w:r>
        <w:rPr>
          <w:rFonts w:hint="default" w:ascii="Times New Roman" w:hAnsi="Times New Roman" w:eastAsia="宋体" w:cs="Times New Roman"/>
          <w:b/>
          <w:bCs/>
          <w:sz w:val="24"/>
          <w:szCs w:val="18"/>
        </w:rPr>
        <w:t>园区污染物总量指标：</w:t>
      </w:r>
    </w:p>
    <w:p w14:paraId="4C0CC975">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根据《关于湖南衡阳松木工业园区总体规划环境影响报告书》的批复（湘环评[2009]40号），污染物排放总量指标：SO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 xml:space="preserve"> 1000t/a、氨氮70t/a、COD 550t/a、石油类15t/a。根据《关于湖南衡阳松木经济开发区扩区环境影响评价报告书》的批复（湘环评[2013]213号），污染物总量指标（不含现有园区）：SO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 xml:space="preserve"> 80t/a、NOx 313t/a（09年批复未确定氮氧化物总量）、氨氮33t/a、COD 247t/a。</w:t>
      </w:r>
    </w:p>
    <w:p w14:paraId="235CE70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根据《湖南衡阳松木经济开发区扩区规划（2020-2030）环境影响评价报告书》，松木园区新增重点污染物排放总量控制指标：SO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 xml:space="preserve"> 392.16t/a、NOx 1233.72t/a。</w:t>
      </w:r>
    </w:p>
    <w:p w14:paraId="3D871F1F">
      <w:pPr>
        <w:spacing w:line="360" w:lineRule="auto"/>
        <w:ind w:firstLine="480" w:firstLineChars="200"/>
        <w:rPr>
          <w:rFonts w:hint="default" w:ascii="Times New Roman" w:hAnsi="Times New Roman" w:eastAsia="宋体" w:cs="Times New Roman"/>
        </w:rPr>
        <w:sectPr>
          <w:pgSz w:w="11906" w:h="16838"/>
          <w:pgMar w:top="1701" w:right="1588" w:bottom="1418" w:left="1588" w:header="992" w:footer="992" w:gutter="0"/>
          <w:pgBorders>
            <w:top w:val="none" w:sz="0" w:space="0"/>
            <w:left w:val="none" w:sz="0" w:space="0"/>
            <w:bottom w:val="none" w:sz="0" w:space="0"/>
            <w:right w:val="none" w:sz="0" w:space="0"/>
          </w:pgBorders>
          <w:cols w:space="720" w:num="1"/>
          <w:docGrid w:linePitch="326" w:charSpace="0"/>
        </w:sectPr>
      </w:pPr>
      <w:r>
        <w:rPr>
          <w:rFonts w:hint="default" w:ascii="Times New Roman" w:hAnsi="Times New Roman" w:eastAsia="宋体" w:cs="Times New Roman"/>
          <w:sz w:val="24"/>
          <w:szCs w:val="24"/>
        </w:rPr>
        <w:t>综上，经开区大气污染物总量控制指标为：SO</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 xml:space="preserve"> 1472.16t/a、NOx 1546.72t/a；水污染物总量控制指标为：氨氮103t/a、COD 797t/a、石油类15t/a。</w:t>
      </w:r>
    </w:p>
    <w:p w14:paraId="752BC16C">
      <w:pPr>
        <w:pStyle w:val="3"/>
        <w:spacing w:before="0" w:after="0" w:line="360" w:lineRule="auto"/>
        <w:jc w:val="left"/>
        <w:rPr>
          <w:rFonts w:hint="default" w:ascii="Times New Roman" w:hAnsi="Times New Roman" w:eastAsia="宋体" w:cs="Times New Roman"/>
        </w:rPr>
      </w:pPr>
      <w:bookmarkStart w:id="312" w:name="_Toc106961898"/>
      <w:bookmarkStart w:id="313" w:name="_Toc123733105"/>
      <w:bookmarkStart w:id="314" w:name="_Toc32304"/>
      <w:r>
        <w:rPr>
          <w:rFonts w:hint="default" w:ascii="Times New Roman" w:hAnsi="Times New Roman" w:eastAsia="宋体" w:cs="Times New Roman"/>
          <w:kern w:val="0"/>
          <w:sz w:val="30"/>
          <w:szCs w:val="28"/>
        </w:rPr>
        <w:t>6.4环境现状调查</w:t>
      </w:r>
      <w:bookmarkEnd w:id="312"/>
      <w:bookmarkEnd w:id="313"/>
      <w:bookmarkEnd w:id="314"/>
    </w:p>
    <w:p w14:paraId="733D87A1">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6.4.1</w:t>
      </w:r>
      <w:r>
        <w:rPr>
          <w:rFonts w:hint="default" w:ascii="Times New Roman" w:hAnsi="Times New Roman" w:eastAsia="宋体" w:cs="Times New Roman"/>
          <w:color w:val="000000"/>
          <w:sz w:val="24"/>
        </w:rPr>
        <w:t>大气环境质量现状调查</w:t>
      </w:r>
    </w:p>
    <w:p w14:paraId="3480FA05">
      <w:pPr>
        <w:spacing w:line="360" w:lineRule="auto"/>
        <w:ind w:firstLine="482" w:firstLineChars="200"/>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（1）基本污染物</w:t>
      </w:r>
    </w:p>
    <w:p w14:paraId="240582E1">
      <w:pPr>
        <w:spacing w:line="360" w:lineRule="auto"/>
        <w:ind w:firstLine="482"/>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本次评价采用《衡阳市生态环境局关于2022年12月及1-12月全市环境质量状况的通报》，其中以石鼓区、松木经开区全年的大气环境监测数据对本项目所在区域环境空气质量达标情况进行判定。本次评价采用的数据为2022松木经开区全年的环境空气质量现状，符合近三年的要求。按照《环境空气质量标准》（GB 3095-2012）监测六个基本项目：二氧化硫、可吸入颗粒物（PM</w:t>
      </w:r>
      <w:r>
        <w:rPr>
          <w:rFonts w:hint="default" w:ascii="Times New Roman" w:hAnsi="Times New Roman" w:eastAsia="宋体" w:cs="Times New Roman"/>
          <w:sz w:val="24"/>
          <w:szCs w:val="28"/>
          <w:vertAlign w:val="subscript"/>
        </w:rPr>
        <w:t>10</w:t>
      </w:r>
      <w:r>
        <w:rPr>
          <w:rFonts w:hint="default" w:ascii="Times New Roman" w:hAnsi="Times New Roman" w:eastAsia="宋体" w:cs="Times New Roman"/>
          <w:sz w:val="24"/>
          <w:szCs w:val="28"/>
        </w:rPr>
        <w:t>）、二氧化氮、细颗粒物（PM</w:t>
      </w:r>
      <w:r>
        <w:rPr>
          <w:rFonts w:hint="default" w:ascii="Times New Roman" w:hAnsi="Times New Roman" w:eastAsia="宋体" w:cs="Times New Roman"/>
          <w:sz w:val="24"/>
          <w:szCs w:val="28"/>
          <w:vertAlign w:val="subscript"/>
        </w:rPr>
        <w:t>2.5</w:t>
      </w:r>
      <w:r>
        <w:rPr>
          <w:rFonts w:hint="default" w:ascii="Times New Roman" w:hAnsi="Times New Roman" w:eastAsia="宋体" w:cs="Times New Roman"/>
          <w:sz w:val="24"/>
          <w:szCs w:val="28"/>
        </w:rPr>
        <w:t>）、一氧化碳、臭氧，具体情况见下表。</w:t>
      </w:r>
    </w:p>
    <w:p w14:paraId="73D2BD03">
      <w:pPr>
        <w:spacing w:line="360" w:lineRule="auto"/>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表6.4-1 项目所在区域空气质量现状评价表</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79"/>
        <w:gridCol w:w="3441"/>
        <w:gridCol w:w="1260"/>
        <w:gridCol w:w="1193"/>
        <w:gridCol w:w="1225"/>
        <w:gridCol w:w="1120"/>
      </w:tblGrid>
      <w:tr w14:paraId="573CB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82" w:type="pct"/>
            <w:vAlign w:val="center"/>
          </w:tcPr>
          <w:p w14:paraId="2757754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污染物</w:t>
            </w:r>
          </w:p>
        </w:tc>
        <w:tc>
          <w:tcPr>
            <w:tcW w:w="1887" w:type="pct"/>
            <w:vAlign w:val="center"/>
          </w:tcPr>
          <w:p w14:paraId="3DAFC02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年评价指标（单位）</w:t>
            </w:r>
          </w:p>
        </w:tc>
        <w:tc>
          <w:tcPr>
            <w:tcW w:w="691" w:type="pct"/>
            <w:vAlign w:val="center"/>
          </w:tcPr>
          <w:p w14:paraId="05B0F61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年均值</w:t>
            </w:r>
          </w:p>
        </w:tc>
        <w:tc>
          <w:tcPr>
            <w:tcW w:w="654" w:type="pct"/>
            <w:vAlign w:val="center"/>
          </w:tcPr>
          <w:p w14:paraId="6C5640D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标准值</w:t>
            </w:r>
          </w:p>
        </w:tc>
        <w:tc>
          <w:tcPr>
            <w:tcW w:w="672" w:type="pct"/>
            <w:vAlign w:val="center"/>
          </w:tcPr>
          <w:p w14:paraId="550AD85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占标率%</w:t>
            </w:r>
          </w:p>
        </w:tc>
        <w:tc>
          <w:tcPr>
            <w:tcW w:w="614" w:type="pct"/>
            <w:vAlign w:val="center"/>
          </w:tcPr>
          <w:p w14:paraId="653992E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kern w:val="0"/>
                <w:sz w:val="21"/>
                <w:szCs w:val="21"/>
              </w:rPr>
            </w:pPr>
            <w:r>
              <w:rPr>
                <w:rFonts w:hint="default" w:ascii="Times New Roman" w:hAnsi="Times New Roman" w:eastAsia="宋体" w:cs="Times New Roman"/>
                <w:b/>
                <w:bCs/>
                <w:kern w:val="0"/>
                <w:sz w:val="21"/>
                <w:szCs w:val="21"/>
              </w:rPr>
              <w:t>达标情况</w:t>
            </w:r>
          </w:p>
        </w:tc>
      </w:tr>
      <w:tr w14:paraId="1F109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82" w:type="pct"/>
            <w:vAlign w:val="center"/>
          </w:tcPr>
          <w:p w14:paraId="2CB0EDB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SO</w:t>
            </w:r>
            <w:r>
              <w:rPr>
                <w:rFonts w:hint="default" w:ascii="Times New Roman" w:hAnsi="Times New Roman" w:eastAsia="宋体" w:cs="Times New Roman"/>
                <w:kern w:val="0"/>
                <w:sz w:val="21"/>
                <w:szCs w:val="21"/>
                <w:vertAlign w:val="subscript"/>
              </w:rPr>
              <w:t>2</w:t>
            </w:r>
          </w:p>
        </w:tc>
        <w:tc>
          <w:tcPr>
            <w:tcW w:w="1887" w:type="pct"/>
            <w:vAlign w:val="center"/>
          </w:tcPr>
          <w:p w14:paraId="5EB2DC4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年平均质量浓度（μg/m³）</w:t>
            </w:r>
          </w:p>
        </w:tc>
        <w:tc>
          <w:tcPr>
            <w:tcW w:w="691" w:type="pct"/>
            <w:vAlign w:val="center"/>
          </w:tcPr>
          <w:p w14:paraId="7EB916F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654" w:type="pct"/>
            <w:vAlign w:val="center"/>
          </w:tcPr>
          <w:p w14:paraId="3D970F9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60</w:t>
            </w:r>
          </w:p>
        </w:tc>
        <w:tc>
          <w:tcPr>
            <w:tcW w:w="672" w:type="pct"/>
            <w:vAlign w:val="center"/>
          </w:tcPr>
          <w:p w14:paraId="72F6969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16.67%</w:t>
            </w:r>
          </w:p>
        </w:tc>
        <w:tc>
          <w:tcPr>
            <w:tcW w:w="614" w:type="pct"/>
            <w:vAlign w:val="center"/>
          </w:tcPr>
          <w:p w14:paraId="071F52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达标</w:t>
            </w:r>
          </w:p>
        </w:tc>
      </w:tr>
      <w:tr w14:paraId="5BFA2E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82" w:type="pct"/>
            <w:vAlign w:val="center"/>
          </w:tcPr>
          <w:p w14:paraId="11EA0B5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NO</w:t>
            </w:r>
            <w:r>
              <w:rPr>
                <w:rFonts w:hint="default" w:ascii="Times New Roman" w:hAnsi="Times New Roman" w:eastAsia="宋体" w:cs="Times New Roman"/>
                <w:kern w:val="0"/>
                <w:sz w:val="21"/>
                <w:szCs w:val="21"/>
                <w:vertAlign w:val="subscript"/>
              </w:rPr>
              <w:t>2</w:t>
            </w:r>
          </w:p>
        </w:tc>
        <w:tc>
          <w:tcPr>
            <w:tcW w:w="1887" w:type="pct"/>
            <w:vAlign w:val="center"/>
          </w:tcPr>
          <w:p w14:paraId="761310E0">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年平均质量浓度（μg/m³）</w:t>
            </w:r>
          </w:p>
        </w:tc>
        <w:tc>
          <w:tcPr>
            <w:tcW w:w="691" w:type="pct"/>
            <w:vAlign w:val="center"/>
          </w:tcPr>
          <w:p w14:paraId="31E6958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17</w:t>
            </w:r>
          </w:p>
        </w:tc>
        <w:tc>
          <w:tcPr>
            <w:tcW w:w="654" w:type="pct"/>
            <w:vAlign w:val="center"/>
          </w:tcPr>
          <w:p w14:paraId="2DB836B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40</w:t>
            </w:r>
          </w:p>
        </w:tc>
        <w:tc>
          <w:tcPr>
            <w:tcW w:w="672" w:type="pct"/>
            <w:vAlign w:val="center"/>
          </w:tcPr>
          <w:p w14:paraId="2C8016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42.50%</w:t>
            </w:r>
          </w:p>
        </w:tc>
        <w:tc>
          <w:tcPr>
            <w:tcW w:w="614" w:type="pct"/>
            <w:vAlign w:val="center"/>
          </w:tcPr>
          <w:p w14:paraId="20F29A7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达标</w:t>
            </w:r>
          </w:p>
        </w:tc>
      </w:tr>
      <w:tr w14:paraId="184023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82" w:type="pct"/>
            <w:vAlign w:val="center"/>
          </w:tcPr>
          <w:p w14:paraId="6091249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CO</w:t>
            </w:r>
          </w:p>
        </w:tc>
        <w:tc>
          <w:tcPr>
            <w:tcW w:w="1887" w:type="pct"/>
            <w:vAlign w:val="center"/>
          </w:tcPr>
          <w:p w14:paraId="61EB5B6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百分之95位数日平均质量浓度（mg/m³）</w:t>
            </w:r>
          </w:p>
        </w:tc>
        <w:tc>
          <w:tcPr>
            <w:tcW w:w="691" w:type="pct"/>
            <w:vAlign w:val="center"/>
          </w:tcPr>
          <w:p w14:paraId="6191F4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654" w:type="pct"/>
            <w:vAlign w:val="center"/>
          </w:tcPr>
          <w:p w14:paraId="37A1135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4</w:t>
            </w:r>
          </w:p>
        </w:tc>
        <w:tc>
          <w:tcPr>
            <w:tcW w:w="672" w:type="pct"/>
            <w:vAlign w:val="center"/>
          </w:tcPr>
          <w:p w14:paraId="6BF725A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25%</w:t>
            </w:r>
          </w:p>
        </w:tc>
        <w:tc>
          <w:tcPr>
            <w:tcW w:w="614" w:type="pct"/>
            <w:vAlign w:val="center"/>
          </w:tcPr>
          <w:p w14:paraId="6041719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达标</w:t>
            </w:r>
          </w:p>
        </w:tc>
      </w:tr>
      <w:tr w14:paraId="63D63A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82" w:type="pct"/>
            <w:vAlign w:val="center"/>
          </w:tcPr>
          <w:p w14:paraId="3156238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O</w:t>
            </w:r>
            <w:r>
              <w:rPr>
                <w:rFonts w:hint="default" w:ascii="Times New Roman" w:hAnsi="Times New Roman" w:eastAsia="宋体" w:cs="Times New Roman"/>
                <w:kern w:val="0"/>
                <w:sz w:val="21"/>
                <w:szCs w:val="21"/>
                <w:vertAlign w:val="subscript"/>
              </w:rPr>
              <w:t>3</w:t>
            </w:r>
          </w:p>
        </w:tc>
        <w:tc>
          <w:tcPr>
            <w:tcW w:w="1887" w:type="pct"/>
            <w:vAlign w:val="center"/>
          </w:tcPr>
          <w:p w14:paraId="4433B4C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城市日最大8小时平均百分之90位数（μg/m³）</w:t>
            </w:r>
          </w:p>
        </w:tc>
        <w:tc>
          <w:tcPr>
            <w:tcW w:w="691" w:type="pct"/>
            <w:vAlign w:val="center"/>
          </w:tcPr>
          <w:p w14:paraId="3CC6171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151</w:t>
            </w:r>
          </w:p>
        </w:tc>
        <w:tc>
          <w:tcPr>
            <w:tcW w:w="654" w:type="pct"/>
            <w:vAlign w:val="center"/>
          </w:tcPr>
          <w:p w14:paraId="4DF8698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160</w:t>
            </w:r>
          </w:p>
        </w:tc>
        <w:tc>
          <w:tcPr>
            <w:tcW w:w="672" w:type="pct"/>
            <w:vAlign w:val="center"/>
          </w:tcPr>
          <w:p w14:paraId="00BBA1A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94.37%</w:t>
            </w:r>
          </w:p>
        </w:tc>
        <w:tc>
          <w:tcPr>
            <w:tcW w:w="614" w:type="pct"/>
            <w:vAlign w:val="center"/>
          </w:tcPr>
          <w:p w14:paraId="0E1F41E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达标</w:t>
            </w:r>
          </w:p>
        </w:tc>
      </w:tr>
      <w:tr w14:paraId="75346C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82" w:type="pct"/>
            <w:vAlign w:val="center"/>
          </w:tcPr>
          <w:p w14:paraId="0218A84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PM</w:t>
            </w:r>
            <w:r>
              <w:rPr>
                <w:rFonts w:hint="default" w:ascii="Times New Roman" w:hAnsi="Times New Roman" w:eastAsia="宋体" w:cs="Times New Roman"/>
                <w:kern w:val="0"/>
                <w:sz w:val="21"/>
                <w:szCs w:val="21"/>
                <w:vertAlign w:val="subscript"/>
              </w:rPr>
              <w:t>10</w:t>
            </w:r>
          </w:p>
        </w:tc>
        <w:tc>
          <w:tcPr>
            <w:tcW w:w="1887" w:type="pct"/>
            <w:vAlign w:val="center"/>
          </w:tcPr>
          <w:p w14:paraId="3D904EA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年平均质量浓度（μg/m³）</w:t>
            </w:r>
          </w:p>
        </w:tc>
        <w:tc>
          <w:tcPr>
            <w:tcW w:w="691" w:type="pct"/>
            <w:vAlign w:val="center"/>
          </w:tcPr>
          <w:p w14:paraId="4A78E76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52</w:t>
            </w:r>
          </w:p>
        </w:tc>
        <w:tc>
          <w:tcPr>
            <w:tcW w:w="654" w:type="pct"/>
            <w:vAlign w:val="center"/>
          </w:tcPr>
          <w:p w14:paraId="5BE63A2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70</w:t>
            </w:r>
          </w:p>
        </w:tc>
        <w:tc>
          <w:tcPr>
            <w:tcW w:w="672" w:type="pct"/>
            <w:vAlign w:val="center"/>
          </w:tcPr>
          <w:p w14:paraId="1CA8CD9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74.28%</w:t>
            </w:r>
          </w:p>
        </w:tc>
        <w:tc>
          <w:tcPr>
            <w:tcW w:w="614" w:type="pct"/>
            <w:vAlign w:val="center"/>
          </w:tcPr>
          <w:p w14:paraId="2FD427C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达标</w:t>
            </w:r>
          </w:p>
        </w:tc>
      </w:tr>
      <w:tr w14:paraId="27F9B1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82" w:type="pct"/>
            <w:vAlign w:val="center"/>
          </w:tcPr>
          <w:p w14:paraId="64B6FDC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PM</w:t>
            </w:r>
            <w:r>
              <w:rPr>
                <w:rFonts w:hint="default" w:ascii="Times New Roman" w:hAnsi="Times New Roman" w:eastAsia="宋体" w:cs="Times New Roman"/>
                <w:kern w:val="0"/>
                <w:sz w:val="21"/>
                <w:szCs w:val="21"/>
                <w:vertAlign w:val="subscript"/>
              </w:rPr>
              <w:t>2.5</w:t>
            </w:r>
          </w:p>
        </w:tc>
        <w:tc>
          <w:tcPr>
            <w:tcW w:w="1887" w:type="pct"/>
            <w:vAlign w:val="center"/>
          </w:tcPr>
          <w:p w14:paraId="63C75ED5">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年平均质量浓度（μg/m³）</w:t>
            </w:r>
          </w:p>
        </w:tc>
        <w:tc>
          <w:tcPr>
            <w:tcW w:w="691" w:type="pct"/>
            <w:vAlign w:val="center"/>
          </w:tcPr>
          <w:p w14:paraId="4161EE4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33</w:t>
            </w:r>
          </w:p>
        </w:tc>
        <w:tc>
          <w:tcPr>
            <w:tcW w:w="654" w:type="pct"/>
            <w:vAlign w:val="center"/>
          </w:tcPr>
          <w:p w14:paraId="754DE21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35</w:t>
            </w:r>
          </w:p>
        </w:tc>
        <w:tc>
          <w:tcPr>
            <w:tcW w:w="672" w:type="pct"/>
            <w:vAlign w:val="center"/>
          </w:tcPr>
          <w:p w14:paraId="133800B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94.28%</w:t>
            </w:r>
          </w:p>
        </w:tc>
        <w:tc>
          <w:tcPr>
            <w:tcW w:w="614" w:type="pct"/>
            <w:vAlign w:val="center"/>
          </w:tcPr>
          <w:p w14:paraId="10396FC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达标</w:t>
            </w:r>
          </w:p>
        </w:tc>
      </w:tr>
    </w:tbl>
    <w:p w14:paraId="0C21B0F3">
      <w:pPr>
        <w:spacing w:line="360" w:lineRule="auto"/>
        <w:ind w:firstLine="482"/>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根据公布内容，松木经开区2022年1-12月的环境空气质量现状结果中PM</w:t>
      </w:r>
      <w:r>
        <w:rPr>
          <w:rFonts w:hint="default" w:ascii="Times New Roman" w:hAnsi="Times New Roman" w:eastAsia="宋体" w:cs="Times New Roman"/>
          <w:sz w:val="24"/>
          <w:szCs w:val="28"/>
          <w:vertAlign w:val="subscript"/>
        </w:rPr>
        <w:t>2.5</w:t>
      </w:r>
      <w:r>
        <w:rPr>
          <w:rFonts w:hint="default" w:ascii="Times New Roman" w:hAnsi="Times New Roman" w:eastAsia="宋体" w:cs="Times New Roman"/>
          <w:sz w:val="24"/>
          <w:szCs w:val="28"/>
        </w:rPr>
        <w:t>、PM</w:t>
      </w:r>
      <w:r>
        <w:rPr>
          <w:rFonts w:hint="default" w:ascii="Times New Roman" w:hAnsi="Times New Roman" w:eastAsia="宋体" w:cs="Times New Roman"/>
          <w:sz w:val="24"/>
          <w:szCs w:val="28"/>
          <w:vertAlign w:val="subscript"/>
        </w:rPr>
        <w:t>10</w:t>
      </w:r>
      <w:r>
        <w:rPr>
          <w:rFonts w:hint="default" w:ascii="Times New Roman" w:hAnsi="Times New Roman" w:eastAsia="宋体" w:cs="Times New Roman"/>
          <w:sz w:val="24"/>
          <w:szCs w:val="28"/>
        </w:rPr>
        <w:t>、NO</w:t>
      </w:r>
      <w:r>
        <w:rPr>
          <w:rFonts w:hint="default" w:ascii="Times New Roman" w:hAnsi="Times New Roman" w:eastAsia="宋体" w:cs="Times New Roman"/>
          <w:sz w:val="24"/>
          <w:szCs w:val="28"/>
          <w:vertAlign w:val="subscript"/>
        </w:rPr>
        <w:t>2</w:t>
      </w:r>
      <w:r>
        <w:rPr>
          <w:rFonts w:hint="default" w:ascii="Times New Roman" w:hAnsi="Times New Roman" w:eastAsia="宋体" w:cs="Times New Roman"/>
          <w:sz w:val="24"/>
          <w:szCs w:val="28"/>
        </w:rPr>
        <w:t>、CO、SO</w:t>
      </w:r>
      <w:r>
        <w:rPr>
          <w:rFonts w:hint="default" w:ascii="Times New Roman" w:hAnsi="Times New Roman" w:eastAsia="宋体" w:cs="Times New Roman"/>
          <w:sz w:val="24"/>
          <w:szCs w:val="28"/>
          <w:vertAlign w:val="subscript"/>
        </w:rPr>
        <w:t>2</w:t>
      </w:r>
      <w:r>
        <w:rPr>
          <w:rFonts w:hint="default" w:ascii="Times New Roman" w:hAnsi="Times New Roman" w:eastAsia="宋体" w:cs="Times New Roman"/>
          <w:sz w:val="24"/>
          <w:szCs w:val="28"/>
        </w:rPr>
        <w:t>、O</w:t>
      </w:r>
      <w:r>
        <w:rPr>
          <w:rFonts w:hint="default" w:ascii="Times New Roman" w:hAnsi="Times New Roman" w:eastAsia="宋体" w:cs="Times New Roman"/>
          <w:sz w:val="24"/>
          <w:szCs w:val="28"/>
          <w:vertAlign w:val="subscript"/>
        </w:rPr>
        <w:t>3</w:t>
      </w:r>
      <w:r>
        <w:rPr>
          <w:rFonts w:hint="default" w:ascii="Times New Roman" w:hAnsi="Times New Roman" w:eastAsia="宋体" w:cs="Times New Roman"/>
          <w:sz w:val="24"/>
          <w:szCs w:val="28"/>
        </w:rPr>
        <w:t>达到《环境空气质量标准》（GB3095-2012）及其修改单二级标准。因此，2022年衡阳市松木经开区属于环境空气质量达标区。</w:t>
      </w:r>
    </w:p>
    <w:p w14:paraId="06AC2BAD">
      <w:pPr>
        <w:spacing w:line="360" w:lineRule="auto"/>
        <w:ind w:firstLine="482" w:firstLineChars="200"/>
        <w:rPr>
          <w:rFonts w:hint="default" w:ascii="Times New Roman" w:hAnsi="Times New Roman" w:eastAsia="宋体" w:cs="Times New Roman"/>
          <w:b/>
          <w:kern w:val="0"/>
          <w:sz w:val="24"/>
        </w:rPr>
      </w:pPr>
      <w:r>
        <w:rPr>
          <w:rFonts w:hint="default" w:ascii="Times New Roman" w:hAnsi="Times New Roman" w:eastAsia="宋体" w:cs="Times New Roman"/>
          <w:b/>
          <w:kern w:val="0"/>
          <w:sz w:val="24"/>
        </w:rPr>
        <w:t>（2）其他污染物</w:t>
      </w:r>
    </w:p>
    <w:p w14:paraId="0CB66B6A">
      <w:pPr>
        <w:spacing w:line="360" w:lineRule="auto"/>
        <w:ind w:firstLine="49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①补充监测</w:t>
      </w:r>
    </w:p>
    <w:p w14:paraId="678458A2">
      <w:pPr>
        <w:spacing w:line="360" w:lineRule="auto"/>
        <w:ind w:firstLine="495"/>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解本项目所在区域大气污染物现状，本环评委托湖南九鼎环保科技有限公司于2023年2月27~3月5日对环境质量现状进行了补充监测。根据《环境影响评价技术导则大气环境》（HJ2.2-2018），监测点位布设应在厂址及主导风下风向5km范围内设置1~2个监测点，本项目在场址内和下风向5km范围内分别设置了1个监测点，监测布点满足导则要求。</w:t>
      </w:r>
    </w:p>
    <w:p w14:paraId="66C742FD">
      <w:pPr>
        <w:pStyle w:val="113"/>
        <w:spacing w:line="360" w:lineRule="auto"/>
        <w:rPr>
          <w:rFonts w:hint="default" w:ascii="Times New Roman" w:hAnsi="Times New Roman" w:eastAsia="宋体" w:cs="Times New Roman"/>
        </w:rPr>
      </w:pPr>
      <w:r>
        <w:rPr>
          <w:rFonts w:hint="default" w:ascii="Times New Roman" w:hAnsi="Times New Roman" w:eastAsia="宋体" w:cs="Times New Roman"/>
        </w:rPr>
        <w:t>监测点位布设：</w:t>
      </w:r>
      <w:r>
        <w:rPr>
          <w:rFonts w:hint="default" w:ascii="Times New Roman" w:hAnsi="Times New Roman" w:eastAsia="宋体" w:cs="Times New Roman"/>
          <w:szCs w:val="24"/>
        </w:rPr>
        <w:t>结合本项目实际情况，当地近20年统计主导风向及采样期间的气象特征，根据《环境影响评价技术导则 大气环境》（HJ2.2-2018）中对本次监测的要求及大气环境影响评价等级，设1个监测点位。</w:t>
      </w:r>
    </w:p>
    <w:p w14:paraId="17F250CA">
      <w:pPr>
        <w:spacing w:line="360" w:lineRule="auto"/>
        <w:jc w:val="center"/>
        <w:rPr>
          <w:rFonts w:hint="default" w:ascii="Times New Roman" w:hAnsi="Times New Roman" w:eastAsia="宋体" w:cs="Times New Roman"/>
          <w:b/>
          <w:bCs/>
        </w:rPr>
      </w:pPr>
      <w:r>
        <w:rPr>
          <w:rFonts w:hint="default" w:ascii="Times New Roman" w:hAnsi="Times New Roman" w:eastAsia="宋体" w:cs="Times New Roman"/>
          <w:b/>
          <w:bCs/>
        </w:rPr>
        <w:t>表6.4-2 监测点位</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872"/>
        <w:gridCol w:w="5246"/>
      </w:tblGrid>
      <w:tr w14:paraId="2B2E6E3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3" w:type="pct"/>
            <w:tcBorders>
              <w:top w:val="single" w:color="auto" w:sz="12" w:space="0"/>
            </w:tcBorders>
            <w:vAlign w:val="center"/>
          </w:tcPr>
          <w:p w14:paraId="55AEC261">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监测点序号</w:t>
            </w:r>
          </w:p>
        </w:tc>
        <w:tc>
          <w:tcPr>
            <w:tcW w:w="2877" w:type="pct"/>
            <w:tcBorders>
              <w:top w:val="single" w:color="auto" w:sz="12" w:space="0"/>
            </w:tcBorders>
            <w:vAlign w:val="center"/>
          </w:tcPr>
          <w:p w14:paraId="24FCD30E">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监测点名称</w:t>
            </w:r>
          </w:p>
        </w:tc>
      </w:tr>
      <w:tr w14:paraId="3009F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3" w:type="pct"/>
            <w:vAlign w:val="center"/>
          </w:tcPr>
          <w:p w14:paraId="4298D1A1">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1#</w:t>
            </w:r>
          </w:p>
        </w:tc>
        <w:tc>
          <w:tcPr>
            <w:tcW w:w="2877" w:type="pct"/>
            <w:vAlign w:val="center"/>
          </w:tcPr>
          <w:p w14:paraId="68765E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厂区北侧（上风向）</w:t>
            </w:r>
          </w:p>
        </w:tc>
      </w:tr>
      <w:tr w14:paraId="1944D5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123" w:type="pct"/>
            <w:vAlign w:val="center"/>
          </w:tcPr>
          <w:p w14:paraId="09F693F1">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rPr>
            </w:pPr>
            <w:r>
              <w:rPr>
                <w:rFonts w:hint="default" w:ascii="Times New Roman" w:hAnsi="Times New Roman" w:eastAsia="宋体" w:cs="Times New Roman"/>
              </w:rPr>
              <w:t>2#</w:t>
            </w:r>
          </w:p>
        </w:tc>
        <w:tc>
          <w:tcPr>
            <w:tcW w:w="2877" w:type="pct"/>
            <w:vAlign w:val="center"/>
          </w:tcPr>
          <w:p w14:paraId="08B9CF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厂区南侧（下风向）</w:t>
            </w:r>
          </w:p>
        </w:tc>
      </w:tr>
    </w:tbl>
    <w:p w14:paraId="3D94C1CF">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监测因子：根据项目区域环境特征以及常规污染物，确定大气环境质量现状监测因子为：TVOC、苯、甲苯、二甲苯、苯乙烯、臭气浓度。</w:t>
      </w:r>
    </w:p>
    <w:p w14:paraId="235DDF8C">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监测时间与频率：根据《环境影响评价导则 大气环境》（HJ2.2-2018）中对本次监测的要求及大气环境影响评价等级做1期现场监测，连续7天。</w:t>
      </w:r>
    </w:p>
    <w:p w14:paraId="57633F97">
      <w:pPr>
        <w:pStyle w:val="48"/>
        <w:spacing w:before="0" w:line="360" w:lineRule="auto"/>
        <w:rPr>
          <w:rFonts w:hint="default" w:ascii="Times New Roman" w:hAnsi="Times New Roman" w:eastAsia="宋体" w:cs="Times New Roman"/>
          <w:sz w:val="24"/>
          <w:szCs w:val="24"/>
        </w:rPr>
        <w:sectPr>
          <w:pgSz w:w="11906" w:h="16838"/>
          <w:pgMar w:top="1440" w:right="1502" w:bottom="1440" w:left="1502" w:header="851" w:footer="680" w:gutter="0"/>
          <w:pgBorders>
            <w:top w:val="none" w:sz="0" w:space="0"/>
            <w:left w:val="none" w:sz="0" w:space="0"/>
            <w:bottom w:val="none" w:sz="0" w:space="0"/>
            <w:right w:val="none" w:sz="0" w:space="0"/>
          </w:pgBorders>
          <w:cols w:space="425" w:num="1"/>
          <w:docGrid w:type="lines" w:linePitch="326" w:charSpace="0"/>
        </w:sectPr>
      </w:pPr>
      <w:r>
        <w:rPr>
          <w:rFonts w:hint="default" w:ascii="Times New Roman" w:hAnsi="Times New Roman" w:eastAsia="宋体" w:cs="Times New Roman"/>
          <w:sz w:val="24"/>
          <w:szCs w:val="24"/>
        </w:rPr>
        <w:t>测结果见表6.3-3。</w:t>
      </w:r>
    </w:p>
    <w:p w14:paraId="45AC1E8D">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表6.4-3       大气补充监测结果统计表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06"/>
        <w:gridCol w:w="1142"/>
        <w:gridCol w:w="1369"/>
        <w:gridCol w:w="1369"/>
        <w:gridCol w:w="1369"/>
        <w:gridCol w:w="1369"/>
        <w:gridCol w:w="1369"/>
        <w:gridCol w:w="1369"/>
        <w:gridCol w:w="1369"/>
        <w:gridCol w:w="961"/>
        <w:gridCol w:w="865"/>
        <w:gridCol w:w="917"/>
      </w:tblGrid>
      <w:tr w14:paraId="11891A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restart"/>
            <w:vAlign w:val="center"/>
          </w:tcPr>
          <w:p w14:paraId="1675EB0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采样位置</w:t>
            </w:r>
          </w:p>
        </w:tc>
        <w:tc>
          <w:tcPr>
            <w:tcW w:w="403" w:type="pct"/>
            <w:vMerge w:val="restart"/>
            <w:vAlign w:val="center"/>
          </w:tcPr>
          <w:p w14:paraId="44639EE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检测项目</w:t>
            </w:r>
          </w:p>
        </w:tc>
        <w:tc>
          <w:tcPr>
            <w:tcW w:w="3380" w:type="pct"/>
            <w:gridSpan w:val="7"/>
            <w:vAlign w:val="center"/>
          </w:tcPr>
          <w:p w14:paraId="3136C8F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检测结果（单位：mg/m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w:t>
            </w:r>
          </w:p>
        </w:tc>
        <w:tc>
          <w:tcPr>
            <w:tcW w:w="339" w:type="pct"/>
            <w:vMerge w:val="restart"/>
            <w:vAlign w:val="center"/>
          </w:tcPr>
          <w:p w14:paraId="260B2AC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标准值</w:t>
            </w:r>
          </w:p>
        </w:tc>
        <w:tc>
          <w:tcPr>
            <w:tcW w:w="305" w:type="pct"/>
            <w:vMerge w:val="restart"/>
            <w:vAlign w:val="center"/>
          </w:tcPr>
          <w:p w14:paraId="0DAF764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超标率</w:t>
            </w:r>
          </w:p>
        </w:tc>
        <w:tc>
          <w:tcPr>
            <w:tcW w:w="324" w:type="pct"/>
            <w:vMerge w:val="restart"/>
            <w:vAlign w:val="center"/>
          </w:tcPr>
          <w:p w14:paraId="2DFB1CF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最大超标倍数</w:t>
            </w:r>
          </w:p>
        </w:tc>
      </w:tr>
      <w:tr w14:paraId="06860A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1995941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5065874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7B0565A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2月23日</w:t>
            </w:r>
          </w:p>
        </w:tc>
        <w:tc>
          <w:tcPr>
            <w:tcW w:w="483" w:type="pct"/>
            <w:vAlign w:val="center"/>
          </w:tcPr>
          <w:p w14:paraId="40AF1B3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2月28日</w:t>
            </w:r>
          </w:p>
        </w:tc>
        <w:tc>
          <w:tcPr>
            <w:tcW w:w="483" w:type="pct"/>
            <w:vAlign w:val="center"/>
          </w:tcPr>
          <w:p w14:paraId="148A850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3月1日</w:t>
            </w:r>
          </w:p>
        </w:tc>
        <w:tc>
          <w:tcPr>
            <w:tcW w:w="483" w:type="pct"/>
            <w:vAlign w:val="center"/>
          </w:tcPr>
          <w:p w14:paraId="23E90D0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3月2日</w:t>
            </w:r>
          </w:p>
        </w:tc>
        <w:tc>
          <w:tcPr>
            <w:tcW w:w="483" w:type="pct"/>
            <w:vAlign w:val="center"/>
          </w:tcPr>
          <w:p w14:paraId="3A0982E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3月3日</w:t>
            </w:r>
          </w:p>
        </w:tc>
        <w:tc>
          <w:tcPr>
            <w:tcW w:w="483" w:type="pct"/>
            <w:vAlign w:val="center"/>
          </w:tcPr>
          <w:p w14:paraId="52EEEA4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3月4日</w:t>
            </w:r>
          </w:p>
        </w:tc>
        <w:tc>
          <w:tcPr>
            <w:tcW w:w="483" w:type="pct"/>
            <w:vAlign w:val="center"/>
          </w:tcPr>
          <w:p w14:paraId="11BAB45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3月4日</w:t>
            </w:r>
          </w:p>
        </w:tc>
        <w:tc>
          <w:tcPr>
            <w:tcW w:w="339" w:type="pct"/>
            <w:vMerge w:val="continue"/>
            <w:vAlign w:val="center"/>
          </w:tcPr>
          <w:p w14:paraId="1952211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3E1102F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0870667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2B041E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restart"/>
            <w:vAlign w:val="center"/>
          </w:tcPr>
          <w:p w14:paraId="3B52886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上风向1#</w:t>
            </w:r>
          </w:p>
        </w:tc>
        <w:tc>
          <w:tcPr>
            <w:tcW w:w="403" w:type="pct"/>
            <w:vMerge w:val="restart"/>
            <w:vAlign w:val="center"/>
          </w:tcPr>
          <w:p w14:paraId="09A946E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TVOC</w:t>
            </w:r>
          </w:p>
        </w:tc>
        <w:tc>
          <w:tcPr>
            <w:tcW w:w="483" w:type="pct"/>
            <w:vAlign w:val="center"/>
          </w:tcPr>
          <w:p w14:paraId="7B695A4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0.034</w:t>
            </w:r>
          </w:p>
        </w:tc>
        <w:tc>
          <w:tcPr>
            <w:tcW w:w="483" w:type="pct"/>
            <w:vAlign w:val="center"/>
          </w:tcPr>
          <w:p w14:paraId="3938C8C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0.037</w:t>
            </w:r>
          </w:p>
        </w:tc>
        <w:tc>
          <w:tcPr>
            <w:tcW w:w="483" w:type="pct"/>
            <w:vAlign w:val="center"/>
          </w:tcPr>
          <w:p w14:paraId="69D7946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0.025</w:t>
            </w:r>
          </w:p>
        </w:tc>
        <w:tc>
          <w:tcPr>
            <w:tcW w:w="483" w:type="pct"/>
            <w:vAlign w:val="center"/>
          </w:tcPr>
          <w:p w14:paraId="72652C6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0.018</w:t>
            </w:r>
          </w:p>
        </w:tc>
        <w:tc>
          <w:tcPr>
            <w:tcW w:w="483" w:type="pct"/>
            <w:vAlign w:val="center"/>
          </w:tcPr>
          <w:p w14:paraId="574CB10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0.031</w:t>
            </w:r>
          </w:p>
        </w:tc>
        <w:tc>
          <w:tcPr>
            <w:tcW w:w="483" w:type="pct"/>
            <w:vAlign w:val="center"/>
          </w:tcPr>
          <w:p w14:paraId="1B75673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0.029</w:t>
            </w:r>
          </w:p>
        </w:tc>
        <w:tc>
          <w:tcPr>
            <w:tcW w:w="483" w:type="pct"/>
            <w:vAlign w:val="center"/>
          </w:tcPr>
          <w:p w14:paraId="4D227F2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0.023</w:t>
            </w:r>
          </w:p>
        </w:tc>
        <w:tc>
          <w:tcPr>
            <w:tcW w:w="339" w:type="pct"/>
            <w:vMerge w:val="restart"/>
            <w:vAlign w:val="center"/>
          </w:tcPr>
          <w:p w14:paraId="246F9D3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0.6</w:t>
            </w:r>
          </w:p>
        </w:tc>
        <w:tc>
          <w:tcPr>
            <w:tcW w:w="305" w:type="pct"/>
            <w:vMerge w:val="restart"/>
            <w:vAlign w:val="center"/>
          </w:tcPr>
          <w:p w14:paraId="1389EB3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c>
          <w:tcPr>
            <w:tcW w:w="324" w:type="pct"/>
            <w:vMerge w:val="restart"/>
            <w:vAlign w:val="center"/>
          </w:tcPr>
          <w:p w14:paraId="078C354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7AFD3D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1AD51D2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kern w:val="0"/>
                <w:szCs w:val="21"/>
              </w:rPr>
            </w:pPr>
          </w:p>
        </w:tc>
        <w:tc>
          <w:tcPr>
            <w:tcW w:w="403" w:type="pct"/>
            <w:vMerge w:val="continue"/>
            <w:vAlign w:val="center"/>
          </w:tcPr>
          <w:p w14:paraId="60FAD88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4BCB693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0.018</w:t>
            </w:r>
          </w:p>
        </w:tc>
        <w:tc>
          <w:tcPr>
            <w:tcW w:w="483" w:type="pct"/>
            <w:vAlign w:val="center"/>
          </w:tcPr>
          <w:p w14:paraId="5A8D961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0.024</w:t>
            </w:r>
          </w:p>
        </w:tc>
        <w:tc>
          <w:tcPr>
            <w:tcW w:w="483" w:type="pct"/>
            <w:vAlign w:val="center"/>
          </w:tcPr>
          <w:p w14:paraId="1E111DA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0.016</w:t>
            </w:r>
          </w:p>
        </w:tc>
        <w:tc>
          <w:tcPr>
            <w:tcW w:w="483" w:type="pct"/>
            <w:vAlign w:val="center"/>
          </w:tcPr>
          <w:p w14:paraId="2E0A82A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0.018</w:t>
            </w:r>
          </w:p>
        </w:tc>
        <w:tc>
          <w:tcPr>
            <w:tcW w:w="483" w:type="pct"/>
            <w:vAlign w:val="center"/>
          </w:tcPr>
          <w:p w14:paraId="6468782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0.025</w:t>
            </w:r>
          </w:p>
        </w:tc>
        <w:tc>
          <w:tcPr>
            <w:tcW w:w="483" w:type="pct"/>
            <w:vAlign w:val="center"/>
          </w:tcPr>
          <w:p w14:paraId="3D959FF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0.013</w:t>
            </w:r>
          </w:p>
        </w:tc>
        <w:tc>
          <w:tcPr>
            <w:tcW w:w="483" w:type="pct"/>
            <w:vAlign w:val="center"/>
          </w:tcPr>
          <w:p w14:paraId="15E8FC4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0.017</w:t>
            </w:r>
          </w:p>
        </w:tc>
        <w:tc>
          <w:tcPr>
            <w:tcW w:w="339" w:type="pct"/>
            <w:vMerge w:val="continue"/>
            <w:vAlign w:val="center"/>
          </w:tcPr>
          <w:p w14:paraId="23943CF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51249C1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298E30B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297C85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16ACEE5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kern w:val="0"/>
                <w:szCs w:val="21"/>
              </w:rPr>
            </w:pPr>
          </w:p>
        </w:tc>
        <w:tc>
          <w:tcPr>
            <w:tcW w:w="403" w:type="pct"/>
            <w:vMerge w:val="continue"/>
            <w:vAlign w:val="center"/>
          </w:tcPr>
          <w:p w14:paraId="20E1544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3B86846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0.024</w:t>
            </w:r>
          </w:p>
        </w:tc>
        <w:tc>
          <w:tcPr>
            <w:tcW w:w="483" w:type="pct"/>
            <w:vAlign w:val="center"/>
          </w:tcPr>
          <w:p w14:paraId="35688FC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0.019</w:t>
            </w:r>
          </w:p>
        </w:tc>
        <w:tc>
          <w:tcPr>
            <w:tcW w:w="483" w:type="pct"/>
            <w:vAlign w:val="center"/>
          </w:tcPr>
          <w:p w14:paraId="5D23C2D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0.026</w:t>
            </w:r>
          </w:p>
        </w:tc>
        <w:tc>
          <w:tcPr>
            <w:tcW w:w="483" w:type="pct"/>
            <w:vAlign w:val="center"/>
          </w:tcPr>
          <w:p w14:paraId="2A47D65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0.032</w:t>
            </w:r>
          </w:p>
        </w:tc>
        <w:tc>
          <w:tcPr>
            <w:tcW w:w="483" w:type="pct"/>
            <w:vAlign w:val="center"/>
          </w:tcPr>
          <w:p w14:paraId="1F41AD5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0.010</w:t>
            </w:r>
          </w:p>
        </w:tc>
        <w:tc>
          <w:tcPr>
            <w:tcW w:w="483" w:type="pct"/>
            <w:vAlign w:val="center"/>
          </w:tcPr>
          <w:p w14:paraId="3082457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0.019</w:t>
            </w:r>
          </w:p>
        </w:tc>
        <w:tc>
          <w:tcPr>
            <w:tcW w:w="483" w:type="pct"/>
            <w:vAlign w:val="center"/>
          </w:tcPr>
          <w:p w14:paraId="1431BBA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0.068</w:t>
            </w:r>
          </w:p>
        </w:tc>
        <w:tc>
          <w:tcPr>
            <w:tcW w:w="339" w:type="pct"/>
            <w:vMerge w:val="continue"/>
            <w:vAlign w:val="center"/>
          </w:tcPr>
          <w:p w14:paraId="65FAF60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7E41BBC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602A9A8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3987A4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7EC92F3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kern w:val="0"/>
                <w:szCs w:val="21"/>
              </w:rPr>
            </w:pPr>
          </w:p>
        </w:tc>
        <w:tc>
          <w:tcPr>
            <w:tcW w:w="403" w:type="pct"/>
            <w:vMerge w:val="restart"/>
            <w:vAlign w:val="center"/>
          </w:tcPr>
          <w:p w14:paraId="351E00B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483" w:type="pct"/>
            <w:vAlign w:val="center"/>
          </w:tcPr>
          <w:p w14:paraId="487D56C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27161D5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00A5F09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3E7975B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3EBA049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1E26FF3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3DF49B9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339" w:type="pct"/>
            <w:vMerge w:val="restart"/>
            <w:vAlign w:val="center"/>
          </w:tcPr>
          <w:p w14:paraId="063439C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0.11</w:t>
            </w:r>
          </w:p>
        </w:tc>
        <w:tc>
          <w:tcPr>
            <w:tcW w:w="305" w:type="pct"/>
            <w:vMerge w:val="restart"/>
            <w:vAlign w:val="center"/>
          </w:tcPr>
          <w:p w14:paraId="4058F38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c>
          <w:tcPr>
            <w:tcW w:w="324" w:type="pct"/>
            <w:vMerge w:val="restart"/>
            <w:vAlign w:val="center"/>
          </w:tcPr>
          <w:p w14:paraId="24BBEF7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6DF0C9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2BD6EEF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2BA8369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63E98B6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627C930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0114189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2080EA4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4980501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41626DD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3AEA205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339" w:type="pct"/>
            <w:vMerge w:val="continue"/>
            <w:vAlign w:val="center"/>
          </w:tcPr>
          <w:p w14:paraId="5506E07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5E3DEDC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42A92E9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70E3F9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77CEE1A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448C50D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5B7FFBB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013B632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1F85030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7630DC7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379238D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025F445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4.0×10</w:t>
            </w:r>
            <w:r>
              <w:rPr>
                <w:rFonts w:hint="default" w:ascii="Times New Roman" w:hAnsi="Times New Roman" w:eastAsia="宋体" w:cs="Times New Roman"/>
                <w:szCs w:val="21"/>
                <w:vertAlign w:val="superscript"/>
              </w:rPr>
              <w:t>-4</w:t>
            </w:r>
            <w:r>
              <w:rPr>
                <w:rFonts w:hint="default" w:ascii="Times New Roman" w:hAnsi="Times New Roman" w:eastAsia="宋体" w:cs="Times New Roman"/>
                <w:szCs w:val="21"/>
              </w:rPr>
              <w:t>ND</w:t>
            </w:r>
          </w:p>
        </w:tc>
        <w:tc>
          <w:tcPr>
            <w:tcW w:w="483" w:type="pct"/>
            <w:vAlign w:val="center"/>
          </w:tcPr>
          <w:p w14:paraId="0820FFF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339" w:type="pct"/>
            <w:vMerge w:val="continue"/>
            <w:vAlign w:val="center"/>
          </w:tcPr>
          <w:p w14:paraId="3B71742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33A906A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7D8F2C0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24E701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62B0C68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restart"/>
            <w:vAlign w:val="center"/>
          </w:tcPr>
          <w:p w14:paraId="041A8C2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甲苯</w:t>
            </w:r>
          </w:p>
        </w:tc>
        <w:tc>
          <w:tcPr>
            <w:tcW w:w="483" w:type="pct"/>
            <w:vAlign w:val="center"/>
          </w:tcPr>
          <w:p w14:paraId="67FDAF3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vertAlign w:val="superscript"/>
              </w:rPr>
            </w:pPr>
            <w:r>
              <w:rPr>
                <w:rFonts w:hint="default" w:ascii="Times New Roman" w:hAnsi="Times New Roman" w:eastAsia="宋体" w:cs="Times New Roman"/>
                <w:szCs w:val="21"/>
              </w:rPr>
              <w:t>0.009</w:t>
            </w:r>
          </w:p>
        </w:tc>
        <w:tc>
          <w:tcPr>
            <w:tcW w:w="483" w:type="pct"/>
            <w:vAlign w:val="center"/>
          </w:tcPr>
          <w:p w14:paraId="271514D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0.011</w:t>
            </w:r>
          </w:p>
        </w:tc>
        <w:tc>
          <w:tcPr>
            <w:tcW w:w="483" w:type="pct"/>
            <w:vAlign w:val="center"/>
          </w:tcPr>
          <w:p w14:paraId="42FB34C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0.008</w:t>
            </w:r>
          </w:p>
        </w:tc>
        <w:tc>
          <w:tcPr>
            <w:tcW w:w="483" w:type="pct"/>
            <w:vAlign w:val="center"/>
          </w:tcPr>
          <w:p w14:paraId="0203804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0.005</w:t>
            </w:r>
          </w:p>
        </w:tc>
        <w:tc>
          <w:tcPr>
            <w:tcW w:w="483" w:type="pct"/>
            <w:vAlign w:val="center"/>
          </w:tcPr>
          <w:p w14:paraId="1FA99F6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0.007</w:t>
            </w:r>
          </w:p>
        </w:tc>
        <w:tc>
          <w:tcPr>
            <w:tcW w:w="483" w:type="pct"/>
            <w:vAlign w:val="center"/>
          </w:tcPr>
          <w:p w14:paraId="7B478FD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5478CB8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0.009</w:t>
            </w:r>
          </w:p>
        </w:tc>
        <w:tc>
          <w:tcPr>
            <w:tcW w:w="339" w:type="pct"/>
            <w:vMerge w:val="restart"/>
            <w:vAlign w:val="center"/>
          </w:tcPr>
          <w:p w14:paraId="283F622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0.2</w:t>
            </w:r>
          </w:p>
        </w:tc>
        <w:tc>
          <w:tcPr>
            <w:tcW w:w="305" w:type="pct"/>
            <w:vMerge w:val="restart"/>
            <w:vAlign w:val="center"/>
          </w:tcPr>
          <w:p w14:paraId="57833DF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c>
          <w:tcPr>
            <w:tcW w:w="324" w:type="pct"/>
            <w:vMerge w:val="restart"/>
            <w:vAlign w:val="center"/>
          </w:tcPr>
          <w:p w14:paraId="0CCC1CE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2CCDDF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59D9537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1B4F217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0D8B2B3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473ABB6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0.005</w:t>
            </w:r>
          </w:p>
        </w:tc>
        <w:tc>
          <w:tcPr>
            <w:tcW w:w="483" w:type="pct"/>
            <w:vAlign w:val="center"/>
          </w:tcPr>
          <w:p w14:paraId="78C9233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671EC90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0.006</w:t>
            </w:r>
          </w:p>
        </w:tc>
        <w:tc>
          <w:tcPr>
            <w:tcW w:w="483" w:type="pct"/>
            <w:vAlign w:val="center"/>
          </w:tcPr>
          <w:p w14:paraId="05B9B11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28709ED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39D2E00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0.005</w:t>
            </w:r>
          </w:p>
        </w:tc>
        <w:tc>
          <w:tcPr>
            <w:tcW w:w="339" w:type="pct"/>
            <w:vMerge w:val="continue"/>
            <w:vAlign w:val="center"/>
          </w:tcPr>
          <w:p w14:paraId="77E13CA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46D7A66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26EF17F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3B1B87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12477C3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44C045A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54F4D1D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0.005</w:t>
            </w:r>
          </w:p>
        </w:tc>
        <w:tc>
          <w:tcPr>
            <w:tcW w:w="483" w:type="pct"/>
            <w:vAlign w:val="center"/>
          </w:tcPr>
          <w:p w14:paraId="0787DAC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0.006</w:t>
            </w:r>
          </w:p>
        </w:tc>
        <w:tc>
          <w:tcPr>
            <w:tcW w:w="483" w:type="pct"/>
            <w:vAlign w:val="center"/>
          </w:tcPr>
          <w:p w14:paraId="38D61B8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0.007</w:t>
            </w:r>
          </w:p>
        </w:tc>
        <w:tc>
          <w:tcPr>
            <w:tcW w:w="483" w:type="pct"/>
            <w:vAlign w:val="center"/>
          </w:tcPr>
          <w:p w14:paraId="01DDB73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0.013</w:t>
            </w:r>
          </w:p>
        </w:tc>
        <w:tc>
          <w:tcPr>
            <w:tcW w:w="483" w:type="pct"/>
            <w:vAlign w:val="center"/>
          </w:tcPr>
          <w:p w14:paraId="49B1C28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1D8E522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6DEFE7D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0.007</w:t>
            </w:r>
          </w:p>
        </w:tc>
        <w:tc>
          <w:tcPr>
            <w:tcW w:w="339" w:type="pct"/>
            <w:vMerge w:val="continue"/>
            <w:vAlign w:val="center"/>
          </w:tcPr>
          <w:p w14:paraId="32269AE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4815671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54024F8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10826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2BF1A9C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restart"/>
            <w:vAlign w:val="center"/>
          </w:tcPr>
          <w:p w14:paraId="329DA79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二甲苯</w:t>
            </w:r>
          </w:p>
        </w:tc>
        <w:tc>
          <w:tcPr>
            <w:tcW w:w="483" w:type="pct"/>
            <w:vAlign w:val="center"/>
          </w:tcPr>
          <w:p w14:paraId="1472EBD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5643BAB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61AF330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6A80C97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093DC27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0.006</w:t>
            </w:r>
          </w:p>
        </w:tc>
        <w:tc>
          <w:tcPr>
            <w:tcW w:w="483" w:type="pct"/>
            <w:vAlign w:val="center"/>
          </w:tcPr>
          <w:p w14:paraId="494E945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4EFE6B9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339" w:type="pct"/>
            <w:vMerge w:val="restart"/>
            <w:vAlign w:val="center"/>
          </w:tcPr>
          <w:p w14:paraId="0794F08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0.2</w:t>
            </w:r>
          </w:p>
        </w:tc>
        <w:tc>
          <w:tcPr>
            <w:tcW w:w="305" w:type="pct"/>
            <w:vMerge w:val="restart"/>
            <w:vAlign w:val="center"/>
          </w:tcPr>
          <w:p w14:paraId="3193D69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c>
          <w:tcPr>
            <w:tcW w:w="324" w:type="pct"/>
            <w:vMerge w:val="restart"/>
            <w:vAlign w:val="center"/>
          </w:tcPr>
          <w:p w14:paraId="504A9C0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19AF43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5B55981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410C85F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0A464F0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6.0×10</w:t>
            </w:r>
            <w:r>
              <w:rPr>
                <w:rFonts w:hint="default" w:ascii="Times New Roman" w:hAnsi="Times New Roman" w:eastAsia="宋体" w:cs="Times New Roman"/>
                <w:szCs w:val="21"/>
                <w:vertAlign w:val="superscript"/>
              </w:rPr>
              <w:t>-4</w:t>
            </w:r>
            <w:r>
              <w:rPr>
                <w:rFonts w:hint="default" w:ascii="Times New Roman" w:hAnsi="Times New Roman" w:eastAsia="宋体" w:cs="Times New Roman"/>
                <w:szCs w:val="21"/>
              </w:rPr>
              <w:t>ND</w:t>
            </w:r>
          </w:p>
        </w:tc>
        <w:tc>
          <w:tcPr>
            <w:tcW w:w="483" w:type="pct"/>
            <w:vAlign w:val="center"/>
          </w:tcPr>
          <w:p w14:paraId="1EFA6DE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12C8069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07B80E2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3151466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1225E1D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382D4F0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339" w:type="pct"/>
            <w:vMerge w:val="continue"/>
            <w:vAlign w:val="center"/>
          </w:tcPr>
          <w:p w14:paraId="5E5559A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2148B5F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43A15CD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5D0DFA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34A1FC6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0C038B2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13D763D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1DEE327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085A38F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2788863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119F92D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55AA60F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06C259F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339" w:type="pct"/>
            <w:vMerge w:val="continue"/>
            <w:vAlign w:val="center"/>
          </w:tcPr>
          <w:p w14:paraId="24D31D3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38F4B10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5C5867E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0C9713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0D36C1A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restart"/>
            <w:vAlign w:val="center"/>
          </w:tcPr>
          <w:p w14:paraId="7FC0ED1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臭气浓度</w:t>
            </w:r>
          </w:p>
        </w:tc>
        <w:tc>
          <w:tcPr>
            <w:tcW w:w="483" w:type="pct"/>
            <w:vAlign w:val="center"/>
          </w:tcPr>
          <w:p w14:paraId="033BC3F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0A21BD0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1A0CB3D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1C18959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185F68F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1DFCA4F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30A9755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339" w:type="pct"/>
            <w:vMerge w:val="restart"/>
            <w:vAlign w:val="center"/>
          </w:tcPr>
          <w:p w14:paraId="25E2E99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305" w:type="pct"/>
            <w:vMerge w:val="restart"/>
            <w:vAlign w:val="center"/>
          </w:tcPr>
          <w:p w14:paraId="21D2AB0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324" w:type="pct"/>
            <w:vMerge w:val="restart"/>
            <w:vAlign w:val="center"/>
          </w:tcPr>
          <w:p w14:paraId="6FA13E6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47F20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1F52216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5673469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271F52A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310248C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1A52490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720C3F0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4E12C74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3089BFF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23116F9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339" w:type="pct"/>
            <w:vMerge w:val="continue"/>
            <w:vAlign w:val="center"/>
          </w:tcPr>
          <w:p w14:paraId="7E2BE15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761FF37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0EAC665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52CC52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5914EA4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643BF7C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5A02BD3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7F661E1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036DFD1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034E405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4D20BCF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1E9A4F7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45A7EE5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339" w:type="pct"/>
            <w:vMerge w:val="continue"/>
            <w:vAlign w:val="center"/>
          </w:tcPr>
          <w:p w14:paraId="04A4510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7D17EEF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1C28FA8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7A1793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restart"/>
            <w:vAlign w:val="center"/>
          </w:tcPr>
          <w:p w14:paraId="68C9FE8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下风向2#</w:t>
            </w:r>
          </w:p>
        </w:tc>
        <w:tc>
          <w:tcPr>
            <w:tcW w:w="403" w:type="pct"/>
            <w:vMerge w:val="restart"/>
            <w:vAlign w:val="center"/>
          </w:tcPr>
          <w:p w14:paraId="7791AC2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TVOC</w:t>
            </w:r>
          </w:p>
        </w:tc>
        <w:tc>
          <w:tcPr>
            <w:tcW w:w="483" w:type="pct"/>
            <w:vAlign w:val="center"/>
          </w:tcPr>
          <w:p w14:paraId="25E6AAA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0.048</w:t>
            </w:r>
          </w:p>
        </w:tc>
        <w:tc>
          <w:tcPr>
            <w:tcW w:w="483" w:type="pct"/>
            <w:vAlign w:val="center"/>
          </w:tcPr>
          <w:p w14:paraId="121980A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0.045</w:t>
            </w:r>
          </w:p>
        </w:tc>
        <w:tc>
          <w:tcPr>
            <w:tcW w:w="483" w:type="pct"/>
            <w:vAlign w:val="center"/>
          </w:tcPr>
          <w:p w14:paraId="20C7BD4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0.058</w:t>
            </w:r>
          </w:p>
        </w:tc>
        <w:tc>
          <w:tcPr>
            <w:tcW w:w="483" w:type="pct"/>
            <w:vAlign w:val="center"/>
          </w:tcPr>
          <w:p w14:paraId="6E22CDD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0.093</w:t>
            </w:r>
          </w:p>
        </w:tc>
        <w:tc>
          <w:tcPr>
            <w:tcW w:w="483" w:type="pct"/>
            <w:vAlign w:val="center"/>
          </w:tcPr>
          <w:p w14:paraId="14D0EF4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0.087</w:t>
            </w:r>
          </w:p>
        </w:tc>
        <w:tc>
          <w:tcPr>
            <w:tcW w:w="483" w:type="pct"/>
            <w:vAlign w:val="center"/>
          </w:tcPr>
          <w:p w14:paraId="2A28865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0.064</w:t>
            </w:r>
          </w:p>
        </w:tc>
        <w:tc>
          <w:tcPr>
            <w:tcW w:w="483" w:type="pct"/>
            <w:vAlign w:val="center"/>
          </w:tcPr>
          <w:p w14:paraId="129AA8E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0.231</w:t>
            </w:r>
          </w:p>
        </w:tc>
        <w:tc>
          <w:tcPr>
            <w:tcW w:w="339" w:type="pct"/>
            <w:vMerge w:val="restart"/>
            <w:vAlign w:val="center"/>
          </w:tcPr>
          <w:p w14:paraId="4BCC4B1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0.6</w:t>
            </w:r>
          </w:p>
        </w:tc>
        <w:tc>
          <w:tcPr>
            <w:tcW w:w="305" w:type="pct"/>
            <w:vMerge w:val="restart"/>
            <w:vAlign w:val="center"/>
          </w:tcPr>
          <w:p w14:paraId="06E0C53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c>
          <w:tcPr>
            <w:tcW w:w="324" w:type="pct"/>
            <w:vMerge w:val="restart"/>
            <w:vAlign w:val="center"/>
          </w:tcPr>
          <w:p w14:paraId="1068EB4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75A54E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1455FF9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kern w:val="0"/>
                <w:szCs w:val="21"/>
              </w:rPr>
            </w:pPr>
          </w:p>
        </w:tc>
        <w:tc>
          <w:tcPr>
            <w:tcW w:w="403" w:type="pct"/>
            <w:vMerge w:val="continue"/>
            <w:vAlign w:val="center"/>
          </w:tcPr>
          <w:p w14:paraId="79D4DB1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4670CB6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0.065</w:t>
            </w:r>
          </w:p>
        </w:tc>
        <w:tc>
          <w:tcPr>
            <w:tcW w:w="483" w:type="pct"/>
            <w:vAlign w:val="center"/>
          </w:tcPr>
          <w:p w14:paraId="15D5F9A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0.056</w:t>
            </w:r>
          </w:p>
        </w:tc>
        <w:tc>
          <w:tcPr>
            <w:tcW w:w="483" w:type="pct"/>
            <w:vAlign w:val="center"/>
          </w:tcPr>
          <w:p w14:paraId="564F6B7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0.044</w:t>
            </w:r>
          </w:p>
        </w:tc>
        <w:tc>
          <w:tcPr>
            <w:tcW w:w="483" w:type="pct"/>
            <w:vAlign w:val="center"/>
          </w:tcPr>
          <w:p w14:paraId="230EF80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0.067</w:t>
            </w:r>
          </w:p>
        </w:tc>
        <w:tc>
          <w:tcPr>
            <w:tcW w:w="483" w:type="pct"/>
            <w:vAlign w:val="center"/>
          </w:tcPr>
          <w:p w14:paraId="24FA1E2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0.072</w:t>
            </w:r>
          </w:p>
        </w:tc>
        <w:tc>
          <w:tcPr>
            <w:tcW w:w="483" w:type="pct"/>
            <w:vAlign w:val="center"/>
          </w:tcPr>
          <w:p w14:paraId="2E3A5CD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0.066</w:t>
            </w:r>
          </w:p>
        </w:tc>
        <w:tc>
          <w:tcPr>
            <w:tcW w:w="483" w:type="pct"/>
            <w:vAlign w:val="center"/>
          </w:tcPr>
          <w:p w14:paraId="24BE962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0.068</w:t>
            </w:r>
          </w:p>
        </w:tc>
        <w:tc>
          <w:tcPr>
            <w:tcW w:w="339" w:type="pct"/>
            <w:vMerge w:val="continue"/>
            <w:vAlign w:val="center"/>
          </w:tcPr>
          <w:p w14:paraId="5479C95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25B8C3D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3C87EAE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0506BEF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1DD8DD6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4E7AA43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757E278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0.050</w:t>
            </w:r>
          </w:p>
        </w:tc>
        <w:tc>
          <w:tcPr>
            <w:tcW w:w="483" w:type="pct"/>
            <w:vAlign w:val="center"/>
          </w:tcPr>
          <w:p w14:paraId="4D0B494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0.058</w:t>
            </w:r>
          </w:p>
        </w:tc>
        <w:tc>
          <w:tcPr>
            <w:tcW w:w="483" w:type="pct"/>
            <w:vAlign w:val="center"/>
          </w:tcPr>
          <w:p w14:paraId="01422F1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0.043</w:t>
            </w:r>
          </w:p>
        </w:tc>
        <w:tc>
          <w:tcPr>
            <w:tcW w:w="483" w:type="pct"/>
            <w:vAlign w:val="center"/>
          </w:tcPr>
          <w:p w14:paraId="0D99353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0.115</w:t>
            </w:r>
          </w:p>
        </w:tc>
        <w:tc>
          <w:tcPr>
            <w:tcW w:w="483" w:type="pct"/>
            <w:vAlign w:val="center"/>
          </w:tcPr>
          <w:p w14:paraId="1A14109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0.087</w:t>
            </w:r>
          </w:p>
        </w:tc>
        <w:tc>
          <w:tcPr>
            <w:tcW w:w="483" w:type="pct"/>
            <w:vAlign w:val="center"/>
          </w:tcPr>
          <w:p w14:paraId="2C709C6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0.112</w:t>
            </w:r>
          </w:p>
        </w:tc>
        <w:tc>
          <w:tcPr>
            <w:tcW w:w="483" w:type="pct"/>
            <w:vAlign w:val="center"/>
          </w:tcPr>
          <w:p w14:paraId="09FD6F2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0.224</w:t>
            </w:r>
          </w:p>
        </w:tc>
        <w:tc>
          <w:tcPr>
            <w:tcW w:w="339" w:type="pct"/>
            <w:vMerge w:val="continue"/>
            <w:vAlign w:val="center"/>
          </w:tcPr>
          <w:p w14:paraId="22C8D74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20BAA4C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705CFA2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3C0D9A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308D678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restart"/>
            <w:vAlign w:val="center"/>
          </w:tcPr>
          <w:p w14:paraId="6DCC9F8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483" w:type="pct"/>
            <w:vAlign w:val="center"/>
          </w:tcPr>
          <w:p w14:paraId="3E9FF8A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23B3AF0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41FA724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07BDF92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0.007</w:t>
            </w:r>
          </w:p>
        </w:tc>
        <w:tc>
          <w:tcPr>
            <w:tcW w:w="483" w:type="pct"/>
            <w:vAlign w:val="center"/>
          </w:tcPr>
          <w:p w14:paraId="6E45345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705C09A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54DB7C0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0.018</w:t>
            </w:r>
          </w:p>
        </w:tc>
        <w:tc>
          <w:tcPr>
            <w:tcW w:w="339" w:type="pct"/>
            <w:vMerge w:val="restart"/>
            <w:vAlign w:val="center"/>
          </w:tcPr>
          <w:p w14:paraId="15E9548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0.11</w:t>
            </w:r>
          </w:p>
        </w:tc>
        <w:tc>
          <w:tcPr>
            <w:tcW w:w="305" w:type="pct"/>
            <w:vMerge w:val="restart"/>
            <w:vAlign w:val="center"/>
          </w:tcPr>
          <w:p w14:paraId="7E8167D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c>
          <w:tcPr>
            <w:tcW w:w="324" w:type="pct"/>
            <w:vMerge w:val="restart"/>
            <w:vAlign w:val="center"/>
          </w:tcPr>
          <w:p w14:paraId="54DD5CA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5AEB5C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351DEB4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77B65F9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3CF8436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0.007</w:t>
            </w:r>
          </w:p>
        </w:tc>
        <w:tc>
          <w:tcPr>
            <w:tcW w:w="483" w:type="pct"/>
            <w:vAlign w:val="center"/>
          </w:tcPr>
          <w:p w14:paraId="409DD4B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27BE402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672BF19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4.0×10</w:t>
            </w:r>
            <w:r>
              <w:rPr>
                <w:rFonts w:hint="default" w:ascii="Times New Roman" w:hAnsi="Times New Roman" w:eastAsia="宋体" w:cs="Times New Roman"/>
                <w:szCs w:val="21"/>
                <w:vertAlign w:val="superscript"/>
              </w:rPr>
              <w:t>-4</w:t>
            </w:r>
            <w:r>
              <w:rPr>
                <w:rFonts w:hint="default" w:ascii="Times New Roman" w:hAnsi="Times New Roman" w:eastAsia="宋体" w:cs="Times New Roman"/>
                <w:szCs w:val="21"/>
              </w:rPr>
              <w:t>ND</w:t>
            </w:r>
          </w:p>
        </w:tc>
        <w:tc>
          <w:tcPr>
            <w:tcW w:w="483" w:type="pct"/>
            <w:vAlign w:val="center"/>
          </w:tcPr>
          <w:p w14:paraId="3E22984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0.006</w:t>
            </w:r>
          </w:p>
        </w:tc>
        <w:tc>
          <w:tcPr>
            <w:tcW w:w="483" w:type="pct"/>
            <w:vAlign w:val="center"/>
          </w:tcPr>
          <w:p w14:paraId="738E3C5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0.006</w:t>
            </w:r>
          </w:p>
        </w:tc>
        <w:tc>
          <w:tcPr>
            <w:tcW w:w="483" w:type="pct"/>
            <w:vAlign w:val="center"/>
          </w:tcPr>
          <w:p w14:paraId="3242B66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0.011</w:t>
            </w:r>
          </w:p>
        </w:tc>
        <w:tc>
          <w:tcPr>
            <w:tcW w:w="339" w:type="pct"/>
            <w:vMerge w:val="continue"/>
            <w:vAlign w:val="center"/>
          </w:tcPr>
          <w:p w14:paraId="4746285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42B1AB2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24C2B24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4C67A3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4000058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0F9E541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76425C2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0.007</w:t>
            </w:r>
          </w:p>
        </w:tc>
        <w:tc>
          <w:tcPr>
            <w:tcW w:w="483" w:type="pct"/>
            <w:vAlign w:val="center"/>
          </w:tcPr>
          <w:p w14:paraId="7A0CC27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73D47D7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583623A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0.021</w:t>
            </w:r>
          </w:p>
        </w:tc>
        <w:tc>
          <w:tcPr>
            <w:tcW w:w="483" w:type="pct"/>
            <w:vAlign w:val="center"/>
          </w:tcPr>
          <w:p w14:paraId="1B13903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649A1BE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0.112</w:t>
            </w:r>
          </w:p>
        </w:tc>
        <w:tc>
          <w:tcPr>
            <w:tcW w:w="483" w:type="pct"/>
            <w:vAlign w:val="center"/>
          </w:tcPr>
          <w:p w14:paraId="6DCBE85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0.010</w:t>
            </w:r>
          </w:p>
        </w:tc>
        <w:tc>
          <w:tcPr>
            <w:tcW w:w="339" w:type="pct"/>
            <w:vMerge w:val="continue"/>
            <w:vAlign w:val="center"/>
          </w:tcPr>
          <w:p w14:paraId="47E362B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351CC48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4656315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4C795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2D2C153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restart"/>
            <w:vAlign w:val="center"/>
          </w:tcPr>
          <w:p w14:paraId="6D298D7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color w:val="000000"/>
                <w:szCs w:val="21"/>
              </w:rPr>
              <w:t>甲苯</w:t>
            </w:r>
          </w:p>
        </w:tc>
        <w:tc>
          <w:tcPr>
            <w:tcW w:w="483" w:type="pct"/>
            <w:vAlign w:val="center"/>
          </w:tcPr>
          <w:p w14:paraId="44A1A85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0.025</w:t>
            </w:r>
          </w:p>
        </w:tc>
        <w:tc>
          <w:tcPr>
            <w:tcW w:w="483" w:type="pct"/>
            <w:vAlign w:val="center"/>
          </w:tcPr>
          <w:p w14:paraId="53F0974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0.008</w:t>
            </w:r>
          </w:p>
        </w:tc>
        <w:tc>
          <w:tcPr>
            <w:tcW w:w="483" w:type="pct"/>
            <w:vAlign w:val="center"/>
          </w:tcPr>
          <w:p w14:paraId="3368022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0.007</w:t>
            </w:r>
          </w:p>
        </w:tc>
        <w:tc>
          <w:tcPr>
            <w:tcW w:w="483" w:type="pct"/>
            <w:vAlign w:val="center"/>
          </w:tcPr>
          <w:p w14:paraId="1082D4B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0.054</w:t>
            </w:r>
          </w:p>
        </w:tc>
        <w:tc>
          <w:tcPr>
            <w:tcW w:w="483" w:type="pct"/>
            <w:vAlign w:val="center"/>
          </w:tcPr>
          <w:p w14:paraId="666B968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0.049</w:t>
            </w:r>
          </w:p>
        </w:tc>
        <w:tc>
          <w:tcPr>
            <w:tcW w:w="483" w:type="pct"/>
            <w:vAlign w:val="center"/>
          </w:tcPr>
          <w:p w14:paraId="03AD137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0.039</w:t>
            </w:r>
          </w:p>
        </w:tc>
        <w:tc>
          <w:tcPr>
            <w:tcW w:w="483" w:type="pct"/>
            <w:vAlign w:val="center"/>
          </w:tcPr>
          <w:p w14:paraId="11A31DC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0.062</w:t>
            </w:r>
          </w:p>
        </w:tc>
        <w:tc>
          <w:tcPr>
            <w:tcW w:w="339" w:type="pct"/>
            <w:vMerge w:val="restart"/>
            <w:vAlign w:val="center"/>
          </w:tcPr>
          <w:p w14:paraId="6224E94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0.2</w:t>
            </w:r>
          </w:p>
        </w:tc>
        <w:tc>
          <w:tcPr>
            <w:tcW w:w="305" w:type="pct"/>
            <w:vMerge w:val="restart"/>
            <w:vAlign w:val="center"/>
          </w:tcPr>
          <w:p w14:paraId="2DD0099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c>
          <w:tcPr>
            <w:tcW w:w="324" w:type="pct"/>
            <w:vMerge w:val="restart"/>
            <w:vAlign w:val="center"/>
          </w:tcPr>
          <w:p w14:paraId="2BA0779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2C9B32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730260F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56FF12F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264BCD7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0.011</w:t>
            </w:r>
          </w:p>
        </w:tc>
        <w:tc>
          <w:tcPr>
            <w:tcW w:w="483" w:type="pct"/>
            <w:vAlign w:val="center"/>
          </w:tcPr>
          <w:p w14:paraId="412D8DB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0.016</w:t>
            </w:r>
          </w:p>
        </w:tc>
        <w:tc>
          <w:tcPr>
            <w:tcW w:w="483" w:type="pct"/>
            <w:vAlign w:val="center"/>
          </w:tcPr>
          <w:p w14:paraId="7B2CD22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0.010</w:t>
            </w:r>
          </w:p>
        </w:tc>
        <w:tc>
          <w:tcPr>
            <w:tcW w:w="483" w:type="pct"/>
            <w:vAlign w:val="center"/>
          </w:tcPr>
          <w:p w14:paraId="1808FBF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0.037</w:t>
            </w:r>
          </w:p>
        </w:tc>
        <w:tc>
          <w:tcPr>
            <w:tcW w:w="483" w:type="pct"/>
            <w:vAlign w:val="center"/>
          </w:tcPr>
          <w:p w14:paraId="38E5472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0.018</w:t>
            </w:r>
          </w:p>
        </w:tc>
        <w:tc>
          <w:tcPr>
            <w:tcW w:w="483" w:type="pct"/>
            <w:vAlign w:val="center"/>
          </w:tcPr>
          <w:p w14:paraId="705B71F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0.032</w:t>
            </w:r>
          </w:p>
        </w:tc>
        <w:tc>
          <w:tcPr>
            <w:tcW w:w="483" w:type="pct"/>
            <w:vAlign w:val="center"/>
          </w:tcPr>
          <w:p w14:paraId="6471EFB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0.127</w:t>
            </w:r>
          </w:p>
        </w:tc>
        <w:tc>
          <w:tcPr>
            <w:tcW w:w="339" w:type="pct"/>
            <w:vMerge w:val="continue"/>
            <w:vAlign w:val="center"/>
          </w:tcPr>
          <w:p w14:paraId="45D1C5B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50E13DB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072A4C7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745BBE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1B485DF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239D536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3B39C88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0.006</w:t>
            </w:r>
          </w:p>
        </w:tc>
        <w:tc>
          <w:tcPr>
            <w:tcW w:w="483" w:type="pct"/>
            <w:vAlign w:val="center"/>
          </w:tcPr>
          <w:p w14:paraId="3F0D938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24E61AF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0.014</w:t>
            </w:r>
          </w:p>
        </w:tc>
        <w:tc>
          <w:tcPr>
            <w:tcW w:w="483" w:type="pct"/>
            <w:vAlign w:val="center"/>
          </w:tcPr>
          <w:p w14:paraId="19979A7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0.041</w:t>
            </w:r>
          </w:p>
        </w:tc>
        <w:tc>
          <w:tcPr>
            <w:tcW w:w="483" w:type="pct"/>
            <w:vAlign w:val="center"/>
          </w:tcPr>
          <w:p w14:paraId="3205160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7EEDBEA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0.020</w:t>
            </w:r>
          </w:p>
        </w:tc>
        <w:tc>
          <w:tcPr>
            <w:tcW w:w="483" w:type="pct"/>
            <w:vAlign w:val="center"/>
          </w:tcPr>
          <w:p w14:paraId="6436E45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339" w:type="pct"/>
            <w:vMerge w:val="continue"/>
            <w:vAlign w:val="center"/>
          </w:tcPr>
          <w:p w14:paraId="029CAEC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7BC0BF4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1846D16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5CA699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0EB7878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restart"/>
            <w:vAlign w:val="center"/>
          </w:tcPr>
          <w:p w14:paraId="4DF95F0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二甲苯</w:t>
            </w:r>
          </w:p>
        </w:tc>
        <w:tc>
          <w:tcPr>
            <w:tcW w:w="483" w:type="pct"/>
            <w:vAlign w:val="center"/>
          </w:tcPr>
          <w:p w14:paraId="7DDF806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63B055B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0069B0D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7FEACE86">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41DAB50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0907E3D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0.004</w:t>
            </w:r>
          </w:p>
        </w:tc>
        <w:tc>
          <w:tcPr>
            <w:tcW w:w="483" w:type="pct"/>
            <w:vAlign w:val="center"/>
          </w:tcPr>
          <w:p w14:paraId="59BF08D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339" w:type="pct"/>
            <w:vMerge w:val="restart"/>
            <w:vAlign w:val="center"/>
          </w:tcPr>
          <w:p w14:paraId="6145C3F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0.2</w:t>
            </w:r>
          </w:p>
        </w:tc>
        <w:tc>
          <w:tcPr>
            <w:tcW w:w="305" w:type="pct"/>
            <w:vMerge w:val="restart"/>
            <w:vAlign w:val="center"/>
          </w:tcPr>
          <w:p w14:paraId="0DFAAA8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w:t>
            </w:r>
          </w:p>
        </w:tc>
        <w:tc>
          <w:tcPr>
            <w:tcW w:w="324" w:type="pct"/>
            <w:vMerge w:val="restart"/>
            <w:vAlign w:val="center"/>
          </w:tcPr>
          <w:p w14:paraId="4208476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57CF7A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2DEA3F6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358FB07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2E5B9A1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4676CB0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1EBA98A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3A7D39F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3C51766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0.012</w:t>
            </w:r>
          </w:p>
        </w:tc>
        <w:tc>
          <w:tcPr>
            <w:tcW w:w="483" w:type="pct"/>
            <w:vAlign w:val="center"/>
          </w:tcPr>
          <w:p w14:paraId="5AE52F8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666A737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0.013</w:t>
            </w:r>
          </w:p>
        </w:tc>
        <w:tc>
          <w:tcPr>
            <w:tcW w:w="339" w:type="pct"/>
            <w:vMerge w:val="continue"/>
            <w:vAlign w:val="center"/>
          </w:tcPr>
          <w:p w14:paraId="5148787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46ABAF2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6493CD3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66C839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504366D4">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02732A9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15A19F3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78505C3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26B9767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0.002</w:t>
            </w:r>
          </w:p>
        </w:tc>
        <w:tc>
          <w:tcPr>
            <w:tcW w:w="483" w:type="pct"/>
            <w:vAlign w:val="center"/>
          </w:tcPr>
          <w:p w14:paraId="1F8AD3B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483" w:type="pct"/>
            <w:vAlign w:val="center"/>
          </w:tcPr>
          <w:p w14:paraId="58EBA36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1044D35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0.003</w:t>
            </w:r>
          </w:p>
        </w:tc>
        <w:tc>
          <w:tcPr>
            <w:tcW w:w="483" w:type="pct"/>
            <w:vAlign w:val="center"/>
          </w:tcPr>
          <w:p w14:paraId="64B34CA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0.001</w:t>
            </w:r>
          </w:p>
        </w:tc>
        <w:tc>
          <w:tcPr>
            <w:tcW w:w="339" w:type="pct"/>
            <w:vMerge w:val="continue"/>
            <w:vAlign w:val="center"/>
          </w:tcPr>
          <w:p w14:paraId="42E77EF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25AE3E6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4D68CBC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73F9ED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1AB1264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restart"/>
            <w:vAlign w:val="center"/>
          </w:tcPr>
          <w:p w14:paraId="056E2AB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臭气浓度</w:t>
            </w:r>
          </w:p>
        </w:tc>
        <w:tc>
          <w:tcPr>
            <w:tcW w:w="483" w:type="pct"/>
            <w:vAlign w:val="center"/>
          </w:tcPr>
          <w:p w14:paraId="208267A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167CE55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3AE528A8">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27AED99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4CD92D0B">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6076DD3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2A4D23F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339" w:type="pct"/>
            <w:vMerge w:val="restart"/>
            <w:vAlign w:val="center"/>
          </w:tcPr>
          <w:p w14:paraId="6698F3ED">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305" w:type="pct"/>
            <w:vMerge w:val="restart"/>
            <w:vAlign w:val="center"/>
          </w:tcPr>
          <w:p w14:paraId="24BD703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324" w:type="pct"/>
            <w:vMerge w:val="restart"/>
            <w:vAlign w:val="center"/>
          </w:tcPr>
          <w:p w14:paraId="03AE433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3496CF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3CC5609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195D4E8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6B1F19C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6E1F6873">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32470522">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5A47F8D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35049E97">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0A0375E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2917E60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339" w:type="pct"/>
            <w:vMerge w:val="continue"/>
            <w:vAlign w:val="center"/>
          </w:tcPr>
          <w:p w14:paraId="03EB45C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55AB28AC">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4DCF541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r w14:paraId="4242FC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49" w:type="pct"/>
            <w:vMerge w:val="continue"/>
            <w:vAlign w:val="center"/>
          </w:tcPr>
          <w:p w14:paraId="3F012E89">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03" w:type="pct"/>
            <w:vMerge w:val="continue"/>
            <w:vAlign w:val="center"/>
          </w:tcPr>
          <w:p w14:paraId="29D4E36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483" w:type="pct"/>
            <w:vAlign w:val="center"/>
          </w:tcPr>
          <w:p w14:paraId="53A926F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6C36058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0ED2A48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20CD32B1">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2D5D4E3F">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6FD31E7E">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483" w:type="pct"/>
            <w:vAlign w:val="center"/>
          </w:tcPr>
          <w:p w14:paraId="3DB0A6A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339" w:type="pct"/>
            <w:vMerge w:val="continue"/>
            <w:vAlign w:val="center"/>
          </w:tcPr>
          <w:p w14:paraId="42111AB5">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05" w:type="pct"/>
            <w:vMerge w:val="continue"/>
            <w:vAlign w:val="center"/>
          </w:tcPr>
          <w:p w14:paraId="7268B4CA">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c>
          <w:tcPr>
            <w:tcW w:w="324" w:type="pct"/>
            <w:vMerge w:val="continue"/>
            <w:vAlign w:val="center"/>
          </w:tcPr>
          <w:p w14:paraId="1BD57FF0">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szCs w:val="21"/>
              </w:rPr>
            </w:pPr>
          </w:p>
        </w:tc>
      </w:tr>
    </w:tbl>
    <w:p w14:paraId="7109C7AA">
      <w:pPr>
        <w:pStyle w:val="48"/>
        <w:spacing w:before="0" w:line="360" w:lineRule="auto"/>
        <w:rPr>
          <w:rFonts w:hint="default" w:ascii="Times New Roman" w:hAnsi="Times New Roman" w:eastAsia="宋体" w:cs="Times New Roman"/>
          <w:sz w:val="24"/>
          <w:szCs w:val="24"/>
        </w:rPr>
        <w:sectPr>
          <w:pgSz w:w="16838" w:h="11906" w:orient="landscape"/>
          <w:pgMar w:top="1502" w:right="1440" w:bottom="1502" w:left="1440" w:header="851" w:footer="680" w:gutter="0"/>
          <w:pgBorders>
            <w:top w:val="none" w:sz="0" w:space="0"/>
            <w:left w:val="none" w:sz="0" w:space="0"/>
            <w:bottom w:val="none" w:sz="0" w:space="0"/>
            <w:right w:val="none" w:sz="0" w:space="0"/>
          </w:pgBorders>
          <w:cols w:space="425" w:num="1"/>
          <w:docGrid w:type="lines" w:linePitch="326" w:charSpace="0"/>
        </w:sectPr>
      </w:pPr>
      <w:r>
        <w:rPr>
          <w:rFonts w:hint="default" w:ascii="Times New Roman" w:hAnsi="Times New Roman" w:eastAsia="宋体" w:cs="Times New Roman"/>
          <w:sz w:val="24"/>
          <w:szCs w:val="24"/>
        </w:rPr>
        <w:t>由上表可知，项目所在地大气特征污染物均能满足《环境空气质量标准》（GB3095-2012）或《环境影响评价技术导则》（HJ2.2—2018）附录中标准限制要求，无超标情况，项目所在地环境空气质量较好。</w:t>
      </w:r>
    </w:p>
    <w:p w14:paraId="66859DD3">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6.4.2</w:t>
      </w:r>
      <w:r>
        <w:rPr>
          <w:rFonts w:hint="default" w:ascii="Times New Roman" w:hAnsi="Times New Roman" w:eastAsia="宋体" w:cs="Times New Roman"/>
          <w:color w:val="000000"/>
          <w:sz w:val="24"/>
        </w:rPr>
        <w:t>地表水环境质量现状调查</w:t>
      </w:r>
    </w:p>
    <w:p w14:paraId="6EA6BC3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为了解项目所在区域地表水环境质量，本次评价收集了衡阳市生态环境局松木分局发布的《松木经开区2022年环境质量公示》中，园区工业水厂取水口、园区污水排放口下游1000 m处断面的地表水监测数据，同时本次评价还收集了衡阳市生态环境局发布的湘江（项目所在区域断面）水环境质量现状。</w:t>
      </w:r>
    </w:p>
    <w:p w14:paraId="10238E3F">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（1）《松木经开区2022年环境质量公示》中的地表水监测数据</w:t>
      </w:r>
    </w:p>
    <w:p w14:paraId="2F72E8B8">
      <w:pPr>
        <w:pStyle w:val="16"/>
        <w:spacing w:line="360" w:lineRule="auto"/>
        <w:jc w:val="center"/>
        <w:rPr>
          <w:rFonts w:hint="default" w:ascii="Times New Roman" w:hAnsi="Times New Roman" w:eastAsia="宋体" w:cs="Times New Roman"/>
          <w:b/>
          <w:bCs/>
          <w:color w:val="000000"/>
          <w:sz w:val="21"/>
        </w:rPr>
      </w:pPr>
      <w:r>
        <w:rPr>
          <w:rFonts w:hint="default" w:ascii="Times New Roman" w:hAnsi="Times New Roman" w:eastAsia="宋体" w:cs="Times New Roman"/>
          <w:b/>
          <w:bCs/>
          <w:color w:val="000000"/>
          <w:sz w:val="21"/>
        </w:rPr>
        <w:t>表6.4-5  2022年枯水期地表水监测与评价结果表</w:t>
      </w:r>
    </w:p>
    <w:p w14:paraId="324E968B">
      <w:pPr>
        <w:adjustRightInd w:val="0"/>
        <w:snapToGrid w:val="0"/>
        <w:jc w:val="center"/>
        <w:rPr>
          <w:rFonts w:hint="default" w:ascii="Times New Roman" w:hAnsi="Times New Roman" w:eastAsia="宋体" w:cs="Times New Roman"/>
          <w:sz w:val="24"/>
          <w:szCs w:val="24"/>
        </w:rPr>
        <w:sectPr>
          <w:pgSz w:w="11906" w:h="16838"/>
          <w:pgMar w:top="1440" w:right="1502" w:bottom="1440" w:left="1502" w:header="851" w:footer="680" w:gutter="0"/>
          <w:pgBorders>
            <w:top w:val="none" w:sz="0" w:space="0"/>
            <w:left w:val="none" w:sz="0" w:space="0"/>
            <w:bottom w:val="none" w:sz="0" w:space="0"/>
            <w:right w:val="none" w:sz="0" w:space="0"/>
          </w:pgBorders>
          <w:cols w:space="425" w:num="1"/>
          <w:docGrid w:type="lines" w:linePitch="326" w:charSpace="0"/>
        </w:sectPr>
      </w:pPr>
      <w:r>
        <w:rPr>
          <w:rFonts w:hint="default" w:ascii="Times New Roman" w:hAnsi="Times New Roman" w:eastAsia="宋体" w:cs="Times New Roman"/>
        </w:rPr>
        <w:drawing>
          <wp:inline distT="0" distB="0" distL="0" distR="0">
            <wp:extent cx="4791710" cy="6671945"/>
            <wp:effectExtent l="0" t="0" r="889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0"/>
                    <a:stretch>
                      <a:fillRect/>
                    </a:stretch>
                  </pic:blipFill>
                  <pic:spPr>
                    <a:xfrm>
                      <a:off x="0" y="0"/>
                      <a:ext cx="4807567" cy="6693991"/>
                    </a:xfrm>
                    <a:prstGeom prst="rect">
                      <a:avLst/>
                    </a:prstGeom>
                  </pic:spPr>
                </pic:pic>
              </a:graphicData>
            </a:graphic>
          </wp:inline>
        </w:drawing>
      </w:r>
    </w:p>
    <w:p w14:paraId="1D556F9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由上表可知，《松木经开区2022年环境质量公示》中园区工业水厂取水口、园区污水排放口下游1000 m处断面各监测因子均可满足《地表水环境质量标准》（GB3838-2002）中的Ⅲ类标准，区域水质良好。</w:t>
      </w:r>
    </w:p>
    <w:p w14:paraId="31E75FC9">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（2）项目所在区域湘江监测断面地表水监测数据</w:t>
      </w:r>
    </w:p>
    <w:p w14:paraId="1260814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根据衡阳市生态环境局发布的《关于2021年12月及1-12月全市环境质量状况的通报》可知，位于石鼓区的湘江城北水厂和鱼石村断面水质情况见下表。</w:t>
      </w:r>
    </w:p>
    <w:p w14:paraId="7D89D09D">
      <w:pPr>
        <w:pStyle w:val="16"/>
        <w:spacing w:line="360" w:lineRule="auto"/>
        <w:ind w:firstLine="422"/>
        <w:jc w:val="center"/>
        <w:rPr>
          <w:rFonts w:hint="default" w:ascii="Times New Roman" w:hAnsi="Times New Roman" w:eastAsia="宋体" w:cs="Times New Roman"/>
          <w:b/>
          <w:bCs/>
          <w:color w:val="000000"/>
          <w:sz w:val="21"/>
        </w:rPr>
      </w:pPr>
      <w:r>
        <w:rPr>
          <w:rFonts w:hint="default" w:ascii="Times New Roman" w:hAnsi="Times New Roman" w:eastAsia="宋体" w:cs="Times New Roman"/>
          <w:b/>
          <w:bCs/>
          <w:color w:val="000000"/>
          <w:sz w:val="21"/>
        </w:rPr>
        <w:t>表6.4-6 常规断面水环境质量情况</w:t>
      </w:r>
      <w:r>
        <w:rPr>
          <w:rFonts w:hint="default" w:ascii="Times New Roman" w:hAnsi="Times New Roman" w:eastAsia="宋体" w:cs="Times New Roman"/>
          <w:b/>
          <w:bCs/>
          <w:color w:val="000000"/>
          <w:sz w:val="21"/>
          <w:lang w:eastAsia="zh-CN"/>
        </w:rPr>
        <w:t>表</w:t>
      </w:r>
    </w:p>
    <w:tbl>
      <w:tblPr>
        <w:tblStyle w:val="33"/>
        <w:tblW w:w="881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7"/>
        <w:gridCol w:w="677"/>
        <w:gridCol w:w="677"/>
        <w:gridCol w:w="677"/>
        <w:gridCol w:w="677"/>
        <w:gridCol w:w="677"/>
        <w:gridCol w:w="679"/>
        <w:gridCol w:w="679"/>
        <w:gridCol w:w="679"/>
        <w:gridCol w:w="679"/>
        <w:gridCol w:w="679"/>
        <w:gridCol w:w="679"/>
        <w:gridCol w:w="679"/>
      </w:tblGrid>
      <w:tr w14:paraId="580BB0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7EC7DD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断面</w:t>
            </w:r>
          </w:p>
        </w:tc>
        <w:tc>
          <w:tcPr>
            <w:tcW w:w="677" w:type="dxa"/>
            <w:vAlign w:val="center"/>
          </w:tcPr>
          <w:p w14:paraId="453AFA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2021-01</w:t>
            </w:r>
          </w:p>
        </w:tc>
        <w:tc>
          <w:tcPr>
            <w:tcW w:w="677" w:type="dxa"/>
            <w:vAlign w:val="center"/>
          </w:tcPr>
          <w:p w14:paraId="289D91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2021-02</w:t>
            </w:r>
          </w:p>
        </w:tc>
        <w:tc>
          <w:tcPr>
            <w:tcW w:w="677" w:type="dxa"/>
            <w:vAlign w:val="center"/>
          </w:tcPr>
          <w:p w14:paraId="7136CE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2021-03</w:t>
            </w:r>
          </w:p>
        </w:tc>
        <w:tc>
          <w:tcPr>
            <w:tcW w:w="677" w:type="dxa"/>
            <w:vAlign w:val="center"/>
          </w:tcPr>
          <w:p w14:paraId="6EF681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2021-04</w:t>
            </w:r>
          </w:p>
        </w:tc>
        <w:tc>
          <w:tcPr>
            <w:tcW w:w="677" w:type="dxa"/>
            <w:vAlign w:val="center"/>
          </w:tcPr>
          <w:p w14:paraId="656DA8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2021-05</w:t>
            </w:r>
          </w:p>
        </w:tc>
        <w:tc>
          <w:tcPr>
            <w:tcW w:w="679" w:type="dxa"/>
            <w:vAlign w:val="center"/>
          </w:tcPr>
          <w:p w14:paraId="5DE6F2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2021-06</w:t>
            </w:r>
          </w:p>
        </w:tc>
        <w:tc>
          <w:tcPr>
            <w:tcW w:w="679" w:type="dxa"/>
            <w:vAlign w:val="center"/>
          </w:tcPr>
          <w:p w14:paraId="4BBCBB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2021-07</w:t>
            </w:r>
          </w:p>
        </w:tc>
        <w:tc>
          <w:tcPr>
            <w:tcW w:w="679" w:type="dxa"/>
            <w:vAlign w:val="center"/>
          </w:tcPr>
          <w:p w14:paraId="1AD64F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2021-08</w:t>
            </w:r>
          </w:p>
        </w:tc>
        <w:tc>
          <w:tcPr>
            <w:tcW w:w="679" w:type="dxa"/>
            <w:vAlign w:val="center"/>
          </w:tcPr>
          <w:p w14:paraId="1E7D90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2021-09</w:t>
            </w:r>
          </w:p>
        </w:tc>
        <w:tc>
          <w:tcPr>
            <w:tcW w:w="679" w:type="dxa"/>
            <w:vAlign w:val="center"/>
          </w:tcPr>
          <w:p w14:paraId="1D0CDF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2021-10</w:t>
            </w:r>
          </w:p>
        </w:tc>
        <w:tc>
          <w:tcPr>
            <w:tcW w:w="679" w:type="dxa"/>
            <w:vAlign w:val="center"/>
          </w:tcPr>
          <w:p w14:paraId="228A06E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2021-11</w:t>
            </w:r>
          </w:p>
        </w:tc>
        <w:tc>
          <w:tcPr>
            <w:tcW w:w="679" w:type="dxa"/>
            <w:vAlign w:val="center"/>
          </w:tcPr>
          <w:p w14:paraId="5A341B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2021-12</w:t>
            </w:r>
          </w:p>
        </w:tc>
      </w:tr>
      <w:tr w14:paraId="393DC2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7A2C57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城北水厂</w:t>
            </w:r>
          </w:p>
        </w:tc>
        <w:tc>
          <w:tcPr>
            <w:tcW w:w="677" w:type="dxa"/>
            <w:vAlign w:val="center"/>
          </w:tcPr>
          <w:p w14:paraId="70A8E1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7" w:type="dxa"/>
            <w:vAlign w:val="center"/>
          </w:tcPr>
          <w:p w14:paraId="1E26F5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7" w:type="dxa"/>
            <w:vAlign w:val="center"/>
          </w:tcPr>
          <w:p w14:paraId="61011D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7" w:type="dxa"/>
            <w:vAlign w:val="center"/>
          </w:tcPr>
          <w:p w14:paraId="408F16C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7" w:type="dxa"/>
            <w:vAlign w:val="center"/>
          </w:tcPr>
          <w:p w14:paraId="0BE944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7C441EC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5D999D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250EF1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138D4F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12E442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4B2C64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238B698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r>
      <w:tr w14:paraId="3F68C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677" w:type="dxa"/>
            <w:vAlign w:val="center"/>
          </w:tcPr>
          <w:p w14:paraId="3531EE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鱼石村</w:t>
            </w:r>
          </w:p>
        </w:tc>
        <w:tc>
          <w:tcPr>
            <w:tcW w:w="677" w:type="dxa"/>
            <w:vAlign w:val="center"/>
          </w:tcPr>
          <w:p w14:paraId="421001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7" w:type="dxa"/>
            <w:vAlign w:val="center"/>
          </w:tcPr>
          <w:p w14:paraId="355342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7" w:type="dxa"/>
            <w:vAlign w:val="center"/>
          </w:tcPr>
          <w:p w14:paraId="297AC1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7" w:type="dxa"/>
            <w:vAlign w:val="center"/>
          </w:tcPr>
          <w:p w14:paraId="0163EF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7" w:type="dxa"/>
            <w:vAlign w:val="center"/>
          </w:tcPr>
          <w:p w14:paraId="03CED1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1A365D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2C64609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1358E8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654455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3A2197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7799EF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c>
          <w:tcPr>
            <w:tcW w:w="679" w:type="dxa"/>
            <w:vAlign w:val="center"/>
          </w:tcPr>
          <w:p w14:paraId="43DC73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0"/>
                <w:sz w:val="20"/>
                <w:szCs w:val="20"/>
              </w:rPr>
            </w:pPr>
            <w:r>
              <w:rPr>
                <w:rFonts w:hint="default" w:ascii="Times New Roman" w:hAnsi="Times New Roman" w:eastAsia="宋体" w:cs="Times New Roman"/>
                <w:kern w:val="0"/>
                <w:sz w:val="20"/>
                <w:szCs w:val="20"/>
              </w:rPr>
              <w:t>Ⅱ类</w:t>
            </w:r>
          </w:p>
        </w:tc>
      </w:tr>
    </w:tbl>
    <w:p w14:paraId="47BF11D7">
      <w:pPr>
        <w:pStyle w:val="31"/>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根据上表可知，本项目所在区域湘江常规断面水质能满足《地表水环境质量标准》（GB3838-2002）II类水质要求，水环境质量良好。</w:t>
      </w:r>
    </w:p>
    <w:p w14:paraId="5F63F147">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6.4.3</w:t>
      </w:r>
      <w:r>
        <w:rPr>
          <w:rFonts w:hint="default" w:ascii="Times New Roman" w:hAnsi="Times New Roman" w:eastAsia="宋体" w:cs="Times New Roman"/>
          <w:color w:val="000000"/>
          <w:sz w:val="24"/>
        </w:rPr>
        <w:t>地下水质量现状调查</w:t>
      </w:r>
    </w:p>
    <w:p w14:paraId="154FA45B">
      <w:pPr>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本次设置10个地下水监测点位</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其中</w:t>
      </w:r>
      <w:r>
        <w:rPr>
          <w:rFonts w:hint="default" w:ascii="Times New Roman" w:hAnsi="Times New Roman" w:eastAsia="宋体" w:cs="Times New Roman"/>
          <w:sz w:val="24"/>
          <w:szCs w:val="24"/>
          <w:u w:val="single"/>
          <w:lang w:val="en-US" w:eastAsia="zh-CN"/>
        </w:rPr>
        <w:t>补充监测的</w:t>
      </w:r>
      <w:r>
        <w:rPr>
          <w:rFonts w:hint="default" w:ascii="Times New Roman" w:hAnsi="Times New Roman" w:eastAsia="宋体" w:cs="Times New Roman"/>
          <w:sz w:val="24"/>
          <w:szCs w:val="24"/>
          <w:u w:val="single"/>
        </w:rPr>
        <w:t>地下水水质监测点5个</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地下水水位监测点</w:t>
      </w:r>
      <w:r>
        <w:rPr>
          <w:rFonts w:hint="default" w:ascii="Times New Roman" w:hAnsi="Times New Roman" w:eastAsia="宋体" w:cs="Times New Roman"/>
          <w:sz w:val="24"/>
          <w:szCs w:val="24"/>
          <w:u w:val="single"/>
          <w:lang w:val="en-US" w:eastAsia="zh-CN"/>
        </w:rPr>
        <w:t>5</w:t>
      </w:r>
      <w:r>
        <w:rPr>
          <w:rFonts w:hint="default" w:ascii="Times New Roman" w:hAnsi="Times New Roman" w:eastAsia="宋体" w:cs="Times New Roman"/>
          <w:sz w:val="24"/>
          <w:szCs w:val="24"/>
          <w:u w:val="single"/>
        </w:rPr>
        <w:t>个</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收集项目所在水文地质单元内的地下水水位监测点5个，共5个水质监测点和10个水位监测点</w:t>
      </w:r>
      <w:r>
        <w:rPr>
          <w:rFonts w:hint="default" w:ascii="Times New Roman" w:hAnsi="Times New Roman" w:eastAsia="宋体" w:cs="Times New Roman"/>
          <w:sz w:val="24"/>
          <w:szCs w:val="24"/>
          <w:u w:val="single"/>
        </w:rPr>
        <w:t>，根据《环境影响评价技术导则 地下水环境》（HJ 610-2016），二级评价潜水含水层的水质监测点应不小于5个，水位点大于水质点的2倍，因此在评价区布设地下水监测点可满足导则要求。</w:t>
      </w:r>
    </w:p>
    <w:p w14:paraId="1613F497">
      <w:pPr>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（1）补充监测</w:t>
      </w:r>
    </w:p>
    <w:p w14:paraId="523165E4">
      <w:pPr>
        <w:pStyle w:val="8"/>
        <w:spacing w:line="360" w:lineRule="auto"/>
        <w:ind w:firstLine="480"/>
        <w:rPr>
          <w:rFonts w:hint="default" w:ascii="Times New Roman" w:hAnsi="Times New Roman" w:eastAsia="宋体" w:cs="Times New Roman"/>
          <w:u w:val="single"/>
        </w:rPr>
      </w:pPr>
      <w:r>
        <w:rPr>
          <w:rFonts w:hint="default" w:ascii="Times New Roman" w:hAnsi="Times New Roman" w:eastAsia="宋体" w:cs="Times New Roman"/>
          <w:u w:val="single"/>
        </w:rPr>
        <w:t>监测点位布设：结合项目基本情况及</w:t>
      </w:r>
      <w:r>
        <w:rPr>
          <w:rFonts w:hint="default" w:ascii="Times New Roman" w:hAnsi="Times New Roman" w:eastAsia="宋体" w:cs="Times New Roman"/>
          <w:u w:val="single"/>
          <w:lang w:eastAsia="zh-CN"/>
        </w:rPr>
        <w:t>区域地下水文</w:t>
      </w:r>
      <w:r>
        <w:rPr>
          <w:rFonts w:hint="default" w:ascii="Times New Roman" w:hAnsi="Times New Roman" w:eastAsia="宋体" w:cs="Times New Roman"/>
          <w:u w:val="single"/>
        </w:rPr>
        <w:t>特征，5个监测点设置如下，具体位置见附图。</w:t>
      </w:r>
    </w:p>
    <w:p w14:paraId="0F1FA1A6">
      <w:pPr>
        <w:spacing w:line="360" w:lineRule="auto"/>
        <w:jc w:val="center"/>
        <w:rPr>
          <w:rFonts w:hint="default" w:ascii="Times New Roman" w:hAnsi="Times New Roman" w:eastAsia="宋体" w:cs="Times New Roman"/>
          <w:b/>
          <w:bCs/>
          <w:u w:val="single"/>
        </w:rPr>
      </w:pPr>
      <w:r>
        <w:rPr>
          <w:rFonts w:hint="default" w:ascii="Times New Roman" w:hAnsi="Times New Roman" w:eastAsia="宋体" w:cs="Times New Roman"/>
          <w:b/>
          <w:bCs/>
          <w:u w:val="single"/>
        </w:rPr>
        <w:t>表6.4-7 监测点位置</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380"/>
        <w:gridCol w:w="6738"/>
      </w:tblGrid>
      <w:tr w14:paraId="207680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05" w:type="pct"/>
            <w:vAlign w:val="center"/>
          </w:tcPr>
          <w:p w14:paraId="33FA8D74">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监测点序号</w:t>
            </w:r>
          </w:p>
        </w:tc>
        <w:tc>
          <w:tcPr>
            <w:tcW w:w="3695" w:type="pct"/>
            <w:vAlign w:val="center"/>
          </w:tcPr>
          <w:p w14:paraId="4CA627A8">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监测点（5个）</w:t>
            </w:r>
          </w:p>
        </w:tc>
      </w:tr>
      <w:tr w14:paraId="2433F6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05" w:type="pct"/>
            <w:vAlign w:val="center"/>
          </w:tcPr>
          <w:p w14:paraId="69C09F09">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GW1</w:t>
            </w:r>
          </w:p>
        </w:tc>
        <w:tc>
          <w:tcPr>
            <w:tcW w:w="3695" w:type="pct"/>
            <w:vAlign w:val="center"/>
          </w:tcPr>
          <w:p w14:paraId="6326E353">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地下水流向上游方向</w:t>
            </w:r>
          </w:p>
        </w:tc>
      </w:tr>
      <w:tr w14:paraId="6ABB0E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05" w:type="pct"/>
            <w:vAlign w:val="center"/>
          </w:tcPr>
          <w:p w14:paraId="7206433E">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GW2</w:t>
            </w:r>
          </w:p>
        </w:tc>
        <w:tc>
          <w:tcPr>
            <w:tcW w:w="3695" w:type="pct"/>
            <w:vAlign w:val="center"/>
          </w:tcPr>
          <w:p w14:paraId="668F5715">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地下水流向左侧</w:t>
            </w:r>
          </w:p>
        </w:tc>
      </w:tr>
      <w:tr w14:paraId="4DBD59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05" w:type="pct"/>
            <w:vAlign w:val="center"/>
          </w:tcPr>
          <w:p w14:paraId="215A2946">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GW3</w:t>
            </w:r>
          </w:p>
        </w:tc>
        <w:tc>
          <w:tcPr>
            <w:tcW w:w="3695" w:type="pct"/>
            <w:vAlign w:val="center"/>
          </w:tcPr>
          <w:p w14:paraId="33363BD8">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地下水流向右侧</w:t>
            </w:r>
          </w:p>
        </w:tc>
      </w:tr>
      <w:tr w14:paraId="51A27A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05" w:type="pct"/>
            <w:vAlign w:val="center"/>
          </w:tcPr>
          <w:p w14:paraId="10595B88">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GW4</w:t>
            </w:r>
          </w:p>
        </w:tc>
        <w:tc>
          <w:tcPr>
            <w:tcW w:w="3695" w:type="pct"/>
            <w:vAlign w:val="center"/>
          </w:tcPr>
          <w:p w14:paraId="33D96B0B">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厂区中心</w:t>
            </w:r>
          </w:p>
        </w:tc>
      </w:tr>
      <w:tr w14:paraId="15DDEB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305" w:type="pct"/>
            <w:vAlign w:val="center"/>
          </w:tcPr>
          <w:p w14:paraId="6841006A">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GW5</w:t>
            </w:r>
          </w:p>
        </w:tc>
        <w:tc>
          <w:tcPr>
            <w:tcW w:w="3695" w:type="pct"/>
            <w:vAlign w:val="center"/>
          </w:tcPr>
          <w:p w14:paraId="173BB95D">
            <w:pPr>
              <w:keepNext w:val="0"/>
              <w:keepLines w:val="0"/>
              <w:suppressLineNumbers w:val="0"/>
              <w:adjustRightInd w:val="0"/>
              <w:snapToGrid w:val="0"/>
              <w:spacing w:before="0" w:beforeAutospacing="0" w:after="0" w:afterAutospacing="0" w:line="340" w:lineRule="exact"/>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地下水流向下游方向</w:t>
            </w:r>
          </w:p>
        </w:tc>
      </w:tr>
    </w:tbl>
    <w:p w14:paraId="0F1BCBE6">
      <w:pPr>
        <w:pStyle w:val="8"/>
        <w:ind w:firstLine="480"/>
        <w:rPr>
          <w:rFonts w:hint="default" w:ascii="Times New Roman" w:hAnsi="Times New Roman" w:eastAsia="宋体" w:cs="Times New Roman"/>
          <w:u w:val="single"/>
        </w:rPr>
      </w:pPr>
      <w:r>
        <w:rPr>
          <w:rFonts w:hint="default" w:ascii="Times New Roman" w:hAnsi="Times New Roman" w:eastAsia="宋体" w:cs="Times New Roman"/>
          <w:u w:val="single"/>
        </w:rPr>
        <w:t>监测因子：</w:t>
      </w:r>
      <w:r>
        <w:rPr>
          <w:rFonts w:hint="default" w:ascii="Times New Roman" w:hAnsi="Times New Roman" w:eastAsia="宋体" w:cs="Times New Roman"/>
          <w:u w:val="single"/>
          <w:lang w:val="en-US" w:eastAsia="zh-CN"/>
        </w:rPr>
        <w:t>水位、</w:t>
      </w:r>
      <w:r>
        <w:rPr>
          <w:rFonts w:hint="default" w:ascii="Times New Roman" w:hAnsi="Times New Roman" w:eastAsia="宋体" w:cs="Times New Roman"/>
          <w:u w:val="single"/>
        </w:rPr>
        <w:t>pH、钾、钠、钙、镁、氯化物、硫酸盐、碳酸根、碳酸氢根、总硬度、溶解性总固体、挥发性酚类、亚硝酸盐、硝酸盐、氨氮、耗氧量、石油类、苯、甲苯、二甲苯、苯乙烯。</w:t>
      </w:r>
    </w:p>
    <w:p w14:paraId="4CE533C2">
      <w:pPr>
        <w:pStyle w:val="113"/>
        <w:spacing w:line="360" w:lineRule="auto"/>
        <w:rPr>
          <w:rFonts w:hint="default" w:ascii="Times New Roman" w:hAnsi="Times New Roman" w:eastAsia="宋体" w:cs="Times New Roman"/>
          <w:u w:val="single"/>
        </w:rPr>
      </w:pPr>
      <w:r>
        <w:rPr>
          <w:rFonts w:hint="default" w:ascii="Times New Roman" w:hAnsi="Times New Roman" w:eastAsia="宋体" w:cs="Times New Roman"/>
          <w:u w:val="single"/>
        </w:rPr>
        <w:t>监测时间与频率：根据《环境影响评价导则 地下水》（HJ610-2016）中对本次监测的要求做1期现场监测。</w:t>
      </w:r>
    </w:p>
    <w:p w14:paraId="272412E3">
      <w:pPr>
        <w:spacing w:line="360" w:lineRule="auto"/>
        <w:ind w:firstLine="495"/>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监测结果见表6.4-8。</w:t>
      </w:r>
    </w:p>
    <w:p w14:paraId="41C6FED1">
      <w:pPr>
        <w:widowControl/>
        <w:tabs>
          <w:tab w:val="left" w:pos="5880"/>
        </w:tabs>
        <w:spacing w:line="360" w:lineRule="auto"/>
        <w:jc w:val="center"/>
        <w:rPr>
          <w:rFonts w:hint="default" w:ascii="Times New Roman" w:hAnsi="Times New Roman" w:eastAsia="宋体" w:cs="Times New Roman"/>
          <w:b/>
          <w:u w:val="single"/>
        </w:rPr>
      </w:pPr>
      <w:r>
        <w:rPr>
          <w:rFonts w:hint="default" w:ascii="Times New Roman" w:hAnsi="Times New Roman" w:eastAsia="宋体" w:cs="Times New Roman"/>
          <w:b/>
          <w:color w:val="000000"/>
          <w:kern w:val="0"/>
          <w:szCs w:val="24"/>
          <w:u w:val="single"/>
        </w:rPr>
        <w:t xml:space="preserve">表6.4-8   </w:t>
      </w:r>
      <w:r>
        <w:rPr>
          <w:rFonts w:hint="default" w:ascii="Times New Roman" w:hAnsi="Times New Roman" w:eastAsia="宋体" w:cs="Times New Roman"/>
          <w:b/>
          <w:u w:val="single"/>
        </w:rPr>
        <w:t xml:space="preserve"> 地下水补充监测结果  单位：mg/L</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02"/>
        <w:gridCol w:w="1238"/>
        <w:gridCol w:w="992"/>
        <w:gridCol w:w="992"/>
        <w:gridCol w:w="992"/>
        <w:gridCol w:w="992"/>
        <w:gridCol w:w="998"/>
        <w:gridCol w:w="704"/>
        <w:gridCol w:w="704"/>
        <w:gridCol w:w="704"/>
      </w:tblGrid>
      <w:tr w14:paraId="2798E4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440" w:type="pct"/>
            <w:vMerge w:val="restart"/>
            <w:vAlign w:val="center"/>
          </w:tcPr>
          <w:p w14:paraId="24A83F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监测时间</w:t>
            </w:r>
          </w:p>
        </w:tc>
        <w:tc>
          <w:tcPr>
            <w:tcW w:w="679" w:type="pct"/>
            <w:vMerge w:val="restart"/>
            <w:vAlign w:val="center"/>
          </w:tcPr>
          <w:p w14:paraId="1B46D5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检测项目</w:t>
            </w:r>
          </w:p>
        </w:tc>
        <w:tc>
          <w:tcPr>
            <w:tcW w:w="2719" w:type="pct"/>
            <w:gridSpan w:val="5"/>
            <w:vAlign w:val="center"/>
          </w:tcPr>
          <w:p w14:paraId="5116F53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检测结果(</w:t>
            </w:r>
            <w:r>
              <w:rPr>
                <w:rFonts w:hint="default" w:ascii="Times New Roman" w:hAnsi="Times New Roman" w:eastAsia="宋体" w:cs="Times New Roman"/>
                <w:b/>
                <w:color w:val="000000"/>
                <w:szCs w:val="21"/>
                <w:u w:val="single"/>
              </w:rPr>
              <w:t>mg/L)</w:t>
            </w:r>
          </w:p>
        </w:tc>
        <w:tc>
          <w:tcPr>
            <w:tcW w:w="386" w:type="pct"/>
            <w:vMerge w:val="restart"/>
            <w:vAlign w:val="center"/>
          </w:tcPr>
          <w:p w14:paraId="65F560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标准值</w:t>
            </w:r>
          </w:p>
        </w:tc>
        <w:tc>
          <w:tcPr>
            <w:tcW w:w="386" w:type="pct"/>
            <w:vMerge w:val="restart"/>
            <w:vAlign w:val="center"/>
          </w:tcPr>
          <w:p w14:paraId="70921F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超标率</w:t>
            </w:r>
          </w:p>
        </w:tc>
        <w:tc>
          <w:tcPr>
            <w:tcW w:w="386" w:type="pct"/>
            <w:vMerge w:val="restart"/>
            <w:vAlign w:val="center"/>
          </w:tcPr>
          <w:p w14:paraId="30A879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最大超标倍数</w:t>
            </w:r>
          </w:p>
        </w:tc>
      </w:tr>
      <w:tr w14:paraId="1EF690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440" w:type="pct"/>
            <w:vMerge w:val="continue"/>
            <w:vAlign w:val="center"/>
          </w:tcPr>
          <w:p w14:paraId="7E348D5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p>
        </w:tc>
        <w:tc>
          <w:tcPr>
            <w:tcW w:w="679" w:type="pct"/>
            <w:vMerge w:val="continue"/>
            <w:vAlign w:val="center"/>
          </w:tcPr>
          <w:p w14:paraId="09297FF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p>
        </w:tc>
        <w:tc>
          <w:tcPr>
            <w:tcW w:w="543" w:type="pct"/>
            <w:vAlign w:val="center"/>
          </w:tcPr>
          <w:p w14:paraId="37BBC3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GW1</w:t>
            </w:r>
          </w:p>
        </w:tc>
        <w:tc>
          <w:tcPr>
            <w:tcW w:w="543" w:type="pct"/>
            <w:vAlign w:val="center"/>
          </w:tcPr>
          <w:p w14:paraId="71A1E88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GW2</w:t>
            </w:r>
          </w:p>
        </w:tc>
        <w:tc>
          <w:tcPr>
            <w:tcW w:w="543" w:type="pct"/>
            <w:vAlign w:val="center"/>
          </w:tcPr>
          <w:p w14:paraId="3D32A2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GW3</w:t>
            </w:r>
          </w:p>
        </w:tc>
        <w:tc>
          <w:tcPr>
            <w:tcW w:w="543" w:type="pct"/>
            <w:vAlign w:val="center"/>
          </w:tcPr>
          <w:p w14:paraId="4B117F5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GW4</w:t>
            </w:r>
          </w:p>
        </w:tc>
        <w:tc>
          <w:tcPr>
            <w:tcW w:w="543" w:type="pct"/>
            <w:vAlign w:val="center"/>
          </w:tcPr>
          <w:p w14:paraId="1DF0F55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GW5</w:t>
            </w:r>
          </w:p>
        </w:tc>
        <w:tc>
          <w:tcPr>
            <w:tcW w:w="386" w:type="pct"/>
            <w:vMerge w:val="continue"/>
            <w:vAlign w:val="center"/>
          </w:tcPr>
          <w:p w14:paraId="09E7FE9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p>
        </w:tc>
        <w:tc>
          <w:tcPr>
            <w:tcW w:w="386" w:type="pct"/>
            <w:vMerge w:val="continue"/>
            <w:vAlign w:val="center"/>
          </w:tcPr>
          <w:p w14:paraId="5237DF0C">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p>
        </w:tc>
        <w:tc>
          <w:tcPr>
            <w:tcW w:w="386" w:type="pct"/>
            <w:vMerge w:val="continue"/>
            <w:vAlign w:val="center"/>
          </w:tcPr>
          <w:p w14:paraId="10140DB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rPr>
            </w:pPr>
          </w:p>
        </w:tc>
      </w:tr>
      <w:tr w14:paraId="7DAB6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5" w:hRule="atLeast"/>
          <w:jc w:val="center"/>
        </w:trPr>
        <w:tc>
          <w:tcPr>
            <w:tcW w:w="440" w:type="pct"/>
            <w:vMerge w:val="restart"/>
            <w:vAlign w:val="center"/>
          </w:tcPr>
          <w:p w14:paraId="41D3A4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02月28日</w:t>
            </w:r>
          </w:p>
        </w:tc>
        <w:tc>
          <w:tcPr>
            <w:tcW w:w="679" w:type="pct"/>
            <w:vAlign w:val="center"/>
          </w:tcPr>
          <w:p w14:paraId="6CBFD76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lang w:val="en-US" w:eastAsia="zh-CN"/>
              </w:rPr>
            </w:pPr>
            <w:r>
              <w:rPr>
                <w:rFonts w:hint="default" w:ascii="Times New Roman" w:hAnsi="Times New Roman" w:eastAsia="宋体" w:cs="Times New Roman"/>
                <w:b w:val="0"/>
                <w:bCs/>
                <w:szCs w:val="21"/>
                <w:u w:val="single"/>
                <w:lang w:val="en-US" w:eastAsia="zh-CN"/>
              </w:rPr>
              <w:t>水位</w:t>
            </w:r>
          </w:p>
        </w:tc>
        <w:tc>
          <w:tcPr>
            <w:tcW w:w="543" w:type="pct"/>
            <w:vAlign w:val="center"/>
          </w:tcPr>
          <w:p w14:paraId="4109F9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Cs w:val="21"/>
                <w:u w:val="single"/>
                <w:lang w:val="en-US" w:eastAsia="zh-CN"/>
              </w:rPr>
            </w:pPr>
            <w:r>
              <w:rPr>
                <w:rFonts w:hint="default" w:ascii="Times New Roman" w:hAnsi="Times New Roman" w:eastAsia="宋体" w:cs="Times New Roman"/>
                <w:b w:val="0"/>
                <w:bCs/>
                <w:szCs w:val="21"/>
                <w:u w:val="single"/>
                <w:lang w:val="en-US" w:eastAsia="zh-CN"/>
              </w:rPr>
              <w:t>8.5</w:t>
            </w:r>
          </w:p>
        </w:tc>
        <w:tc>
          <w:tcPr>
            <w:tcW w:w="543" w:type="pct"/>
            <w:vAlign w:val="center"/>
          </w:tcPr>
          <w:p w14:paraId="5FD126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Cs w:val="21"/>
                <w:u w:val="single"/>
                <w:lang w:val="en-US" w:eastAsia="zh-CN"/>
              </w:rPr>
            </w:pPr>
            <w:r>
              <w:rPr>
                <w:rFonts w:hint="default" w:ascii="Times New Roman" w:hAnsi="Times New Roman" w:eastAsia="宋体" w:cs="Times New Roman"/>
                <w:b w:val="0"/>
                <w:bCs/>
                <w:szCs w:val="21"/>
                <w:u w:val="single"/>
                <w:lang w:val="en-US" w:eastAsia="zh-CN"/>
              </w:rPr>
              <w:t>8.4</w:t>
            </w:r>
          </w:p>
        </w:tc>
        <w:tc>
          <w:tcPr>
            <w:tcW w:w="543" w:type="pct"/>
            <w:vAlign w:val="center"/>
          </w:tcPr>
          <w:p w14:paraId="77955B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Cs w:val="21"/>
                <w:u w:val="single"/>
                <w:lang w:val="en-US" w:eastAsia="zh-CN"/>
              </w:rPr>
            </w:pPr>
            <w:r>
              <w:rPr>
                <w:rFonts w:hint="default" w:ascii="Times New Roman" w:hAnsi="Times New Roman" w:eastAsia="宋体" w:cs="Times New Roman"/>
                <w:b w:val="0"/>
                <w:bCs/>
                <w:szCs w:val="21"/>
                <w:u w:val="single"/>
                <w:lang w:val="en-US" w:eastAsia="zh-CN"/>
              </w:rPr>
              <w:t>9.6</w:t>
            </w:r>
          </w:p>
        </w:tc>
        <w:tc>
          <w:tcPr>
            <w:tcW w:w="543" w:type="pct"/>
            <w:vAlign w:val="center"/>
          </w:tcPr>
          <w:p w14:paraId="1958D8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Cs w:val="21"/>
                <w:u w:val="single"/>
                <w:lang w:val="en-US" w:eastAsia="zh-CN"/>
              </w:rPr>
            </w:pPr>
            <w:r>
              <w:rPr>
                <w:rFonts w:hint="default" w:ascii="Times New Roman" w:hAnsi="Times New Roman" w:eastAsia="宋体" w:cs="Times New Roman"/>
                <w:b w:val="0"/>
                <w:bCs/>
                <w:szCs w:val="21"/>
                <w:u w:val="single"/>
                <w:lang w:val="en-US" w:eastAsia="zh-CN"/>
              </w:rPr>
              <w:t>8.8</w:t>
            </w:r>
          </w:p>
        </w:tc>
        <w:tc>
          <w:tcPr>
            <w:tcW w:w="543" w:type="pct"/>
            <w:vAlign w:val="center"/>
          </w:tcPr>
          <w:p w14:paraId="6027794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val="0"/>
                <w:bCs/>
                <w:szCs w:val="21"/>
                <w:u w:val="single"/>
                <w:lang w:val="en-US" w:eastAsia="zh-CN"/>
              </w:rPr>
            </w:pPr>
            <w:r>
              <w:rPr>
                <w:rFonts w:hint="default" w:ascii="Times New Roman" w:hAnsi="Times New Roman" w:eastAsia="宋体" w:cs="Times New Roman"/>
                <w:b w:val="0"/>
                <w:bCs/>
                <w:szCs w:val="21"/>
                <w:u w:val="single"/>
                <w:lang w:val="en-US" w:eastAsia="zh-CN"/>
              </w:rPr>
              <w:t>10.2</w:t>
            </w:r>
          </w:p>
        </w:tc>
        <w:tc>
          <w:tcPr>
            <w:tcW w:w="386" w:type="pct"/>
            <w:vAlign w:val="center"/>
          </w:tcPr>
          <w:p w14:paraId="248E719F">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lang w:val="en-US" w:eastAsia="zh-CN"/>
              </w:rPr>
            </w:pPr>
            <w:r>
              <w:rPr>
                <w:rFonts w:hint="default" w:ascii="Times New Roman" w:hAnsi="Times New Roman" w:eastAsia="宋体" w:cs="Times New Roman"/>
                <w:b/>
                <w:szCs w:val="21"/>
                <w:u w:val="single"/>
                <w:lang w:val="en-US" w:eastAsia="zh-CN"/>
              </w:rPr>
              <w:t>/</w:t>
            </w:r>
          </w:p>
        </w:tc>
        <w:tc>
          <w:tcPr>
            <w:tcW w:w="386" w:type="pct"/>
            <w:vAlign w:val="center"/>
          </w:tcPr>
          <w:p w14:paraId="4DF8E1B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lang w:val="en-US" w:eastAsia="zh-CN"/>
              </w:rPr>
            </w:pPr>
            <w:r>
              <w:rPr>
                <w:rFonts w:hint="default" w:ascii="Times New Roman" w:hAnsi="Times New Roman" w:eastAsia="宋体" w:cs="Times New Roman"/>
                <w:b/>
                <w:szCs w:val="21"/>
                <w:u w:val="single"/>
                <w:lang w:val="en-US" w:eastAsia="zh-CN"/>
              </w:rPr>
              <w:t>/</w:t>
            </w:r>
          </w:p>
        </w:tc>
        <w:tc>
          <w:tcPr>
            <w:tcW w:w="386" w:type="pct"/>
            <w:vAlign w:val="center"/>
          </w:tcPr>
          <w:p w14:paraId="287828C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b/>
                <w:szCs w:val="21"/>
                <w:u w:val="single"/>
                <w:lang w:val="en-US" w:eastAsia="zh-CN"/>
              </w:rPr>
            </w:pPr>
            <w:r>
              <w:rPr>
                <w:rFonts w:hint="default" w:ascii="Times New Roman" w:hAnsi="Times New Roman" w:eastAsia="宋体" w:cs="Times New Roman"/>
                <w:b/>
                <w:szCs w:val="21"/>
                <w:u w:val="single"/>
                <w:lang w:val="en-US" w:eastAsia="zh-CN"/>
              </w:rPr>
              <w:t>/</w:t>
            </w:r>
          </w:p>
        </w:tc>
      </w:tr>
      <w:tr w14:paraId="3E1D4E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7541C2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28862A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pH值</w:t>
            </w:r>
          </w:p>
        </w:tc>
        <w:tc>
          <w:tcPr>
            <w:tcW w:w="543" w:type="pct"/>
            <w:vAlign w:val="center"/>
          </w:tcPr>
          <w:p w14:paraId="1AD48E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6.91</w:t>
            </w:r>
          </w:p>
        </w:tc>
        <w:tc>
          <w:tcPr>
            <w:tcW w:w="543" w:type="pct"/>
            <w:vAlign w:val="center"/>
          </w:tcPr>
          <w:p w14:paraId="09DEB4C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6.87</w:t>
            </w:r>
          </w:p>
        </w:tc>
        <w:tc>
          <w:tcPr>
            <w:tcW w:w="543" w:type="pct"/>
            <w:vAlign w:val="center"/>
          </w:tcPr>
          <w:p w14:paraId="536642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6.82</w:t>
            </w:r>
          </w:p>
        </w:tc>
        <w:tc>
          <w:tcPr>
            <w:tcW w:w="543" w:type="pct"/>
            <w:vAlign w:val="center"/>
          </w:tcPr>
          <w:p w14:paraId="46FB6A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6.73</w:t>
            </w:r>
          </w:p>
        </w:tc>
        <w:tc>
          <w:tcPr>
            <w:tcW w:w="543" w:type="pct"/>
            <w:vAlign w:val="center"/>
          </w:tcPr>
          <w:p w14:paraId="010C68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6.85</w:t>
            </w:r>
          </w:p>
        </w:tc>
        <w:tc>
          <w:tcPr>
            <w:tcW w:w="386" w:type="pct"/>
            <w:vAlign w:val="center"/>
          </w:tcPr>
          <w:p w14:paraId="147BC2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7FE2AC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21F276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691ED0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6A75C9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129180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K</w:t>
            </w:r>
            <w:r>
              <w:rPr>
                <w:rFonts w:hint="default" w:ascii="Times New Roman" w:hAnsi="Times New Roman" w:eastAsia="宋体" w:cs="Times New Roman"/>
                <w:szCs w:val="21"/>
                <w:u w:val="single"/>
                <w:vertAlign w:val="superscript"/>
              </w:rPr>
              <w:t>+</w:t>
            </w:r>
          </w:p>
        </w:tc>
        <w:tc>
          <w:tcPr>
            <w:tcW w:w="543" w:type="pct"/>
            <w:vAlign w:val="center"/>
          </w:tcPr>
          <w:p w14:paraId="608CB9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2.89</w:t>
            </w:r>
          </w:p>
        </w:tc>
        <w:tc>
          <w:tcPr>
            <w:tcW w:w="543" w:type="pct"/>
            <w:vAlign w:val="center"/>
          </w:tcPr>
          <w:p w14:paraId="2F952C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2.98</w:t>
            </w:r>
          </w:p>
        </w:tc>
        <w:tc>
          <w:tcPr>
            <w:tcW w:w="543" w:type="pct"/>
            <w:vAlign w:val="center"/>
          </w:tcPr>
          <w:p w14:paraId="11AD57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2.99</w:t>
            </w:r>
          </w:p>
        </w:tc>
        <w:tc>
          <w:tcPr>
            <w:tcW w:w="543" w:type="pct"/>
            <w:vAlign w:val="center"/>
          </w:tcPr>
          <w:p w14:paraId="30AEC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2.84</w:t>
            </w:r>
          </w:p>
        </w:tc>
        <w:tc>
          <w:tcPr>
            <w:tcW w:w="543" w:type="pct"/>
            <w:vAlign w:val="center"/>
          </w:tcPr>
          <w:p w14:paraId="6F0BF0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2.86</w:t>
            </w:r>
          </w:p>
        </w:tc>
        <w:tc>
          <w:tcPr>
            <w:tcW w:w="386" w:type="pct"/>
            <w:vAlign w:val="center"/>
          </w:tcPr>
          <w:p w14:paraId="4A78BF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05795C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02402D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685D6E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3DAD82B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66E889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Na</w:t>
            </w:r>
            <w:r>
              <w:rPr>
                <w:rFonts w:hint="default" w:ascii="Times New Roman" w:hAnsi="Times New Roman" w:eastAsia="宋体" w:cs="Times New Roman"/>
                <w:szCs w:val="21"/>
                <w:u w:val="single"/>
                <w:vertAlign w:val="superscript"/>
              </w:rPr>
              <w:t>+</w:t>
            </w:r>
          </w:p>
        </w:tc>
        <w:tc>
          <w:tcPr>
            <w:tcW w:w="543" w:type="pct"/>
            <w:vAlign w:val="center"/>
          </w:tcPr>
          <w:p w14:paraId="0FAAD1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8.74</w:t>
            </w:r>
          </w:p>
        </w:tc>
        <w:tc>
          <w:tcPr>
            <w:tcW w:w="543" w:type="pct"/>
            <w:vAlign w:val="center"/>
          </w:tcPr>
          <w:p w14:paraId="6FC122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8.89</w:t>
            </w:r>
          </w:p>
        </w:tc>
        <w:tc>
          <w:tcPr>
            <w:tcW w:w="543" w:type="pct"/>
            <w:vAlign w:val="center"/>
          </w:tcPr>
          <w:p w14:paraId="1FF39D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8.48</w:t>
            </w:r>
          </w:p>
        </w:tc>
        <w:tc>
          <w:tcPr>
            <w:tcW w:w="543" w:type="pct"/>
            <w:vAlign w:val="center"/>
          </w:tcPr>
          <w:p w14:paraId="713503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8.73</w:t>
            </w:r>
          </w:p>
        </w:tc>
        <w:tc>
          <w:tcPr>
            <w:tcW w:w="543" w:type="pct"/>
            <w:vAlign w:val="center"/>
          </w:tcPr>
          <w:p w14:paraId="67AE5D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8.58</w:t>
            </w:r>
          </w:p>
        </w:tc>
        <w:tc>
          <w:tcPr>
            <w:tcW w:w="386" w:type="pct"/>
            <w:vAlign w:val="center"/>
          </w:tcPr>
          <w:p w14:paraId="19BC0F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34D372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131B62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111DEB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3A7720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2C3993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Ca</w:t>
            </w:r>
            <w:r>
              <w:rPr>
                <w:rFonts w:hint="default" w:ascii="Times New Roman" w:hAnsi="Times New Roman" w:eastAsia="宋体" w:cs="Times New Roman"/>
                <w:szCs w:val="21"/>
                <w:u w:val="single"/>
                <w:vertAlign w:val="superscript"/>
              </w:rPr>
              <w:t>2+</w:t>
            </w:r>
          </w:p>
        </w:tc>
        <w:tc>
          <w:tcPr>
            <w:tcW w:w="543" w:type="pct"/>
            <w:vAlign w:val="center"/>
          </w:tcPr>
          <w:p w14:paraId="5B856EF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2.67</w:t>
            </w:r>
          </w:p>
        </w:tc>
        <w:tc>
          <w:tcPr>
            <w:tcW w:w="543" w:type="pct"/>
            <w:vAlign w:val="center"/>
          </w:tcPr>
          <w:p w14:paraId="5BD838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2.72</w:t>
            </w:r>
          </w:p>
        </w:tc>
        <w:tc>
          <w:tcPr>
            <w:tcW w:w="543" w:type="pct"/>
            <w:vAlign w:val="center"/>
          </w:tcPr>
          <w:p w14:paraId="3A1B29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3.00</w:t>
            </w:r>
          </w:p>
        </w:tc>
        <w:tc>
          <w:tcPr>
            <w:tcW w:w="543" w:type="pct"/>
            <w:vAlign w:val="center"/>
          </w:tcPr>
          <w:p w14:paraId="4D07F4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3.07</w:t>
            </w:r>
          </w:p>
        </w:tc>
        <w:tc>
          <w:tcPr>
            <w:tcW w:w="543" w:type="pct"/>
            <w:vAlign w:val="center"/>
          </w:tcPr>
          <w:p w14:paraId="0ED1F0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3.64</w:t>
            </w:r>
          </w:p>
        </w:tc>
        <w:tc>
          <w:tcPr>
            <w:tcW w:w="386" w:type="pct"/>
            <w:vAlign w:val="center"/>
          </w:tcPr>
          <w:p w14:paraId="2D8397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042E98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34ECC6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2A97A4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253A04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0F40C3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Mg</w:t>
            </w:r>
            <w:r>
              <w:rPr>
                <w:rFonts w:hint="default" w:ascii="Times New Roman" w:hAnsi="Times New Roman" w:eastAsia="宋体" w:cs="Times New Roman"/>
                <w:szCs w:val="21"/>
                <w:u w:val="single"/>
                <w:vertAlign w:val="superscript"/>
              </w:rPr>
              <w:t>2+</w:t>
            </w:r>
          </w:p>
        </w:tc>
        <w:tc>
          <w:tcPr>
            <w:tcW w:w="543" w:type="pct"/>
            <w:vAlign w:val="center"/>
          </w:tcPr>
          <w:p w14:paraId="1F4D7C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10.31</w:t>
            </w:r>
          </w:p>
        </w:tc>
        <w:tc>
          <w:tcPr>
            <w:tcW w:w="543" w:type="pct"/>
            <w:vAlign w:val="center"/>
          </w:tcPr>
          <w:p w14:paraId="163013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10.44</w:t>
            </w:r>
          </w:p>
        </w:tc>
        <w:tc>
          <w:tcPr>
            <w:tcW w:w="543" w:type="pct"/>
            <w:vAlign w:val="center"/>
          </w:tcPr>
          <w:p w14:paraId="2CDEE0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10.40</w:t>
            </w:r>
          </w:p>
        </w:tc>
        <w:tc>
          <w:tcPr>
            <w:tcW w:w="543" w:type="pct"/>
            <w:vAlign w:val="center"/>
          </w:tcPr>
          <w:p w14:paraId="05215B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10.35</w:t>
            </w:r>
          </w:p>
        </w:tc>
        <w:tc>
          <w:tcPr>
            <w:tcW w:w="543" w:type="pct"/>
            <w:vAlign w:val="center"/>
          </w:tcPr>
          <w:p w14:paraId="3D5D1D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10.24</w:t>
            </w:r>
          </w:p>
        </w:tc>
        <w:tc>
          <w:tcPr>
            <w:tcW w:w="386" w:type="pct"/>
            <w:vAlign w:val="center"/>
          </w:tcPr>
          <w:p w14:paraId="05E636C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1FCD3B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4DA2894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4E1F05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66B0AD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u w:val="single"/>
              </w:rPr>
            </w:pPr>
          </w:p>
        </w:tc>
        <w:tc>
          <w:tcPr>
            <w:tcW w:w="679" w:type="pct"/>
            <w:vAlign w:val="center"/>
          </w:tcPr>
          <w:p w14:paraId="23A37BB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CL</w:t>
            </w:r>
            <w:r>
              <w:rPr>
                <w:rFonts w:hint="default" w:ascii="Times New Roman" w:hAnsi="Times New Roman" w:eastAsia="宋体" w:cs="Times New Roman"/>
                <w:szCs w:val="21"/>
                <w:u w:val="single"/>
                <w:vertAlign w:val="superscript"/>
              </w:rPr>
              <w:t>-</w:t>
            </w:r>
          </w:p>
        </w:tc>
        <w:tc>
          <w:tcPr>
            <w:tcW w:w="543" w:type="pct"/>
            <w:vAlign w:val="center"/>
          </w:tcPr>
          <w:p w14:paraId="46AA39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15.254</w:t>
            </w:r>
          </w:p>
        </w:tc>
        <w:tc>
          <w:tcPr>
            <w:tcW w:w="543" w:type="pct"/>
            <w:vAlign w:val="center"/>
          </w:tcPr>
          <w:p w14:paraId="108AE6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15.876</w:t>
            </w:r>
          </w:p>
        </w:tc>
        <w:tc>
          <w:tcPr>
            <w:tcW w:w="543" w:type="pct"/>
            <w:vAlign w:val="center"/>
          </w:tcPr>
          <w:p w14:paraId="1089A3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17.335</w:t>
            </w:r>
          </w:p>
        </w:tc>
        <w:tc>
          <w:tcPr>
            <w:tcW w:w="543" w:type="pct"/>
            <w:vAlign w:val="center"/>
          </w:tcPr>
          <w:p w14:paraId="1C47C8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15.097</w:t>
            </w:r>
          </w:p>
        </w:tc>
        <w:tc>
          <w:tcPr>
            <w:tcW w:w="543" w:type="pct"/>
            <w:vAlign w:val="center"/>
          </w:tcPr>
          <w:p w14:paraId="3CDACF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13.161</w:t>
            </w:r>
          </w:p>
        </w:tc>
        <w:tc>
          <w:tcPr>
            <w:tcW w:w="386" w:type="pct"/>
            <w:vAlign w:val="center"/>
          </w:tcPr>
          <w:p w14:paraId="5EAA7D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7F1555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1EEEE3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273B06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16778C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76703D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SO</w:t>
            </w:r>
            <w:r>
              <w:rPr>
                <w:rFonts w:hint="default" w:ascii="Times New Roman" w:hAnsi="Times New Roman" w:eastAsia="宋体" w:cs="Times New Roman"/>
                <w:szCs w:val="21"/>
                <w:u w:val="single"/>
                <w:vertAlign w:val="subscript"/>
              </w:rPr>
              <w:t>4</w:t>
            </w:r>
            <w:r>
              <w:rPr>
                <w:rFonts w:hint="default" w:ascii="Times New Roman" w:hAnsi="Times New Roman" w:eastAsia="宋体" w:cs="Times New Roman"/>
                <w:szCs w:val="21"/>
                <w:u w:val="single"/>
                <w:vertAlign w:val="superscript"/>
              </w:rPr>
              <w:t>2-</w:t>
            </w:r>
          </w:p>
        </w:tc>
        <w:tc>
          <w:tcPr>
            <w:tcW w:w="543" w:type="pct"/>
            <w:vAlign w:val="center"/>
          </w:tcPr>
          <w:p w14:paraId="7B4BF2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23.508</w:t>
            </w:r>
          </w:p>
        </w:tc>
        <w:tc>
          <w:tcPr>
            <w:tcW w:w="543" w:type="pct"/>
            <w:vAlign w:val="center"/>
          </w:tcPr>
          <w:p w14:paraId="337BEF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24.385</w:t>
            </w:r>
          </w:p>
        </w:tc>
        <w:tc>
          <w:tcPr>
            <w:tcW w:w="543" w:type="pct"/>
            <w:vAlign w:val="center"/>
          </w:tcPr>
          <w:p w14:paraId="03AF31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27.885</w:t>
            </w:r>
          </w:p>
        </w:tc>
        <w:tc>
          <w:tcPr>
            <w:tcW w:w="543" w:type="pct"/>
            <w:vAlign w:val="center"/>
          </w:tcPr>
          <w:p w14:paraId="50158B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24.271</w:t>
            </w:r>
          </w:p>
        </w:tc>
        <w:tc>
          <w:tcPr>
            <w:tcW w:w="543" w:type="pct"/>
            <w:vAlign w:val="center"/>
          </w:tcPr>
          <w:p w14:paraId="66357D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22.642</w:t>
            </w:r>
          </w:p>
        </w:tc>
        <w:tc>
          <w:tcPr>
            <w:tcW w:w="386" w:type="pct"/>
            <w:vAlign w:val="center"/>
          </w:tcPr>
          <w:p w14:paraId="09FA16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476218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127673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7F9906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673F8E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2A641C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碳酸根</w:t>
            </w:r>
          </w:p>
        </w:tc>
        <w:tc>
          <w:tcPr>
            <w:tcW w:w="543" w:type="pct"/>
            <w:vAlign w:val="center"/>
          </w:tcPr>
          <w:p w14:paraId="58FB2D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543" w:type="pct"/>
            <w:vAlign w:val="center"/>
          </w:tcPr>
          <w:p w14:paraId="64B34E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543" w:type="pct"/>
            <w:vAlign w:val="center"/>
          </w:tcPr>
          <w:p w14:paraId="27434EE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543" w:type="pct"/>
            <w:vAlign w:val="center"/>
          </w:tcPr>
          <w:p w14:paraId="5BB13B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543" w:type="pct"/>
            <w:vAlign w:val="center"/>
          </w:tcPr>
          <w:p w14:paraId="6DDBCE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386" w:type="pct"/>
            <w:vAlign w:val="center"/>
          </w:tcPr>
          <w:p w14:paraId="6D012C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5E89EA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7A6C9C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42489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57E0B0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7339A2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碳酸氢根</w:t>
            </w:r>
          </w:p>
        </w:tc>
        <w:tc>
          <w:tcPr>
            <w:tcW w:w="543" w:type="pct"/>
            <w:vAlign w:val="center"/>
          </w:tcPr>
          <w:p w14:paraId="0F79B0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109.7</w:t>
            </w:r>
          </w:p>
        </w:tc>
        <w:tc>
          <w:tcPr>
            <w:tcW w:w="543" w:type="pct"/>
            <w:vAlign w:val="center"/>
          </w:tcPr>
          <w:p w14:paraId="69134D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103.8</w:t>
            </w:r>
          </w:p>
        </w:tc>
        <w:tc>
          <w:tcPr>
            <w:tcW w:w="543" w:type="pct"/>
            <w:vAlign w:val="center"/>
          </w:tcPr>
          <w:p w14:paraId="45484D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102.3</w:t>
            </w:r>
          </w:p>
        </w:tc>
        <w:tc>
          <w:tcPr>
            <w:tcW w:w="543" w:type="pct"/>
            <w:vAlign w:val="center"/>
          </w:tcPr>
          <w:p w14:paraId="64E7C6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103.8</w:t>
            </w:r>
          </w:p>
        </w:tc>
        <w:tc>
          <w:tcPr>
            <w:tcW w:w="543" w:type="pct"/>
            <w:vAlign w:val="center"/>
          </w:tcPr>
          <w:p w14:paraId="2A0450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100.8</w:t>
            </w:r>
          </w:p>
        </w:tc>
        <w:tc>
          <w:tcPr>
            <w:tcW w:w="386" w:type="pct"/>
            <w:vAlign w:val="center"/>
          </w:tcPr>
          <w:p w14:paraId="5B2281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6EB28D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043477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521156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7B18F4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1E033D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szCs w:val="21"/>
                <w:u w:val="single"/>
              </w:rPr>
              <w:t>总硬度</w:t>
            </w:r>
          </w:p>
        </w:tc>
        <w:tc>
          <w:tcPr>
            <w:tcW w:w="543" w:type="pct"/>
            <w:vAlign w:val="center"/>
          </w:tcPr>
          <w:p w14:paraId="1775151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49.1</w:t>
            </w:r>
          </w:p>
        </w:tc>
        <w:tc>
          <w:tcPr>
            <w:tcW w:w="543" w:type="pct"/>
            <w:vAlign w:val="center"/>
          </w:tcPr>
          <w:p w14:paraId="6778DB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49.8</w:t>
            </w:r>
          </w:p>
        </w:tc>
        <w:tc>
          <w:tcPr>
            <w:tcW w:w="543" w:type="pct"/>
            <w:vAlign w:val="center"/>
          </w:tcPr>
          <w:p w14:paraId="029F43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50.3</w:t>
            </w:r>
          </w:p>
        </w:tc>
        <w:tc>
          <w:tcPr>
            <w:tcW w:w="543" w:type="pct"/>
            <w:vAlign w:val="center"/>
          </w:tcPr>
          <w:p w14:paraId="7B3714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50.3</w:t>
            </w:r>
          </w:p>
        </w:tc>
        <w:tc>
          <w:tcPr>
            <w:tcW w:w="543" w:type="pct"/>
            <w:vAlign w:val="center"/>
          </w:tcPr>
          <w:p w14:paraId="1779CA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51.3</w:t>
            </w:r>
          </w:p>
        </w:tc>
        <w:tc>
          <w:tcPr>
            <w:tcW w:w="386" w:type="pct"/>
            <w:vAlign w:val="center"/>
          </w:tcPr>
          <w:p w14:paraId="6150BD2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450</w:t>
            </w:r>
          </w:p>
        </w:tc>
        <w:tc>
          <w:tcPr>
            <w:tcW w:w="386" w:type="pct"/>
            <w:vAlign w:val="center"/>
          </w:tcPr>
          <w:p w14:paraId="62759A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386" w:type="pct"/>
            <w:vAlign w:val="center"/>
          </w:tcPr>
          <w:p w14:paraId="07B6B4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51B0CF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748CED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2D5138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溶解性总固体</w:t>
            </w:r>
          </w:p>
        </w:tc>
        <w:tc>
          <w:tcPr>
            <w:tcW w:w="543" w:type="pct"/>
            <w:vAlign w:val="center"/>
          </w:tcPr>
          <w:p w14:paraId="26B985F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159</w:t>
            </w:r>
          </w:p>
        </w:tc>
        <w:tc>
          <w:tcPr>
            <w:tcW w:w="543" w:type="pct"/>
            <w:vAlign w:val="center"/>
          </w:tcPr>
          <w:p w14:paraId="582B2A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161</w:t>
            </w:r>
          </w:p>
        </w:tc>
        <w:tc>
          <w:tcPr>
            <w:tcW w:w="543" w:type="pct"/>
            <w:vAlign w:val="center"/>
          </w:tcPr>
          <w:p w14:paraId="7579E9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136</w:t>
            </w:r>
          </w:p>
        </w:tc>
        <w:tc>
          <w:tcPr>
            <w:tcW w:w="543" w:type="pct"/>
            <w:vAlign w:val="center"/>
          </w:tcPr>
          <w:p w14:paraId="1CEF21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167</w:t>
            </w:r>
          </w:p>
        </w:tc>
        <w:tc>
          <w:tcPr>
            <w:tcW w:w="543" w:type="pct"/>
            <w:vAlign w:val="center"/>
          </w:tcPr>
          <w:p w14:paraId="34F769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148</w:t>
            </w:r>
          </w:p>
        </w:tc>
        <w:tc>
          <w:tcPr>
            <w:tcW w:w="386" w:type="pct"/>
            <w:vAlign w:val="center"/>
          </w:tcPr>
          <w:p w14:paraId="2C5178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1000</w:t>
            </w:r>
          </w:p>
        </w:tc>
        <w:tc>
          <w:tcPr>
            <w:tcW w:w="386" w:type="pct"/>
            <w:vAlign w:val="center"/>
          </w:tcPr>
          <w:p w14:paraId="087B5E0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386" w:type="pct"/>
            <w:vAlign w:val="center"/>
          </w:tcPr>
          <w:p w14:paraId="171E48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04FF31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7CA365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1D8E6C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挥发性酚类</w:t>
            </w:r>
          </w:p>
        </w:tc>
        <w:tc>
          <w:tcPr>
            <w:tcW w:w="543" w:type="pct"/>
            <w:vAlign w:val="center"/>
          </w:tcPr>
          <w:p w14:paraId="2C398D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0.0005</w:t>
            </w:r>
          </w:p>
        </w:tc>
        <w:tc>
          <w:tcPr>
            <w:tcW w:w="543" w:type="pct"/>
            <w:vAlign w:val="center"/>
          </w:tcPr>
          <w:p w14:paraId="62B2E3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0.0008</w:t>
            </w:r>
          </w:p>
        </w:tc>
        <w:tc>
          <w:tcPr>
            <w:tcW w:w="543" w:type="pct"/>
            <w:vAlign w:val="center"/>
          </w:tcPr>
          <w:p w14:paraId="21AD99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0.0009</w:t>
            </w:r>
          </w:p>
        </w:tc>
        <w:tc>
          <w:tcPr>
            <w:tcW w:w="543" w:type="pct"/>
            <w:vAlign w:val="center"/>
          </w:tcPr>
          <w:p w14:paraId="150B3A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0.0007</w:t>
            </w:r>
          </w:p>
        </w:tc>
        <w:tc>
          <w:tcPr>
            <w:tcW w:w="543" w:type="pct"/>
            <w:vAlign w:val="center"/>
          </w:tcPr>
          <w:p w14:paraId="553405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0.0006</w:t>
            </w:r>
          </w:p>
        </w:tc>
        <w:tc>
          <w:tcPr>
            <w:tcW w:w="386" w:type="pct"/>
            <w:vAlign w:val="center"/>
          </w:tcPr>
          <w:p w14:paraId="7A766B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w:t>
            </w:r>
          </w:p>
        </w:tc>
        <w:tc>
          <w:tcPr>
            <w:tcW w:w="386" w:type="pct"/>
            <w:vAlign w:val="center"/>
          </w:tcPr>
          <w:p w14:paraId="42E4C7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386" w:type="pct"/>
            <w:vAlign w:val="center"/>
          </w:tcPr>
          <w:p w14:paraId="49F580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202734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7161C2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63A667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亚硝酸盐</w:t>
            </w:r>
          </w:p>
        </w:tc>
        <w:tc>
          <w:tcPr>
            <w:tcW w:w="543" w:type="pct"/>
            <w:vAlign w:val="center"/>
          </w:tcPr>
          <w:p w14:paraId="28E2BC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0.016ND</w:t>
            </w:r>
          </w:p>
        </w:tc>
        <w:tc>
          <w:tcPr>
            <w:tcW w:w="543" w:type="pct"/>
            <w:vAlign w:val="center"/>
          </w:tcPr>
          <w:p w14:paraId="4A3342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0.016ND</w:t>
            </w:r>
          </w:p>
        </w:tc>
        <w:tc>
          <w:tcPr>
            <w:tcW w:w="543" w:type="pct"/>
            <w:vAlign w:val="center"/>
          </w:tcPr>
          <w:p w14:paraId="356431F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0.016ND</w:t>
            </w:r>
          </w:p>
        </w:tc>
        <w:tc>
          <w:tcPr>
            <w:tcW w:w="543" w:type="pct"/>
            <w:vAlign w:val="center"/>
          </w:tcPr>
          <w:p w14:paraId="331B84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0.016ND</w:t>
            </w:r>
          </w:p>
        </w:tc>
        <w:tc>
          <w:tcPr>
            <w:tcW w:w="543" w:type="pct"/>
            <w:vAlign w:val="center"/>
          </w:tcPr>
          <w:p w14:paraId="02EF31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0.016ND</w:t>
            </w:r>
          </w:p>
        </w:tc>
        <w:tc>
          <w:tcPr>
            <w:tcW w:w="386" w:type="pct"/>
            <w:vAlign w:val="center"/>
          </w:tcPr>
          <w:p w14:paraId="144064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w:t>
            </w:r>
          </w:p>
        </w:tc>
        <w:tc>
          <w:tcPr>
            <w:tcW w:w="386" w:type="pct"/>
            <w:vAlign w:val="center"/>
          </w:tcPr>
          <w:p w14:paraId="736626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386" w:type="pct"/>
            <w:vAlign w:val="center"/>
          </w:tcPr>
          <w:p w14:paraId="5B1B55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7B20D2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5D13FA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559D3E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硝酸盐</w:t>
            </w:r>
          </w:p>
        </w:tc>
        <w:tc>
          <w:tcPr>
            <w:tcW w:w="543" w:type="pct"/>
            <w:vAlign w:val="center"/>
          </w:tcPr>
          <w:p w14:paraId="2FB271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13.604</w:t>
            </w:r>
          </w:p>
        </w:tc>
        <w:tc>
          <w:tcPr>
            <w:tcW w:w="543" w:type="pct"/>
            <w:vAlign w:val="center"/>
          </w:tcPr>
          <w:p w14:paraId="00B016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9.480</w:t>
            </w:r>
          </w:p>
        </w:tc>
        <w:tc>
          <w:tcPr>
            <w:tcW w:w="543" w:type="pct"/>
            <w:vAlign w:val="center"/>
          </w:tcPr>
          <w:p w14:paraId="7886D2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10.598</w:t>
            </w:r>
          </w:p>
        </w:tc>
        <w:tc>
          <w:tcPr>
            <w:tcW w:w="543" w:type="pct"/>
            <w:vAlign w:val="center"/>
          </w:tcPr>
          <w:p w14:paraId="03BB5C1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9.058</w:t>
            </w:r>
          </w:p>
        </w:tc>
        <w:tc>
          <w:tcPr>
            <w:tcW w:w="543" w:type="pct"/>
            <w:vAlign w:val="center"/>
          </w:tcPr>
          <w:p w14:paraId="706A40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8.046</w:t>
            </w:r>
          </w:p>
        </w:tc>
        <w:tc>
          <w:tcPr>
            <w:tcW w:w="386" w:type="pct"/>
            <w:vAlign w:val="center"/>
          </w:tcPr>
          <w:p w14:paraId="27FF1A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20</w:t>
            </w:r>
          </w:p>
        </w:tc>
        <w:tc>
          <w:tcPr>
            <w:tcW w:w="386" w:type="pct"/>
            <w:vAlign w:val="center"/>
          </w:tcPr>
          <w:p w14:paraId="28CFF0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386" w:type="pct"/>
            <w:vAlign w:val="center"/>
          </w:tcPr>
          <w:p w14:paraId="0E251B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51EB65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199C28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2B8DB8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氨氮</w:t>
            </w:r>
          </w:p>
        </w:tc>
        <w:tc>
          <w:tcPr>
            <w:tcW w:w="543" w:type="pct"/>
            <w:vAlign w:val="center"/>
          </w:tcPr>
          <w:p w14:paraId="10D6FB8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0.050</w:t>
            </w:r>
          </w:p>
        </w:tc>
        <w:tc>
          <w:tcPr>
            <w:tcW w:w="543" w:type="pct"/>
            <w:vAlign w:val="center"/>
          </w:tcPr>
          <w:p w14:paraId="169D1E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0.119</w:t>
            </w:r>
          </w:p>
        </w:tc>
        <w:tc>
          <w:tcPr>
            <w:tcW w:w="543" w:type="pct"/>
            <w:vAlign w:val="center"/>
          </w:tcPr>
          <w:p w14:paraId="5516EF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0.063</w:t>
            </w:r>
          </w:p>
        </w:tc>
        <w:tc>
          <w:tcPr>
            <w:tcW w:w="543" w:type="pct"/>
            <w:vAlign w:val="center"/>
          </w:tcPr>
          <w:p w14:paraId="78F5AF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0.101</w:t>
            </w:r>
          </w:p>
        </w:tc>
        <w:tc>
          <w:tcPr>
            <w:tcW w:w="543" w:type="pct"/>
            <w:vAlign w:val="center"/>
          </w:tcPr>
          <w:p w14:paraId="183545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0.095</w:t>
            </w:r>
          </w:p>
        </w:tc>
        <w:tc>
          <w:tcPr>
            <w:tcW w:w="386" w:type="pct"/>
            <w:vAlign w:val="center"/>
          </w:tcPr>
          <w:p w14:paraId="088A0C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0.5</w:t>
            </w:r>
          </w:p>
        </w:tc>
        <w:tc>
          <w:tcPr>
            <w:tcW w:w="386" w:type="pct"/>
            <w:vAlign w:val="center"/>
          </w:tcPr>
          <w:p w14:paraId="570085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386" w:type="pct"/>
            <w:vAlign w:val="center"/>
          </w:tcPr>
          <w:p w14:paraId="6DE4DE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3EE20D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0D3BDA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2D58AB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耗氧量</w:t>
            </w:r>
          </w:p>
        </w:tc>
        <w:tc>
          <w:tcPr>
            <w:tcW w:w="543" w:type="pct"/>
            <w:vAlign w:val="center"/>
          </w:tcPr>
          <w:p w14:paraId="4D9627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2.37</w:t>
            </w:r>
          </w:p>
        </w:tc>
        <w:tc>
          <w:tcPr>
            <w:tcW w:w="543" w:type="pct"/>
            <w:vAlign w:val="center"/>
          </w:tcPr>
          <w:p w14:paraId="4BF018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2.34</w:t>
            </w:r>
          </w:p>
        </w:tc>
        <w:tc>
          <w:tcPr>
            <w:tcW w:w="543" w:type="pct"/>
            <w:vAlign w:val="center"/>
          </w:tcPr>
          <w:p w14:paraId="4A127A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2.39</w:t>
            </w:r>
          </w:p>
        </w:tc>
        <w:tc>
          <w:tcPr>
            <w:tcW w:w="543" w:type="pct"/>
            <w:vAlign w:val="center"/>
          </w:tcPr>
          <w:p w14:paraId="2C9655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2.58</w:t>
            </w:r>
          </w:p>
        </w:tc>
        <w:tc>
          <w:tcPr>
            <w:tcW w:w="543" w:type="pct"/>
            <w:vAlign w:val="center"/>
          </w:tcPr>
          <w:p w14:paraId="0D4CF5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2.75</w:t>
            </w:r>
          </w:p>
        </w:tc>
        <w:tc>
          <w:tcPr>
            <w:tcW w:w="386" w:type="pct"/>
            <w:vAlign w:val="center"/>
          </w:tcPr>
          <w:p w14:paraId="32C454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3</w:t>
            </w:r>
          </w:p>
        </w:tc>
        <w:tc>
          <w:tcPr>
            <w:tcW w:w="386" w:type="pct"/>
            <w:vAlign w:val="center"/>
          </w:tcPr>
          <w:p w14:paraId="3342B1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w:t>
            </w:r>
          </w:p>
        </w:tc>
        <w:tc>
          <w:tcPr>
            <w:tcW w:w="386" w:type="pct"/>
            <w:vAlign w:val="center"/>
          </w:tcPr>
          <w:p w14:paraId="72FC88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78B892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0F28F8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502455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石油类</w:t>
            </w:r>
          </w:p>
        </w:tc>
        <w:tc>
          <w:tcPr>
            <w:tcW w:w="543" w:type="pct"/>
            <w:vAlign w:val="center"/>
          </w:tcPr>
          <w:p w14:paraId="484A63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0.03</w:t>
            </w:r>
          </w:p>
        </w:tc>
        <w:tc>
          <w:tcPr>
            <w:tcW w:w="543" w:type="pct"/>
            <w:vAlign w:val="center"/>
          </w:tcPr>
          <w:p w14:paraId="751B80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0.04</w:t>
            </w:r>
          </w:p>
        </w:tc>
        <w:tc>
          <w:tcPr>
            <w:tcW w:w="543" w:type="pct"/>
            <w:vAlign w:val="center"/>
          </w:tcPr>
          <w:p w14:paraId="33F0FB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0.03</w:t>
            </w:r>
          </w:p>
        </w:tc>
        <w:tc>
          <w:tcPr>
            <w:tcW w:w="543" w:type="pct"/>
            <w:vAlign w:val="center"/>
          </w:tcPr>
          <w:p w14:paraId="559262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0.01</w:t>
            </w:r>
          </w:p>
        </w:tc>
        <w:tc>
          <w:tcPr>
            <w:tcW w:w="543" w:type="pct"/>
            <w:vAlign w:val="center"/>
          </w:tcPr>
          <w:p w14:paraId="64E595D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0.02</w:t>
            </w:r>
          </w:p>
        </w:tc>
        <w:tc>
          <w:tcPr>
            <w:tcW w:w="386" w:type="pct"/>
            <w:vAlign w:val="center"/>
          </w:tcPr>
          <w:p w14:paraId="172031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6BD319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76608B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48E445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46BE7A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29661D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苯</w:t>
            </w:r>
          </w:p>
        </w:tc>
        <w:tc>
          <w:tcPr>
            <w:tcW w:w="543" w:type="pct"/>
            <w:vAlign w:val="center"/>
          </w:tcPr>
          <w:p w14:paraId="6AB4A9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70C7A4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3B995E6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5581F15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0805C4F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386" w:type="pct"/>
            <w:vAlign w:val="center"/>
          </w:tcPr>
          <w:p w14:paraId="2983A9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15C100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436760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4F733A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6950E2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31DDF83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甲苯</w:t>
            </w:r>
          </w:p>
        </w:tc>
        <w:tc>
          <w:tcPr>
            <w:tcW w:w="543" w:type="pct"/>
            <w:vAlign w:val="center"/>
          </w:tcPr>
          <w:p w14:paraId="700EC0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7C63B4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652A56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0E8BD5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6C8FE3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386" w:type="pct"/>
            <w:vAlign w:val="center"/>
          </w:tcPr>
          <w:p w14:paraId="43DAC6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28077B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55C8BC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5B0E0A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6E6457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70467C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二甲苯</w:t>
            </w:r>
          </w:p>
        </w:tc>
        <w:tc>
          <w:tcPr>
            <w:tcW w:w="543" w:type="pct"/>
            <w:vAlign w:val="center"/>
          </w:tcPr>
          <w:p w14:paraId="7B0EB3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4E886E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790213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1E397D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64B97A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386" w:type="pct"/>
            <w:vAlign w:val="center"/>
          </w:tcPr>
          <w:p w14:paraId="653A5A1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7C1A98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6CAD0A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361921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5" w:hRule="atLeast"/>
          <w:jc w:val="center"/>
        </w:trPr>
        <w:tc>
          <w:tcPr>
            <w:tcW w:w="440" w:type="pct"/>
            <w:vMerge w:val="continue"/>
            <w:vAlign w:val="center"/>
          </w:tcPr>
          <w:p w14:paraId="15C611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679" w:type="pct"/>
            <w:vAlign w:val="center"/>
          </w:tcPr>
          <w:p w14:paraId="26F60C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苯乙烯</w:t>
            </w:r>
          </w:p>
        </w:tc>
        <w:tc>
          <w:tcPr>
            <w:tcW w:w="543" w:type="pct"/>
            <w:vAlign w:val="center"/>
          </w:tcPr>
          <w:p w14:paraId="76D921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7821D5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0DE1CFE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6FBD56C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543" w:type="pct"/>
            <w:vAlign w:val="center"/>
          </w:tcPr>
          <w:p w14:paraId="2BD1FE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0.002ND</w:t>
            </w:r>
          </w:p>
        </w:tc>
        <w:tc>
          <w:tcPr>
            <w:tcW w:w="386" w:type="pct"/>
            <w:vAlign w:val="center"/>
          </w:tcPr>
          <w:p w14:paraId="667F9B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08C90D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c>
          <w:tcPr>
            <w:tcW w:w="386" w:type="pct"/>
            <w:vAlign w:val="center"/>
          </w:tcPr>
          <w:p w14:paraId="43FBE1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bl>
    <w:p w14:paraId="25E8F39E">
      <w:pPr>
        <w:widowControl/>
        <w:tabs>
          <w:tab w:val="left" w:pos="5880"/>
        </w:tabs>
        <w:spacing w:line="360" w:lineRule="auto"/>
        <w:ind w:firstLine="482"/>
        <w:jc w:val="left"/>
        <w:rPr>
          <w:rFonts w:hint="default" w:ascii="Times New Roman" w:hAnsi="Times New Roman" w:eastAsia="宋体" w:cs="Times New Roman"/>
          <w:b/>
          <w:sz w:val="24"/>
          <w:szCs w:val="24"/>
          <w:u w:val="single"/>
        </w:rPr>
      </w:pPr>
      <w:r>
        <w:rPr>
          <w:rFonts w:hint="default" w:ascii="Times New Roman" w:hAnsi="Times New Roman" w:eastAsia="宋体" w:cs="Times New Roman"/>
          <w:bCs/>
          <w:sz w:val="24"/>
          <w:szCs w:val="24"/>
          <w:u w:val="single"/>
        </w:rPr>
        <w:t>由上表可知，项目所在地下水水质满足</w:t>
      </w:r>
      <w:r>
        <w:rPr>
          <w:rFonts w:hint="default" w:ascii="Times New Roman" w:hAnsi="Times New Roman" w:eastAsia="宋体" w:cs="Times New Roman"/>
          <w:kern w:val="0"/>
          <w:sz w:val="24"/>
          <w:szCs w:val="24"/>
          <w:u w:val="single"/>
        </w:rPr>
        <w:t>《地下水质量标准》（GB/T14848-2017）Ⅲ类标准，水质较好。</w:t>
      </w:r>
    </w:p>
    <w:p w14:paraId="5FA7B1C0">
      <w:pPr>
        <w:widowControl/>
        <w:tabs>
          <w:tab w:val="left" w:pos="5880"/>
        </w:tabs>
        <w:spacing w:line="360" w:lineRule="auto"/>
        <w:ind w:firstLine="482"/>
        <w:jc w:val="left"/>
        <w:rPr>
          <w:rFonts w:hint="default" w:ascii="Times New Roman" w:hAnsi="Times New Roman" w:eastAsia="宋体" w:cs="Times New Roman"/>
          <w:b/>
          <w:sz w:val="24"/>
          <w:szCs w:val="24"/>
          <w:u w:val="single"/>
        </w:rPr>
      </w:pPr>
      <w:r>
        <w:rPr>
          <w:rFonts w:hint="default" w:ascii="Times New Roman" w:hAnsi="Times New Roman" w:eastAsia="宋体" w:cs="Times New Roman"/>
          <w:b/>
          <w:sz w:val="24"/>
          <w:szCs w:val="24"/>
          <w:u w:val="single"/>
        </w:rPr>
        <w:t>②地下水位数据引用</w:t>
      </w:r>
    </w:p>
    <w:p w14:paraId="5A4A225D">
      <w:pPr>
        <w:widowControl/>
        <w:tabs>
          <w:tab w:val="left" w:pos="5880"/>
        </w:tabs>
        <w:spacing w:line="360" w:lineRule="auto"/>
        <w:ind w:firstLine="482"/>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为了解评价区域地下水水位现状，本次评价收集了《衡阳市黎达化工有限公司技术改造项目环境影响报告书》、《衡阳市锦轩化工有限公司技改减排项目环境影响报告书》中于2020年 11月4日对地下水的水位历史监测数据及湖南谱实检测技术有限公司于2020年11月4日对捷瑞化工场地内废水池东侧地下水水位进行的一期监测数据，该项目位于本项目东北侧约450m处，处于本项目地下水评价范围内。</w:t>
      </w:r>
    </w:p>
    <w:p w14:paraId="288AB1D0">
      <w:pPr>
        <w:spacing w:line="360" w:lineRule="auto"/>
        <w:ind w:firstLine="48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（1）引用监测点位</w:t>
      </w:r>
    </w:p>
    <w:p w14:paraId="00EBAFB0">
      <w:pPr>
        <w:spacing w:line="360" w:lineRule="auto"/>
        <w:ind w:firstLine="48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引用《衡阳市黎达化工有限公司技术改造项目环境影响报告书》中设置的3个地下水监测点位：DY1本技改项目原料仓库与洗车场中间位置，DY2项目东南面1500m处金兰村水井</w:t>
      </w:r>
      <w:bookmarkStart w:id="315" w:name="_Hlk116893214"/>
      <w:r>
        <w:rPr>
          <w:rFonts w:hint="default" w:ascii="Times New Roman" w:hAnsi="Times New Roman" w:eastAsia="宋体" w:cs="Times New Roman"/>
          <w:sz w:val="24"/>
          <w:szCs w:val="24"/>
          <w:u w:val="single"/>
        </w:rPr>
        <w:t>，DY3</w:t>
      </w:r>
      <w:bookmarkEnd w:id="315"/>
      <w:r>
        <w:rPr>
          <w:rFonts w:hint="default" w:ascii="Times New Roman" w:hAnsi="Times New Roman" w:eastAsia="宋体" w:cs="Times New Roman"/>
          <w:sz w:val="24"/>
          <w:szCs w:val="24"/>
          <w:u w:val="single"/>
        </w:rPr>
        <w:t>西面2080m金源社区水井；</w:t>
      </w:r>
    </w:p>
    <w:p w14:paraId="43CFC2DA">
      <w:pPr>
        <w:spacing w:line="360" w:lineRule="auto"/>
        <w:ind w:firstLine="48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引用捷瑞化工场地内的1个监测点位：DY4捷瑞化工场地内废水池东侧；</w:t>
      </w:r>
    </w:p>
    <w:p w14:paraId="627D1555">
      <w:pPr>
        <w:spacing w:line="360" w:lineRule="auto"/>
        <w:ind w:firstLine="48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引用《衡阳市锦轩化工有限公司技改减排项目环境影响报告书》中设置的1个监测点位：DY5新竹村水井。</w:t>
      </w:r>
    </w:p>
    <w:p w14:paraId="0E336BBB">
      <w:pPr>
        <w:spacing w:line="360" w:lineRule="auto"/>
        <w:ind w:firstLine="480"/>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根据对项目所在区域的水文地质条件的调查，以及结合项目地下水的评价范围（</w:t>
      </w:r>
      <w:r>
        <w:rPr>
          <w:rFonts w:hint="default" w:ascii="Times New Roman" w:hAnsi="Times New Roman" w:eastAsia="宋体" w:cs="Times New Roman"/>
          <w:sz w:val="24"/>
          <w:szCs w:val="24"/>
          <w:u w:val="single"/>
          <w:lang w:val="zh-TW"/>
        </w:rPr>
        <w:t>项目区域地下水流向下游迁移的1425m（取L），两侧迁移的1425m（取L），上游的1425m（取L），合围面积约8.12km</w:t>
      </w:r>
      <w:r>
        <w:rPr>
          <w:rFonts w:hint="default" w:ascii="Times New Roman" w:hAnsi="Times New Roman" w:eastAsia="宋体" w:cs="Times New Roman"/>
          <w:sz w:val="24"/>
          <w:szCs w:val="24"/>
          <w:u w:val="single"/>
          <w:vertAlign w:val="superscript"/>
          <w:lang w:val="zh-TW"/>
        </w:rPr>
        <w:t>2</w:t>
      </w:r>
      <w:r>
        <w:rPr>
          <w:rFonts w:hint="default" w:ascii="Times New Roman" w:hAnsi="Times New Roman" w:eastAsia="宋体" w:cs="Times New Roman"/>
          <w:sz w:val="24"/>
          <w:szCs w:val="24"/>
          <w:u w:val="single"/>
          <w:lang w:val="en-US" w:eastAsia="zh-CN"/>
        </w:rPr>
        <w:t>），以上5个引用监测点位与项目处于同一水文地质单元，且均位于项目地下水评价范围内，因此引用的监测点位满足</w:t>
      </w:r>
      <w:r>
        <w:rPr>
          <w:rFonts w:hint="default" w:ascii="Times New Roman" w:hAnsi="Times New Roman" w:eastAsia="宋体" w:cs="Times New Roman"/>
          <w:sz w:val="24"/>
          <w:szCs w:val="24"/>
          <w:u w:val="single"/>
        </w:rPr>
        <w:t>HJ 610-2016</w:t>
      </w:r>
      <w:r>
        <w:rPr>
          <w:rFonts w:hint="default" w:ascii="Times New Roman" w:hAnsi="Times New Roman" w:eastAsia="宋体" w:cs="Times New Roman"/>
          <w:sz w:val="24"/>
          <w:szCs w:val="24"/>
          <w:u w:val="single"/>
          <w:lang w:val="en-US" w:eastAsia="zh-CN"/>
        </w:rPr>
        <w:t>要求，引用数据合理。具体的引用监测点位与本项目的位置关系见下表：</w:t>
      </w:r>
    </w:p>
    <w:p w14:paraId="1AE684CA">
      <w:pPr>
        <w:pStyle w:val="82"/>
        <w:spacing w:line="360" w:lineRule="auto"/>
        <w:jc w:val="center"/>
        <w:rPr>
          <w:rFonts w:hint="default" w:ascii="Times New Roman" w:hAnsi="Times New Roman" w:eastAsia="宋体" w:cs="Times New Roman"/>
          <w:b/>
          <w:bCs/>
          <w:sz w:val="21"/>
          <w:szCs w:val="15"/>
          <w:u w:val="single"/>
        </w:rPr>
      </w:pPr>
      <w:r>
        <w:rPr>
          <w:rFonts w:hint="default" w:ascii="Times New Roman" w:hAnsi="Times New Roman" w:eastAsia="宋体" w:cs="Times New Roman"/>
          <w:b/>
          <w:bCs/>
          <w:sz w:val="21"/>
          <w:szCs w:val="15"/>
          <w:u w:val="single"/>
        </w:rPr>
        <w:t>表6.4-9  地下水环境质量监测点位</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19"/>
        <w:gridCol w:w="4628"/>
        <w:gridCol w:w="3671"/>
      </w:tblGrid>
      <w:tr w14:paraId="3B7AD2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9" w:type="pct"/>
            <w:vAlign w:val="center"/>
          </w:tcPr>
          <w:p w14:paraId="2878FDD5">
            <w:pPr>
              <w:pStyle w:val="115"/>
              <w:keepNext w:val="0"/>
              <w:keepLines w:val="0"/>
              <w:suppressLineNumbers w:val="0"/>
              <w:spacing w:before="0" w:beforeAutospacing="0" w:after="0" w:afterAutospacing="0"/>
              <w:ind w:left="0" w:right="0"/>
              <w:rPr>
                <w:rFonts w:hint="default" w:ascii="Times New Roman" w:hAnsi="Times New Roman" w:eastAsia="宋体" w:cs="Times New Roman"/>
                <w:b/>
                <w:bCs/>
                <w:u w:val="single"/>
              </w:rPr>
            </w:pPr>
            <w:r>
              <w:rPr>
                <w:rFonts w:hint="default" w:ascii="Times New Roman" w:hAnsi="Times New Roman" w:eastAsia="宋体" w:cs="Times New Roman"/>
                <w:b/>
                <w:bCs/>
                <w:u w:val="single"/>
              </w:rPr>
              <w:t>编号</w:t>
            </w:r>
          </w:p>
        </w:tc>
        <w:tc>
          <w:tcPr>
            <w:tcW w:w="2538" w:type="pct"/>
            <w:vAlign w:val="center"/>
          </w:tcPr>
          <w:p w14:paraId="57B192DD">
            <w:pPr>
              <w:pStyle w:val="115"/>
              <w:keepNext w:val="0"/>
              <w:keepLines w:val="0"/>
              <w:suppressLineNumbers w:val="0"/>
              <w:spacing w:before="0" w:beforeAutospacing="0" w:after="0" w:afterAutospacing="0"/>
              <w:ind w:left="0" w:right="0"/>
              <w:rPr>
                <w:rFonts w:hint="default" w:ascii="Times New Roman" w:hAnsi="Times New Roman" w:eastAsia="宋体" w:cs="Times New Roman"/>
                <w:b/>
                <w:bCs/>
                <w:u w:val="single"/>
              </w:rPr>
            </w:pPr>
            <w:r>
              <w:rPr>
                <w:rFonts w:hint="default" w:ascii="Times New Roman" w:hAnsi="Times New Roman" w:eastAsia="宋体" w:cs="Times New Roman"/>
                <w:b/>
                <w:bCs/>
                <w:u w:val="single"/>
              </w:rPr>
              <w:t>监测点位</w:t>
            </w:r>
          </w:p>
        </w:tc>
        <w:tc>
          <w:tcPr>
            <w:tcW w:w="2013" w:type="pct"/>
            <w:vAlign w:val="center"/>
          </w:tcPr>
          <w:p w14:paraId="54C94501">
            <w:pPr>
              <w:pStyle w:val="115"/>
              <w:keepNext w:val="0"/>
              <w:keepLines w:val="0"/>
              <w:suppressLineNumbers w:val="0"/>
              <w:spacing w:before="0" w:beforeAutospacing="0" w:after="0" w:afterAutospacing="0"/>
              <w:ind w:left="0" w:right="0"/>
              <w:rPr>
                <w:rFonts w:hint="default" w:ascii="Times New Roman" w:hAnsi="Times New Roman" w:eastAsia="宋体" w:cs="Times New Roman"/>
                <w:b/>
                <w:bCs/>
                <w:u w:val="single"/>
              </w:rPr>
            </w:pPr>
            <w:r>
              <w:rPr>
                <w:rFonts w:hint="default" w:ascii="Times New Roman" w:hAnsi="Times New Roman" w:eastAsia="宋体" w:cs="Times New Roman"/>
                <w:b/>
                <w:bCs/>
                <w:u w:val="single"/>
              </w:rPr>
              <w:t>与本项目位置关系</w:t>
            </w:r>
          </w:p>
        </w:tc>
      </w:tr>
      <w:tr w14:paraId="3CB448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9" w:type="pct"/>
            <w:vAlign w:val="center"/>
          </w:tcPr>
          <w:p w14:paraId="46A24F69">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DY1</w:t>
            </w:r>
          </w:p>
        </w:tc>
        <w:tc>
          <w:tcPr>
            <w:tcW w:w="2538" w:type="pct"/>
            <w:vAlign w:val="center"/>
          </w:tcPr>
          <w:p w14:paraId="0D286A27">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kern w:val="0"/>
                <w:szCs w:val="21"/>
                <w:u w:val="single"/>
              </w:rPr>
              <w:t>本技改项目原料仓库与洗车场中间位置</w:t>
            </w:r>
          </w:p>
        </w:tc>
        <w:tc>
          <w:tcPr>
            <w:tcW w:w="2013" w:type="pct"/>
            <w:vAlign w:val="center"/>
          </w:tcPr>
          <w:p w14:paraId="7A6BD8F7">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东北500m</w:t>
            </w:r>
          </w:p>
        </w:tc>
      </w:tr>
      <w:tr w14:paraId="545408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9" w:type="pct"/>
            <w:vAlign w:val="center"/>
          </w:tcPr>
          <w:p w14:paraId="54D69FE2">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DY2</w:t>
            </w:r>
          </w:p>
        </w:tc>
        <w:tc>
          <w:tcPr>
            <w:tcW w:w="2538" w:type="pct"/>
            <w:vAlign w:val="center"/>
          </w:tcPr>
          <w:p w14:paraId="12C031D8">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kern w:val="0"/>
                <w:szCs w:val="21"/>
                <w:u w:val="single"/>
              </w:rPr>
              <w:t>项目东南面1500m处金兰村水井</w:t>
            </w:r>
          </w:p>
        </w:tc>
        <w:tc>
          <w:tcPr>
            <w:tcW w:w="2013" w:type="pct"/>
            <w:vAlign w:val="center"/>
          </w:tcPr>
          <w:p w14:paraId="2468684B">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东侧2100m</w:t>
            </w:r>
          </w:p>
        </w:tc>
      </w:tr>
      <w:tr w14:paraId="5C6239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9" w:type="pct"/>
            <w:vAlign w:val="center"/>
          </w:tcPr>
          <w:p w14:paraId="25032345">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DY3</w:t>
            </w:r>
          </w:p>
        </w:tc>
        <w:tc>
          <w:tcPr>
            <w:tcW w:w="2538" w:type="pct"/>
            <w:vAlign w:val="center"/>
          </w:tcPr>
          <w:p w14:paraId="4BD8222C">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kern w:val="0"/>
                <w:szCs w:val="21"/>
                <w:u w:val="single"/>
              </w:rPr>
              <w:t>西面2080m金源社区水井</w:t>
            </w:r>
          </w:p>
        </w:tc>
        <w:tc>
          <w:tcPr>
            <w:tcW w:w="2013" w:type="pct"/>
            <w:vAlign w:val="center"/>
          </w:tcPr>
          <w:p w14:paraId="768841A2">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西侧1400m</w:t>
            </w:r>
          </w:p>
        </w:tc>
      </w:tr>
      <w:tr w14:paraId="499E74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9" w:type="pct"/>
            <w:vAlign w:val="center"/>
          </w:tcPr>
          <w:p w14:paraId="052B8057">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DY4</w:t>
            </w:r>
          </w:p>
        </w:tc>
        <w:tc>
          <w:tcPr>
            <w:tcW w:w="2538" w:type="pct"/>
            <w:vAlign w:val="center"/>
          </w:tcPr>
          <w:p w14:paraId="2636382A">
            <w:pPr>
              <w:pStyle w:val="115"/>
              <w:keepNext w:val="0"/>
              <w:keepLines w:val="0"/>
              <w:suppressLineNumbers w:val="0"/>
              <w:spacing w:before="0" w:beforeAutospacing="0" w:after="0" w:afterAutospacing="0"/>
              <w:ind w:left="0" w:right="0"/>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捷瑞化工废水池东侧</w:t>
            </w:r>
          </w:p>
        </w:tc>
        <w:tc>
          <w:tcPr>
            <w:tcW w:w="2013" w:type="pct"/>
            <w:vAlign w:val="center"/>
          </w:tcPr>
          <w:p w14:paraId="100250D4">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东侧1000m</w:t>
            </w:r>
          </w:p>
        </w:tc>
      </w:tr>
      <w:tr w14:paraId="673827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jc w:val="center"/>
        </w:trPr>
        <w:tc>
          <w:tcPr>
            <w:tcW w:w="449" w:type="pct"/>
            <w:vAlign w:val="center"/>
          </w:tcPr>
          <w:p w14:paraId="54AF92B1">
            <w:pPr>
              <w:pStyle w:val="115"/>
              <w:keepNext w:val="0"/>
              <w:keepLines w:val="0"/>
              <w:suppressLineNumbers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DY5</w:t>
            </w:r>
          </w:p>
        </w:tc>
        <w:tc>
          <w:tcPr>
            <w:tcW w:w="2538" w:type="pct"/>
            <w:vAlign w:val="center"/>
          </w:tcPr>
          <w:p w14:paraId="453EBF8C">
            <w:pPr>
              <w:pStyle w:val="115"/>
              <w:keepNext w:val="0"/>
              <w:keepLines w:val="0"/>
              <w:suppressLineNumbers w:val="0"/>
              <w:spacing w:before="0" w:beforeAutospacing="0" w:after="0" w:afterAutospacing="0"/>
              <w:ind w:left="0" w:right="0"/>
              <w:rPr>
                <w:rFonts w:hint="default" w:ascii="Times New Roman" w:hAnsi="Times New Roman" w:eastAsia="宋体" w:cs="Times New Roman"/>
                <w:kern w:val="0"/>
                <w:szCs w:val="21"/>
                <w:u w:val="single"/>
              </w:rPr>
            </w:pPr>
            <w:bookmarkStart w:id="316" w:name="_Hlk116893269"/>
            <w:r>
              <w:rPr>
                <w:rFonts w:hint="default" w:ascii="Times New Roman" w:hAnsi="Times New Roman" w:eastAsia="宋体" w:cs="Times New Roman"/>
                <w:kern w:val="0"/>
                <w:szCs w:val="21"/>
                <w:u w:val="single"/>
              </w:rPr>
              <w:t>新竹村水井</w:t>
            </w:r>
            <w:bookmarkEnd w:id="316"/>
          </w:p>
        </w:tc>
        <w:tc>
          <w:tcPr>
            <w:tcW w:w="2013" w:type="pct"/>
            <w:vAlign w:val="center"/>
          </w:tcPr>
          <w:p w14:paraId="1E8BCB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东南650m</w:t>
            </w:r>
          </w:p>
        </w:tc>
      </w:tr>
    </w:tbl>
    <w:p w14:paraId="4CD050A0">
      <w:pPr>
        <w:spacing w:line="360" w:lineRule="auto"/>
        <w:ind w:firstLine="480"/>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（2）监测因子：水位。</w:t>
      </w:r>
    </w:p>
    <w:p w14:paraId="38C9AF0C">
      <w:pPr>
        <w:spacing w:line="360" w:lineRule="auto"/>
        <w:ind w:firstLine="480"/>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（3）监测频次：监测1天，每天一次。</w:t>
      </w:r>
    </w:p>
    <w:p w14:paraId="0B1F39EA">
      <w:pPr>
        <w:spacing w:line="360" w:lineRule="auto"/>
        <w:ind w:firstLine="480"/>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（4）监测结果：监测结果见下表。</w:t>
      </w:r>
    </w:p>
    <w:p w14:paraId="11F06BF4">
      <w:pPr>
        <w:pStyle w:val="82"/>
        <w:spacing w:line="360" w:lineRule="auto"/>
        <w:jc w:val="center"/>
        <w:rPr>
          <w:rFonts w:hint="default" w:ascii="Times New Roman" w:hAnsi="Times New Roman" w:eastAsia="宋体" w:cs="Times New Roman"/>
          <w:b/>
          <w:bCs/>
          <w:sz w:val="21"/>
          <w:szCs w:val="15"/>
          <w:u w:val="single"/>
        </w:rPr>
      </w:pPr>
      <w:r>
        <w:rPr>
          <w:rFonts w:hint="default" w:ascii="Times New Roman" w:hAnsi="Times New Roman" w:eastAsia="宋体" w:cs="Times New Roman"/>
          <w:b/>
          <w:bCs/>
          <w:sz w:val="21"/>
          <w:szCs w:val="15"/>
          <w:u w:val="single"/>
        </w:rPr>
        <w:t>表6.4-10 引用地下水水位监测结果</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91"/>
        <w:gridCol w:w="4473"/>
        <w:gridCol w:w="3554"/>
      </w:tblGrid>
      <w:tr w14:paraId="542D23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8" w:type="pct"/>
            <w:vAlign w:val="center"/>
          </w:tcPr>
          <w:p w14:paraId="0954D907">
            <w:pPr>
              <w:keepNext/>
              <w:keepLines/>
              <w:suppressLineNumbers w:val="0"/>
              <w:spacing w:before="0" w:beforeAutospacing="0" w:after="0" w:afterAutospacing="0"/>
              <w:ind w:left="0" w:right="0"/>
              <w:jc w:val="center"/>
              <w:rPr>
                <w:rFonts w:hint="default" w:ascii="Times New Roman" w:hAnsi="Times New Roman" w:eastAsia="宋体" w:cs="Times New Roman"/>
                <w:b/>
                <w:bCs/>
                <w:kern w:val="0"/>
                <w:szCs w:val="21"/>
                <w:u w:val="single"/>
              </w:rPr>
            </w:pPr>
            <w:r>
              <w:rPr>
                <w:rFonts w:hint="default" w:ascii="Times New Roman" w:hAnsi="Times New Roman" w:eastAsia="宋体" w:cs="Times New Roman"/>
                <w:b/>
                <w:bCs/>
                <w:kern w:val="0"/>
                <w:szCs w:val="21"/>
                <w:u w:val="single"/>
              </w:rPr>
              <w:t>编号</w:t>
            </w:r>
          </w:p>
        </w:tc>
        <w:tc>
          <w:tcPr>
            <w:tcW w:w="2453" w:type="pct"/>
            <w:vAlign w:val="center"/>
          </w:tcPr>
          <w:p w14:paraId="446A6417">
            <w:pPr>
              <w:keepNext/>
              <w:keepLines/>
              <w:suppressLineNumbers w:val="0"/>
              <w:spacing w:before="0" w:beforeAutospacing="0" w:after="0" w:afterAutospacing="0"/>
              <w:ind w:left="0" w:right="0"/>
              <w:jc w:val="center"/>
              <w:rPr>
                <w:rFonts w:hint="default" w:ascii="Times New Roman" w:hAnsi="Times New Roman" w:eastAsia="宋体" w:cs="Times New Roman"/>
                <w:b/>
                <w:bCs/>
                <w:kern w:val="0"/>
                <w:szCs w:val="21"/>
                <w:u w:val="single"/>
              </w:rPr>
            </w:pPr>
            <w:r>
              <w:rPr>
                <w:rFonts w:hint="default" w:ascii="Times New Roman" w:hAnsi="Times New Roman" w:eastAsia="宋体" w:cs="Times New Roman"/>
                <w:b/>
                <w:bCs/>
                <w:kern w:val="0"/>
                <w:szCs w:val="21"/>
                <w:u w:val="single"/>
              </w:rPr>
              <w:t>与本项目位置关系</w:t>
            </w:r>
          </w:p>
        </w:tc>
        <w:tc>
          <w:tcPr>
            <w:tcW w:w="1949" w:type="pct"/>
            <w:vAlign w:val="center"/>
          </w:tcPr>
          <w:p w14:paraId="052B5C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szCs w:val="21"/>
                <w:u w:val="single"/>
              </w:rPr>
            </w:pPr>
            <w:r>
              <w:rPr>
                <w:rFonts w:hint="default" w:ascii="Times New Roman" w:hAnsi="Times New Roman" w:eastAsia="宋体" w:cs="Times New Roman"/>
                <w:b/>
                <w:bCs/>
                <w:kern w:val="0"/>
                <w:szCs w:val="21"/>
                <w:u w:val="single"/>
              </w:rPr>
              <w:t>地下水埋深m</w:t>
            </w:r>
          </w:p>
        </w:tc>
      </w:tr>
      <w:tr w14:paraId="3C500F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8" w:type="pct"/>
            <w:vAlign w:val="center"/>
          </w:tcPr>
          <w:p w14:paraId="56D2D06C">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DY1</w:t>
            </w:r>
          </w:p>
        </w:tc>
        <w:tc>
          <w:tcPr>
            <w:tcW w:w="2453" w:type="pct"/>
            <w:vAlign w:val="center"/>
          </w:tcPr>
          <w:p w14:paraId="5CB0984F">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东北500m</w:t>
            </w:r>
          </w:p>
        </w:tc>
        <w:tc>
          <w:tcPr>
            <w:tcW w:w="1949" w:type="pct"/>
            <w:vAlign w:val="center"/>
          </w:tcPr>
          <w:p w14:paraId="7885E0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6</w:t>
            </w:r>
          </w:p>
        </w:tc>
      </w:tr>
      <w:tr w14:paraId="703562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8" w:type="pct"/>
            <w:vAlign w:val="center"/>
          </w:tcPr>
          <w:p w14:paraId="6DCFF1D8">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DY2</w:t>
            </w:r>
          </w:p>
        </w:tc>
        <w:tc>
          <w:tcPr>
            <w:tcW w:w="2453" w:type="pct"/>
            <w:vAlign w:val="center"/>
          </w:tcPr>
          <w:p w14:paraId="71EF0214">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东侧2100m</w:t>
            </w:r>
          </w:p>
        </w:tc>
        <w:tc>
          <w:tcPr>
            <w:tcW w:w="1949" w:type="pct"/>
            <w:vAlign w:val="center"/>
          </w:tcPr>
          <w:p w14:paraId="40319F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13</w:t>
            </w:r>
          </w:p>
        </w:tc>
      </w:tr>
      <w:tr w14:paraId="20ADBD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8" w:type="pct"/>
            <w:vAlign w:val="center"/>
          </w:tcPr>
          <w:p w14:paraId="5FD29E58">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DY3</w:t>
            </w:r>
          </w:p>
        </w:tc>
        <w:tc>
          <w:tcPr>
            <w:tcW w:w="2453" w:type="pct"/>
            <w:vAlign w:val="center"/>
          </w:tcPr>
          <w:p w14:paraId="1F3C0868">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西侧1400m</w:t>
            </w:r>
          </w:p>
        </w:tc>
        <w:tc>
          <w:tcPr>
            <w:tcW w:w="1949" w:type="pct"/>
            <w:vAlign w:val="center"/>
          </w:tcPr>
          <w:p w14:paraId="625052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9</w:t>
            </w:r>
          </w:p>
        </w:tc>
      </w:tr>
      <w:tr w14:paraId="5263BA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8" w:type="pct"/>
            <w:vAlign w:val="center"/>
          </w:tcPr>
          <w:p w14:paraId="469B527C">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DY4</w:t>
            </w:r>
          </w:p>
        </w:tc>
        <w:tc>
          <w:tcPr>
            <w:tcW w:w="2453" w:type="pct"/>
            <w:vAlign w:val="center"/>
          </w:tcPr>
          <w:p w14:paraId="57BF25D4">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u w:val="single"/>
              </w:rPr>
              <w:t>东侧1000m</w:t>
            </w:r>
          </w:p>
        </w:tc>
        <w:tc>
          <w:tcPr>
            <w:tcW w:w="1949" w:type="pct"/>
            <w:vAlign w:val="center"/>
          </w:tcPr>
          <w:p w14:paraId="02F273F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5</w:t>
            </w:r>
          </w:p>
        </w:tc>
      </w:tr>
      <w:tr w14:paraId="7CBFEB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98" w:type="pct"/>
            <w:vAlign w:val="center"/>
          </w:tcPr>
          <w:p w14:paraId="3501333B">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DY5</w:t>
            </w:r>
          </w:p>
        </w:tc>
        <w:tc>
          <w:tcPr>
            <w:tcW w:w="2453" w:type="pct"/>
            <w:vAlign w:val="center"/>
          </w:tcPr>
          <w:p w14:paraId="75EABA9D">
            <w:pPr>
              <w:keepNext/>
              <w:keepLines/>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szCs w:val="21"/>
                <w:u w:val="single"/>
              </w:rPr>
              <w:t>东南650m</w:t>
            </w:r>
          </w:p>
        </w:tc>
        <w:tc>
          <w:tcPr>
            <w:tcW w:w="1949" w:type="pct"/>
            <w:vAlign w:val="center"/>
          </w:tcPr>
          <w:p w14:paraId="3C7D3A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10</w:t>
            </w:r>
          </w:p>
        </w:tc>
      </w:tr>
    </w:tbl>
    <w:p w14:paraId="352C8444">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6.4.4</w:t>
      </w:r>
      <w:r>
        <w:rPr>
          <w:rFonts w:hint="default" w:ascii="Times New Roman" w:hAnsi="Times New Roman" w:eastAsia="宋体" w:cs="Times New Roman"/>
          <w:color w:val="000000"/>
          <w:sz w:val="24"/>
        </w:rPr>
        <w:t>土壤质量现状调查</w:t>
      </w:r>
    </w:p>
    <w:p w14:paraId="0BA36E99">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为了解项目所在地土壤质量现状，本次评价委托湖南九鼎环保科技有限公司进行了一期补充监测。</w:t>
      </w:r>
    </w:p>
    <w:p w14:paraId="5BE7D4A9">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监测点位：结合项目基本情况及周围环境特征，监测点设置如下。</w:t>
      </w:r>
    </w:p>
    <w:p w14:paraId="084CC079">
      <w:pPr>
        <w:pStyle w:val="12"/>
        <w:spacing w:line="360" w:lineRule="auto"/>
        <w:jc w:val="center"/>
        <w:rPr>
          <w:rFonts w:hint="default" w:ascii="Times New Roman" w:hAnsi="Times New Roman" w:eastAsia="宋体" w:cs="Times New Roman"/>
          <w:b/>
          <w:bCs/>
          <w:sz w:val="21"/>
          <w:szCs w:val="21"/>
        </w:rPr>
      </w:pPr>
    </w:p>
    <w:p w14:paraId="6273D398">
      <w:pPr>
        <w:pStyle w:val="12"/>
        <w:spacing w:line="360" w:lineRule="auto"/>
        <w:jc w:val="center"/>
        <w:rPr>
          <w:rFonts w:hint="default" w:ascii="Times New Roman" w:hAnsi="Times New Roman" w:eastAsia="宋体" w:cs="Times New Roman"/>
          <w:b/>
          <w:bCs/>
          <w:sz w:val="21"/>
          <w:szCs w:val="21"/>
        </w:rPr>
      </w:pPr>
    </w:p>
    <w:p w14:paraId="542A245E">
      <w:pPr>
        <w:pStyle w:val="12"/>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表6.4-11  监测点及监测因子</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565"/>
        <w:gridCol w:w="2611"/>
        <w:gridCol w:w="2622"/>
        <w:gridCol w:w="2320"/>
      </w:tblGrid>
      <w:tr w14:paraId="70EF4E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58" w:type="pct"/>
            <w:vAlign w:val="center"/>
          </w:tcPr>
          <w:p w14:paraId="26102E9A">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编号</w:t>
            </w:r>
          </w:p>
        </w:tc>
        <w:tc>
          <w:tcPr>
            <w:tcW w:w="2870" w:type="pct"/>
            <w:gridSpan w:val="2"/>
            <w:vAlign w:val="center"/>
          </w:tcPr>
          <w:p w14:paraId="5358A761">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采样点位/位置</w:t>
            </w:r>
          </w:p>
        </w:tc>
        <w:tc>
          <w:tcPr>
            <w:tcW w:w="1272" w:type="pct"/>
            <w:vAlign w:val="center"/>
          </w:tcPr>
          <w:p w14:paraId="42E17B04">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监测因子</w:t>
            </w:r>
          </w:p>
        </w:tc>
      </w:tr>
      <w:tr w14:paraId="65398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58" w:type="pct"/>
            <w:vAlign w:val="center"/>
          </w:tcPr>
          <w:p w14:paraId="74E4B64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T1</w:t>
            </w:r>
          </w:p>
          <w:p w14:paraId="6F9B4F69">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表层样</w:t>
            </w:r>
          </w:p>
        </w:tc>
        <w:tc>
          <w:tcPr>
            <w:tcW w:w="1432" w:type="pct"/>
            <w:vAlign w:val="center"/>
          </w:tcPr>
          <w:p w14:paraId="7099DAD3">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b/>
                <w:color w:val="000000" w:themeColor="text1"/>
                <w:szCs w:val="21"/>
                <w14:textFill>
                  <w14:solidFill>
                    <w14:schemeClr w14:val="tx1"/>
                  </w14:solidFill>
                </w14:textFill>
              </w:rPr>
              <w:t>`</w:t>
            </w:r>
            <w:r>
              <w:rPr>
                <w:rFonts w:hint="default" w:ascii="Times New Roman" w:hAnsi="Times New Roman" w:eastAsia="宋体" w:cs="Times New Roman"/>
                <w:color w:val="000000" w:themeColor="text1"/>
                <w:szCs w:val="21"/>
                <w14:textFill>
                  <w14:solidFill>
                    <w14:schemeClr w14:val="tx1"/>
                  </w14:solidFill>
                </w14:textFill>
              </w:rPr>
              <w:t>项目厂区内</w:t>
            </w:r>
          </w:p>
        </w:tc>
        <w:tc>
          <w:tcPr>
            <w:tcW w:w="1438" w:type="pct"/>
            <w:vAlign w:val="center"/>
          </w:tcPr>
          <w:p w14:paraId="5FB799C0">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000000" w:themeColor="text1"/>
                <w:szCs w:val="21"/>
                <w14:textFill>
                  <w14:solidFill>
                    <w14:schemeClr w14:val="tx1"/>
                  </w14:solidFill>
                </w14:textFill>
              </w:rPr>
            </w:pPr>
            <w:r>
              <w:rPr>
                <w:rFonts w:hint="default" w:ascii="Times New Roman" w:hAnsi="Times New Roman" w:eastAsia="宋体" w:cs="Times New Roman"/>
                <w:bCs/>
                <w:color w:val="000000" w:themeColor="text1"/>
                <w:szCs w:val="21"/>
                <w14:textFill>
                  <w14:solidFill>
                    <w14:schemeClr w14:val="tx1"/>
                  </w14:solidFill>
                </w14:textFill>
              </w:rPr>
              <w:t>0~0.2m</w:t>
            </w:r>
          </w:p>
        </w:tc>
        <w:tc>
          <w:tcPr>
            <w:tcW w:w="1272" w:type="pct"/>
            <w:vAlign w:val="center"/>
          </w:tcPr>
          <w:p w14:paraId="64572EB6">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《土壤环境质量 建设用地土壤污染风险管控标准》(GB36600-2018)表1中基本45项+pH、石油烃</w:t>
            </w:r>
          </w:p>
        </w:tc>
      </w:tr>
      <w:tr w14:paraId="35B01B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858" w:type="pct"/>
            <w:vMerge w:val="restart"/>
            <w:vAlign w:val="center"/>
          </w:tcPr>
          <w:p w14:paraId="02A6E80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T2</w:t>
            </w:r>
          </w:p>
          <w:p w14:paraId="6E4725F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柱状样</w:t>
            </w:r>
          </w:p>
        </w:tc>
        <w:tc>
          <w:tcPr>
            <w:tcW w:w="1432" w:type="pct"/>
            <w:vMerge w:val="restart"/>
            <w:vAlign w:val="center"/>
          </w:tcPr>
          <w:p w14:paraId="2E2E7FC0">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项目厂区内</w:t>
            </w:r>
          </w:p>
        </w:tc>
        <w:tc>
          <w:tcPr>
            <w:tcW w:w="1438" w:type="pct"/>
            <w:vAlign w:val="center"/>
          </w:tcPr>
          <w:p w14:paraId="418D0D1C">
            <w:pPr>
              <w:keepNext w:val="0"/>
              <w:keepLines w:val="0"/>
              <w:suppressLineNumbers w:val="0"/>
              <w:autoSpaceDN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0~0.5m</w:t>
            </w:r>
          </w:p>
        </w:tc>
        <w:tc>
          <w:tcPr>
            <w:tcW w:w="1272" w:type="pct"/>
            <w:vMerge w:val="restart"/>
            <w:vAlign w:val="center"/>
          </w:tcPr>
          <w:p w14:paraId="1EE2BF75">
            <w:pPr>
              <w:pStyle w:val="116"/>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《土壤环境质量 建设用地土壤污染风险</w:t>
            </w:r>
          </w:p>
          <w:p w14:paraId="48C8A468">
            <w:pPr>
              <w:pStyle w:val="116"/>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管控标准》(GB36600-2018)表1中挥发性有机物27项、pH、石油烃</w:t>
            </w:r>
          </w:p>
        </w:tc>
      </w:tr>
      <w:tr w14:paraId="7229B9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858" w:type="pct"/>
            <w:vMerge w:val="continue"/>
            <w:vAlign w:val="center"/>
          </w:tcPr>
          <w:p w14:paraId="21FDA11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1432" w:type="pct"/>
            <w:vMerge w:val="continue"/>
            <w:vAlign w:val="center"/>
          </w:tcPr>
          <w:p w14:paraId="5D5CD0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1438" w:type="pct"/>
            <w:vAlign w:val="center"/>
          </w:tcPr>
          <w:p w14:paraId="36D020F5">
            <w:pPr>
              <w:keepNext w:val="0"/>
              <w:keepLines w:val="0"/>
              <w:suppressLineNumbers w:val="0"/>
              <w:autoSpaceDN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0.5~1.5m</w:t>
            </w:r>
          </w:p>
        </w:tc>
        <w:tc>
          <w:tcPr>
            <w:tcW w:w="1272" w:type="pct"/>
            <w:vMerge w:val="continue"/>
            <w:vAlign w:val="center"/>
          </w:tcPr>
          <w:p w14:paraId="4DA5F6D4">
            <w:pPr>
              <w:pStyle w:val="116"/>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0AC49F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858" w:type="pct"/>
            <w:vMerge w:val="continue"/>
            <w:vAlign w:val="center"/>
          </w:tcPr>
          <w:p w14:paraId="5C3029C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1432" w:type="pct"/>
            <w:vMerge w:val="continue"/>
            <w:vAlign w:val="center"/>
          </w:tcPr>
          <w:p w14:paraId="3D0F100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1438" w:type="pct"/>
            <w:vAlign w:val="center"/>
          </w:tcPr>
          <w:p w14:paraId="117A27E9">
            <w:pPr>
              <w:keepNext w:val="0"/>
              <w:keepLines w:val="0"/>
              <w:suppressLineNumbers w:val="0"/>
              <w:autoSpaceDN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1.5~3m</w:t>
            </w:r>
          </w:p>
        </w:tc>
        <w:tc>
          <w:tcPr>
            <w:tcW w:w="1272" w:type="pct"/>
            <w:vMerge w:val="continue"/>
            <w:vAlign w:val="center"/>
          </w:tcPr>
          <w:p w14:paraId="4BAB306F">
            <w:pPr>
              <w:pStyle w:val="116"/>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39A415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858" w:type="pct"/>
            <w:vMerge w:val="restart"/>
            <w:vAlign w:val="center"/>
          </w:tcPr>
          <w:p w14:paraId="23B8340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T3</w:t>
            </w:r>
          </w:p>
          <w:p w14:paraId="0823CE5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柱状样</w:t>
            </w:r>
          </w:p>
        </w:tc>
        <w:tc>
          <w:tcPr>
            <w:tcW w:w="1432" w:type="pct"/>
            <w:vMerge w:val="restart"/>
            <w:vAlign w:val="center"/>
          </w:tcPr>
          <w:p w14:paraId="6A5AEC4B">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项目厂区内</w:t>
            </w:r>
          </w:p>
        </w:tc>
        <w:tc>
          <w:tcPr>
            <w:tcW w:w="1438" w:type="pct"/>
            <w:vAlign w:val="center"/>
          </w:tcPr>
          <w:p w14:paraId="4BBE3295">
            <w:pPr>
              <w:keepNext w:val="0"/>
              <w:keepLines w:val="0"/>
              <w:suppressLineNumbers w:val="0"/>
              <w:autoSpaceDN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0~0.5m</w:t>
            </w:r>
          </w:p>
        </w:tc>
        <w:tc>
          <w:tcPr>
            <w:tcW w:w="1272" w:type="pct"/>
            <w:vMerge w:val="continue"/>
            <w:vAlign w:val="center"/>
          </w:tcPr>
          <w:p w14:paraId="3D41A750">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D719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858" w:type="pct"/>
            <w:vMerge w:val="continue"/>
            <w:vAlign w:val="center"/>
          </w:tcPr>
          <w:p w14:paraId="457419C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1432" w:type="pct"/>
            <w:vMerge w:val="continue"/>
            <w:vAlign w:val="center"/>
          </w:tcPr>
          <w:p w14:paraId="7A695F65">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8" w:type="pct"/>
            <w:vAlign w:val="center"/>
          </w:tcPr>
          <w:p w14:paraId="267FD9E0">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0.5~1.5m</w:t>
            </w:r>
          </w:p>
        </w:tc>
        <w:tc>
          <w:tcPr>
            <w:tcW w:w="1272" w:type="pct"/>
            <w:vMerge w:val="continue"/>
            <w:vAlign w:val="center"/>
          </w:tcPr>
          <w:p w14:paraId="3D3F6E46">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4E7FDE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858" w:type="pct"/>
            <w:vMerge w:val="continue"/>
            <w:vAlign w:val="center"/>
          </w:tcPr>
          <w:p w14:paraId="050F3C6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p>
        </w:tc>
        <w:tc>
          <w:tcPr>
            <w:tcW w:w="1432" w:type="pct"/>
            <w:vMerge w:val="continue"/>
            <w:vAlign w:val="center"/>
          </w:tcPr>
          <w:p w14:paraId="378226B3">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8" w:type="pct"/>
            <w:vAlign w:val="center"/>
          </w:tcPr>
          <w:p w14:paraId="0F802F05">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1.5~3m</w:t>
            </w:r>
          </w:p>
        </w:tc>
        <w:tc>
          <w:tcPr>
            <w:tcW w:w="1272" w:type="pct"/>
            <w:vMerge w:val="continue"/>
            <w:vAlign w:val="center"/>
          </w:tcPr>
          <w:p w14:paraId="515C463C">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66A81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858" w:type="pct"/>
            <w:vMerge w:val="restart"/>
            <w:vAlign w:val="center"/>
          </w:tcPr>
          <w:p w14:paraId="6C6A4ED3">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T4</w:t>
            </w:r>
          </w:p>
          <w:p w14:paraId="3EF698C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bCs/>
                <w:color w:val="000000" w:themeColor="text1"/>
                <w:szCs w:val="21"/>
                <w14:textFill>
                  <w14:solidFill>
                    <w14:schemeClr w14:val="tx1"/>
                  </w14:solidFill>
                </w14:textFill>
              </w:rPr>
              <w:t>柱状样</w:t>
            </w:r>
          </w:p>
        </w:tc>
        <w:tc>
          <w:tcPr>
            <w:tcW w:w="1432" w:type="pct"/>
            <w:vMerge w:val="restart"/>
            <w:vAlign w:val="center"/>
          </w:tcPr>
          <w:p w14:paraId="2BB0614A">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项目厂区内</w:t>
            </w:r>
          </w:p>
        </w:tc>
        <w:tc>
          <w:tcPr>
            <w:tcW w:w="1438" w:type="pct"/>
            <w:vAlign w:val="center"/>
          </w:tcPr>
          <w:p w14:paraId="22B2A186">
            <w:pPr>
              <w:keepNext w:val="0"/>
              <w:keepLines w:val="0"/>
              <w:suppressLineNumbers w:val="0"/>
              <w:autoSpaceDN w:val="0"/>
              <w:spacing w:before="0" w:beforeAutospacing="0" w:after="0" w:afterAutospacing="0"/>
              <w:ind w:left="0" w:right="0"/>
              <w:jc w:val="center"/>
              <w:textAlignment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0~0.5m</w:t>
            </w:r>
          </w:p>
        </w:tc>
        <w:tc>
          <w:tcPr>
            <w:tcW w:w="1272" w:type="pct"/>
            <w:vMerge w:val="continue"/>
            <w:vAlign w:val="center"/>
          </w:tcPr>
          <w:p w14:paraId="34A94BE9">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50473C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858" w:type="pct"/>
            <w:vMerge w:val="continue"/>
            <w:vAlign w:val="center"/>
          </w:tcPr>
          <w:p w14:paraId="388A3B1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1432" w:type="pct"/>
            <w:vMerge w:val="continue"/>
            <w:vAlign w:val="center"/>
          </w:tcPr>
          <w:p w14:paraId="3183502C">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8" w:type="pct"/>
            <w:vAlign w:val="center"/>
          </w:tcPr>
          <w:p w14:paraId="29FD8298">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0.5~1.5m</w:t>
            </w:r>
          </w:p>
        </w:tc>
        <w:tc>
          <w:tcPr>
            <w:tcW w:w="1272" w:type="pct"/>
            <w:vMerge w:val="continue"/>
            <w:vAlign w:val="center"/>
          </w:tcPr>
          <w:p w14:paraId="0C0E5695">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1E81FB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0" w:hRule="atLeast"/>
          <w:jc w:val="center"/>
        </w:trPr>
        <w:tc>
          <w:tcPr>
            <w:tcW w:w="858" w:type="pct"/>
            <w:vMerge w:val="continue"/>
            <w:vAlign w:val="center"/>
          </w:tcPr>
          <w:p w14:paraId="1EC045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p>
        </w:tc>
        <w:tc>
          <w:tcPr>
            <w:tcW w:w="1432" w:type="pct"/>
            <w:vMerge w:val="continue"/>
            <w:vAlign w:val="center"/>
          </w:tcPr>
          <w:p w14:paraId="1CCB0447">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1438" w:type="pct"/>
            <w:vAlign w:val="center"/>
          </w:tcPr>
          <w:p w14:paraId="7D799412">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1.5~3m</w:t>
            </w:r>
          </w:p>
        </w:tc>
        <w:tc>
          <w:tcPr>
            <w:tcW w:w="1272" w:type="pct"/>
            <w:vMerge w:val="continue"/>
            <w:vAlign w:val="center"/>
          </w:tcPr>
          <w:p w14:paraId="513EAC51">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68D533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58" w:type="pct"/>
            <w:vAlign w:val="center"/>
          </w:tcPr>
          <w:p w14:paraId="36EF740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T5</w:t>
            </w:r>
          </w:p>
          <w:p w14:paraId="40560A9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表层样</w:t>
            </w:r>
          </w:p>
        </w:tc>
        <w:tc>
          <w:tcPr>
            <w:tcW w:w="1432" w:type="pct"/>
            <w:vAlign w:val="center"/>
          </w:tcPr>
          <w:p w14:paraId="50D8507A">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厂区外西北侧</w:t>
            </w:r>
          </w:p>
        </w:tc>
        <w:tc>
          <w:tcPr>
            <w:tcW w:w="1438" w:type="pct"/>
            <w:vAlign w:val="center"/>
          </w:tcPr>
          <w:p w14:paraId="6746FB2C">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0~0.2m</w:t>
            </w:r>
          </w:p>
        </w:tc>
        <w:tc>
          <w:tcPr>
            <w:tcW w:w="1272" w:type="pct"/>
            <w:vMerge w:val="continue"/>
            <w:vAlign w:val="center"/>
          </w:tcPr>
          <w:p w14:paraId="01CED3C6">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p>
        </w:tc>
      </w:tr>
      <w:tr w14:paraId="21912B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858" w:type="pct"/>
            <w:vAlign w:val="center"/>
          </w:tcPr>
          <w:p w14:paraId="78FCB68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T6</w:t>
            </w:r>
          </w:p>
          <w:p w14:paraId="3F6ED74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表层样</w:t>
            </w:r>
          </w:p>
        </w:tc>
        <w:tc>
          <w:tcPr>
            <w:tcW w:w="1432" w:type="pct"/>
            <w:vAlign w:val="center"/>
          </w:tcPr>
          <w:p w14:paraId="137EC671">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厂区外西南侧</w:t>
            </w:r>
          </w:p>
        </w:tc>
        <w:tc>
          <w:tcPr>
            <w:tcW w:w="1438" w:type="pct"/>
            <w:vAlign w:val="center"/>
          </w:tcPr>
          <w:p w14:paraId="20DA081F">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0~0.2m</w:t>
            </w:r>
          </w:p>
        </w:tc>
        <w:tc>
          <w:tcPr>
            <w:tcW w:w="1272" w:type="pct"/>
            <w:vAlign w:val="center"/>
          </w:tcPr>
          <w:p w14:paraId="13AC2627">
            <w:pPr>
              <w:pStyle w:val="116"/>
              <w:keepNext w:val="0"/>
              <w:keepLines w:val="0"/>
              <w:suppressLineNumbers w:val="0"/>
              <w:autoSpaceDE/>
              <w:autoSpaceDN/>
              <w:adjustRightInd/>
              <w:spacing w:before="0" w:beforeAutospacing="0" w:after="0" w:afterAutospacing="0"/>
              <w:ind w:left="0" w:right="0"/>
              <w:jc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《土壤环境质量 建设用地土壤污染风险管控标准》(GB36600-2018)表1中基本45项+pH、石油烃</w:t>
            </w:r>
          </w:p>
        </w:tc>
      </w:tr>
    </w:tbl>
    <w:p w14:paraId="31499F07">
      <w:pPr>
        <w:pStyle w:val="12"/>
        <w:spacing w:line="360" w:lineRule="auto"/>
        <w:ind w:firstLine="482" w:firstLineChars="200"/>
        <w:rPr>
          <w:rFonts w:hint="default" w:ascii="Times New Roman" w:hAnsi="Times New Roman" w:eastAsia="宋体" w:cs="Times New Roman"/>
          <w:b/>
        </w:rPr>
      </w:pPr>
      <w:r>
        <w:rPr>
          <w:rFonts w:hint="default" w:ascii="Times New Roman" w:hAnsi="Times New Roman" w:eastAsia="宋体" w:cs="Times New Roman"/>
          <w:b/>
        </w:rPr>
        <w:t>监测统计结果：</w:t>
      </w:r>
    </w:p>
    <w:p w14:paraId="4655C9FA">
      <w:pPr>
        <w:pStyle w:val="57"/>
        <w:spacing w:before="163"/>
        <w:rPr>
          <w:rFonts w:hint="default" w:ascii="Times New Roman" w:hAnsi="Times New Roman" w:eastAsia="宋体" w:cs="Times New Roman"/>
          <w:color w:val="auto"/>
        </w:rPr>
      </w:pPr>
      <w:r>
        <w:rPr>
          <w:rFonts w:hint="default" w:ascii="Times New Roman" w:hAnsi="Times New Roman" w:eastAsia="宋体" w:cs="Times New Roman"/>
          <w:color w:val="auto"/>
        </w:rPr>
        <w:t>表6.4-12  本项目土壤表监测统计结果</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41"/>
        <w:gridCol w:w="1252"/>
        <w:gridCol w:w="1596"/>
        <w:gridCol w:w="1027"/>
        <w:gridCol w:w="1368"/>
        <w:gridCol w:w="1368"/>
        <w:gridCol w:w="1366"/>
      </w:tblGrid>
      <w:tr w14:paraId="31B217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2" w:hRule="atLeast"/>
          <w:tblHeader/>
        </w:trPr>
        <w:tc>
          <w:tcPr>
            <w:tcW w:w="626" w:type="pct"/>
            <w:shd w:val="clear" w:color="auto" w:fill="auto"/>
            <w:vAlign w:val="center"/>
          </w:tcPr>
          <w:p w14:paraId="0348097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检测点位</w:t>
            </w:r>
          </w:p>
        </w:tc>
        <w:tc>
          <w:tcPr>
            <w:tcW w:w="687" w:type="pct"/>
            <w:shd w:val="clear" w:color="auto" w:fill="auto"/>
            <w:vAlign w:val="center"/>
          </w:tcPr>
          <w:p w14:paraId="74A1B00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样品状态</w:t>
            </w:r>
          </w:p>
        </w:tc>
        <w:tc>
          <w:tcPr>
            <w:tcW w:w="875" w:type="pct"/>
            <w:shd w:val="clear" w:color="auto" w:fill="auto"/>
            <w:vAlign w:val="center"/>
          </w:tcPr>
          <w:p w14:paraId="496D4E5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检测项目</w:t>
            </w:r>
          </w:p>
        </w:tc>
        <w:tc>
          <w:tcPr>
            <w:tcW w:w="563" w:type="pct"/>
            <w:shd w:val="clear" w:color="auto" w:fill="auto"/>
            <w:vAlign w:val="center"/>
          </w:tcPr>
          <w:p w14:paraId="71542A8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检测结果</w:t>
            </w:r>
          </w:p>
        </w:tc>
        <w:tc>
          <w:tcPr>
            <w:tcW w:w="750" w:type="pct"/>
            <w:shd w:val="clear" w:color="auto" w:fill="auto"/>
            <w:vAlign w:val="center"/>
          </w:tcPr>
          <w:p w14:paraId="1DAF7FB9">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计量单位</w:t>
            </w:r>
          </w:p>
        </w:tc>
        <w:tc>
          <w:tcPr>
            <w:tcW w:w="750" w:type="pct"/>
            <w:shd w:val="clear" w:color="auto" w:fill="auto"/>
            <w:vAlign w:val="center"/>
          </w:tcPr>
          <w:p w14:paraId="2EB7627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标准限值</w:t>
            </w:r>
          </w:p>
        </w:tc>
        <w:tc>
          <w:tcPr>
            <w:tcW w:w="749" w:type="pct"/>
            <w:shd w:val="clear" w:color="auto" w:fill="auto"/>
            <w:vAlign w:val="center"/>
          </w:tcPr>
          <w:p w14:paraId="07FA50A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标准指数Pi</w:t>
            </w:r>
          </w:p>
        </w:tc>
      </w:tr>
      <w:tr w14:paraId="3B9BA8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3DBD7C4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T1表层样</w:t>
            </w:r>
          </w:p>
          <w:p w14:paraId="6E2964D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2678499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0-0.2m</w:t>
            </w:r>
          </w:p>
        </w:tc>
        <w:tc>
          <w:tcPr>
            <w:tcW w:w="687" w:type="pct"/>
            <w:vMerge w:val="restart"/>
            <w:shd w:val="clear" w:color="auto" w:fill="auto"/>
            <w:vAlign w:val="center"/>
          </w:tcPr>
          <w:p w14:paraId="039E9A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干、红棕、中壤土、少量植被</w:t>
            </w:r>
          </w:p>
        </w:tc>
        <w:tc>
          <w:tcPr>
            <w:tcW w:w="875" w:type="pct"/>
            <w:shd w:val="clear" w:color="auto" w:fill="auto"/>
            <w:vAlign w:val="center"/>
          </w:tcPr>
          <w:p w14:paraId="34FFA8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7ED702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0.188</w:t>
            </w:r>
          </w:p>
        </w:tc>
        <w:tc>
          <w:tcPr>
            <w:tcW w:w="750" w:type="pct"/>
            <w:shd w:val="clear" w:color="auto" w:fill="auto"/>
            <w:vAlign w:val="center"/>
          </w:tcPr>
          <w:p w14:paraId="7C8AE6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6309B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52F8F3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2453F6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12E50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79D80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3C219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砷</w:t>
            </w:r>
          </w:p>
        </w:tc>
        <w:tc>
          <w:tcPr>
            <w:tcW w:w="563" w:type="pct"/>
            <w:shd w:val="clear" w:color="auto" w:fill="auto"/>
            <w:vAlign w:val="center"/>
          </w:tcPr>
          <w:p w14:paraId="250752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18.7</w:t>
            </w:r>
          </w:p>
        </w:tc>
        <w:tc>
          <w:tcPr>
            <w:tcW w:w="750" w:type="pct"/>
            <w:shd w:val="clear" w:color="auto" w:fill="auto"/>
            <w:vAlign w:val="center"/>
          </w:tcPr>
          <w:p w14:paraId="6C4A6F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C3A0C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60</w:t>
            </w:r>
          </w:p>
        </w:tc>
        <w:tc>
          <w:tcPr>
            <w:tcW w:w="749" w:type="pct"/>
            <w:shd w:val="clear" w:color="auto" w:fill="auto"/>
            <w:vAlign w:val="center"/>
          </w:tcPr>
          <w:p w14:paraId="676EE6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CAE96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2C144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F14A4D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FB8E3B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镉</w:t>
            </w:r>
          </w:p>
        </w:tc>
        <w:tc>
          <w:tcPr>
            <w:tcW w:w="563" w:type="pct"/>
            <w:shd w:val="clear" w:color="auto" w:fill="auto"/>
            <w:vAlign w:val="center"/>
          </w:tcPr>
          <w:p w14:paraId="53D950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0.46</w:t>
            </w:r>
          </w:p>
        </w:tc>
        <w:tc>
          <w:tcPr>
            <w:tcW w:w="750" w:type="pct"/>
            <w:shd w:val="clear" w:color="auto" w:fill="auto"/>
            <w:vAlign w:val="center"/>
          </w:tcPr>
          <w:p w14:paraId="4A65523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7CCDB8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65</w:t>
            </w:r>
          </w:p>
        </w:tc>
        <w:tc>
          <w:tcPr>
            <w:tcW w:w="749" w:type="pct"/>
            <w:shd w:val="clear" w:color="auto" w:fill="auto"/>
            <w:vAlign w:val="center"/>
          </w:tcPr>
          <w:p w14:paraId="36001F1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F49B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8BE32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A042D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8AB89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六价铬</w:t>
            </w:r>
          </w:p>
        </w:tc>
        <w:tc>
          <w:tcPr>
            <w:tcW w:w="563" w:type="pct"/>
            <w:shd w:val="clear" w:color="auto" w:fill="auto"/>
            <w:vAlign w:val="center"/>
          </w:tcPr>
          <w:p w14:paraId="6F190D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2.18</w:t>
            </w:r>
          </w:p>
        </w:tc>
        <w:tc>
          <w:tcPr>
            <w:tcW w:w="750" w:type="pct"/>
            <w:shd w:val="clear" w:color="auto" w:fill="auto"/>
            <w:vAlign w:val="center"/>
          </w:tcPr>
          <w:p w14:paraId="6160EA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CD200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w:t>
            </w:r>
          </w:p>
        </w:tc>
        <w:tc>
          <w:tcPr>
            <w:tcW w:w="749" w:type="pct"/>
            <w:shd w:val="clear" w:color="auto" w:fill="auto"/>
            <w:vAlign w:val="center"/>
          </w:tcPr>
          <w:p w14:paraId="4ED4214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276D9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EB641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1B7073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5D489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铜</w:t>
            </w:r>
          </w:p>
        </w:tc>
        <w:tc>
          <w:tcPr>
            <w:tcW w:w="563" w:type="pct"/>
            <w:shd w:val="clear" w:color="auto" w:fill="auto"/>
            <w:vAlign w:val="center"/>
          </w:tcPr>
          <w:p w14:paraId="73EBA8C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66.1</w:t>
            </w:r>
          </w:p>
        </w:tc>
        <w:tc>
          <w:tcPr>
            <w:tcW w:w="750" w:type="pct"/>
            <w:shd w:val="clear" w:color="auto" w:fill="auto"/>
            <w:vAlign w:val="center"/>
          </w:tcPr>
          <w:p w14:paraId="1501C6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498A5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18000</w:t>
            </w:r>
          </w:p>
        </w:tc>
        <w:tc>
          <w:tcPr>
            <w:tcW w:w="749" w:type="pct"/>
            <w:shd w:val="clear" w:color="auto" w:fill="auto"/>
            <w:vAlign w:val="center"/>
          </w:tcPr>
          <w:p w14:paraId="2BD9694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58892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CC48B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28A5F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75EA2F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铅</w:t>
            </w:r>
          </w:p>
        </w:tc>
        <w:tc>
          <w:tcPr>
            <w:tcW w:w="563" w:type="pct"/>
            <w:shd w:val="clear" w:color="auto" w:fill="auto"/>
            <w:vAlign w:val="center"/>
          </w:tcPr>
          <w:p w14:paraId="36B35E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10.9</w:t>
            </w:r>
          </w:p>
        </w:tc>
        <w:tc>
          <w:tcPr>
            <w:tcW w:w="750" w:type="pct"/>
            <w:shd w:val="clear" w:color="auto" w:fill="auto"/>
            <w:vAlign w:val="center"/>
          </w:tcPr>
          <w:p w14:paraId="134727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37FE5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800</w:t>
            </w:r>
          </w:p>
        </w:tc>
        <w:tc>
          <w:tcPr>
            <w:tcW w:w="749" w:type="pct"/>
            <w:shd w:val="clear" w:color="auto" w:fill="auto"/>
            <w:vAlign w:val="center"/>
          </w:tcPr>
          <w:p w14:paraId="60264B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DD727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20428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681C3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BD9A6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汞</w:t>
            </w:r>
          </w:p>
        </w:tc>
        <w:tc>
          <w:tcPr>
            <w:tcW w:w="563" w:type="pct"/>
            <w:shd w:val="clear" w:color="auto" w:fill="auto"/>
            <w:vAlign w:val="center"/>
          </w:tcPr>
          <w:p w14:paraId="101048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0.179</w:t>
            </w:r>
          </w:p>
        </w:tc>
        <w:tc>
          <w:tcPr>
            <w:tcW w:w="750" w:type="pct"/>
            <w:shd w:val="clear" w:color="auto" w:fill="auto"/>
            <w:vAlign w:val="center"/>
          </w:tcPr>
          <w:p w14:paraId="739A39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9D05D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38</w:t>
            </w:r>
          </w:p>
        </w:tc>
        <w:tc>
          <w:tcPr>
            <w:tcW w:w="749" w:type="pct"/>
            <w:shd w:val="clear" w:color="auto" w:fill="auto"/>
            <w:vAlign w:val="center"/>
          </w:tcPr>
          <w:p w14:paraId="44AF09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E057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13884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4DBBD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4C2D5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镍</w:t>
            </w:r>
          </w:p>
        </w:tc>
        <w:tc>
          <w:tcPr>
            <w:tcW w:w="563" w:type="pct"/>
            <w:shd w:val="clear" w:color="auto" w:fill="auto"/>
            <w:vAlign w:val="center"/>
          </w:tcPr>
          <w:p w14:paraId="375500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95.1</w:t>
            </w:r>
          </w:p>
        </w:tc>
        <w:tc>
          <w:tcPr>
            <w:tcW w:w="750" w:type="pct"/>
            <w:shd w:val="clear" w:color="auto" w:fill="auto"/>
            <w:vAlign w:val="center"/>
          </w:tcPr>
          <w:p w14:paraId="75E62CF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06E4A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900</w:t>
            </w:r>
          </w:p>
        </w:tc>
        <w:tc>
          <w:tcPr>
            <w:tcW w:w="749" w:type="pct"/>
            <w:shd w:val="clear" w:color="auto" w:fill="auto"/>
            <w:vAlign w:val="center"/>
          </w:tcPr>
          <w:p w14:paraId="2B48DE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377A0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E7CEE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63FD4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2FDCC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PH</w:t>
            </w:r>
          </w:p>
        </w:tc>
        <w:tc>
          <w:tcPr>
            <w:tcW w:w="563" w:type="pct"/>
            <w:shd w:val="clear" w:color="auto" w:fill="auto"/>
            <w:vAlign w:val="center"/>
          </w:tcPr>
          <w:p w14:paraId="19D60C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5.45</w:t>
            </w:r>
          </w:p>
        </w:tc>
        <w:tc>
          <w:tcPr>
            <w:tcW w:w="750" w:type="pct"/>
            <w:shd w:val="clear" w:color="auto" w:fill="auto"/>
            <w:vAlign w:val="center"/>
          </w:tcPr>
          <w:p w14:paraId="1EAA49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无量纲</w:t>
            </w:r>
          </w:p>
        </w:tc>
        <w:tc>
          <w:tcPr>
            <w:tcW w:w="750" w:type="pct"/>
            <w:shd w:val="clear" w:color="auto" w:fill="auto"/>
            <w:vAlign w:val="center"/>
          </w:tcPr>
          <w:p w14:paraId="5DA84F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0A669E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36CCF7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89D435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AA0EF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1A881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7E52A6F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2ED42E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FAA2E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790F2A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41AAD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A36D7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F6169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FA554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1BE80F3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3035AE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DB426D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58E453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A5049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97D8D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9B056E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00FB2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009E8D4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387920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028B3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153A7FD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D7D2B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F8D9B0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6EA2D4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819AC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1EA53EB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C56A22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65FDA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6F61E1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A37F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0237C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46891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F8670F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1D36BC5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658BC0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2E8290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1364B8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CB750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D83789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1ED157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1F82E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4AD2B67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54D402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2F0C2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0A28C7E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C770F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32A1A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BB39F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D9DB4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1ED245B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4E9D3C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5AD55F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403AF5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ACE95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4495E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A6275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1EFE9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4D39C10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DFA8F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F5A87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07311B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5E8D0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29EDB1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05185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7A7F7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6EDB112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29616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099D7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0F3631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50363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73135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78CFE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045B6C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4827E5A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24BC1B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36555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28C581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818D1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5C732F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6E7E3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B8786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004B5A7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EEC6B3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B9F9E8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1A9BC0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FC9BA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69DD9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1C477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AD0FE3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09720E9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EF20A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533C0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6BE8FC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68890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D6BAB4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41367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B36C6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6D4C0C4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959F0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491371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4F9494A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31AC2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BAC56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8CD922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0B010B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1A14FE6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9308C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12B60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526100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489E4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3EF99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562F59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43670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6B45A7C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52C6F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415E9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BB226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2D147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D622C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F25C2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085FE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6C46326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6DBE54F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693A2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562F79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94574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06626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3F23C3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678E79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4CEFEFA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6B752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68929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5CD436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FBCFA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281C9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A7851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6F9D4C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13DC401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DB9CB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6D121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6BE51A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8C486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6204A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170C02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E5E8DC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352CCE4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42EFCA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1C7AF9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73FDE93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39CAB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B96E94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7E223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C1B2F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36D3379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4324466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9F044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043BDDE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3984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04F64F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0379B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C136B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7F34238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2021C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87378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25E66F3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77949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A80C9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A7502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91DFF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638BE25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5058193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60D31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44B571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5DE4E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68E072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T1表层样</w:t>
            </w:r>
          </w:p>
          <w:p w14:paraId="197083C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0432C7F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0-0.2m</w:t>
            </w:r>
          </w:p>
        </w:tc>
        <w:tc>
          <w:tcPr>
            <w:tcW w:w="687" w:type="pct"/>
            <w:vMerge w:val="restart"/>
            <w:shd w:val="clear" w:color="auto" w:fill="auto"/>
            <w:vAlign w:val="center"/>
          </w:tcPr>
          <w:p w14:paraId="400A66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干、红棕、中壤土、少量植被</w:t>
            </w:r>
          </w:p>
        </w:tc>
        <w:tc>
          <w:tcPr>
            <w:tcW w:w="875" w:type="pct"/>
            <w:shd w:val="clear" w:color="auto" w:fill="auto"/>
            <w:vAlign w:val="center"/>
          </w:tcPr>
          <w:p w14:paraId="72B4FB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08CD724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4E7736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9F9C5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7E910F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5F1DE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0DB02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AEE4B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EB372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0349680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0.05</w:t>
            </w:r>
          </w:p>
        </w:tc>
        <w:tc>
          <w:tcPr>
            <w:tcW w:w="750" w:type="pct"/>
            <w:shd w:val="clear" w:color="auto" w:fill="auto"/>
            <w:vAlign w:val="center"/>
          </w:tcPr>
          <w:p w14:paraId="55DE5E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86441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5000E33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654EF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626" w:type="pct"/>
            <w:vMerge w:val="continue"/>
            <w:shd w:val="clear" w:color="auto" w:fill="auto"/>
            <w:vAlign w:val="center"/>
          </w:tcPr>
          <w:p w14:paraId="60BB181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924B4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308460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4028993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0092BD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7198A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1A1E64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3932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626" w:type="pct"/>
            <w:vMerge w:val="continue"/>
            <w:shd w:val="clear" w:color="auto" w:fill="auto"/>
            <w:vAlign w:val="center"/>
          </w:tcPr>
          <w:p w14:paraId="513C42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48E73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9527E6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4321EF8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1798BB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01DE09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0DAAC7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54AA3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exact"/>
        </w:trPr>
        <w:tc>
          <w:tcPr>
            <w:tcW w:w="626" w:type="pct"/>
            <w:vMerge w:val="continue"/>
            <w:shd w:val="clear" w:color="auto" w:fill="auto"/>
            <w:vAlign w:val="center"/>
          </w:tcPr>
          <w:p w14:paraId="495190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7A140B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AE6C0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2066EC0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21F8E8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73B328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44A5AA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CA2FD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5C123F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T2柱状样</w:t>
            </w:r>
          </w:p>
          <w:p w14:paraId="0E5FA8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231CA6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0-0.5m</w:t>
            </w:r>
          </w:p>
        </w:tc>
        <w:tc>
          <w:tcPr>
            <w:tcW w:w="687" w:type="pct"/>
            <w:vMerge w:val="restart"/>
            <w:shd w:val="clear" w:color="auto" w:fill="auto"/>
            <w:vAlign w:val="center"/>
          </w:tcPr>
          <w:p w14:paraId="5F5825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潮、红棕、中壤土和粘土、少量植被</w:t>
            </w:r>
          </w:p>
        </w:tc>
        <w:tc>
          <w:tcPr>
            <w:tcW w:w="875" w:type="pct"/>
            <w:shd w:val="clear" w:color="auto" w:fill="auto"/>
            <w:vAlign w:val="center"/>
          </w:tcPr>
          <w:p w14:paraId="4DB5DE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77149ED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0.05</w:t>
            </w:r>
          </w:p>
        </w:tc>
        <w:tc>
          <w:tcPr>
            <w:tcW w:w="750" w:type="pct"/>
            <w:shd w:val="clear" w:color="auto" w:fill="auto"/>
            <w:vAlign w:val="center"/>
          </w:tcPr>
          <w:p w14:paraId="505379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0E7FD4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61FF77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3BD5A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71D39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07A58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60C3D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137754C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520CB4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92296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1966ECD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841E5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A5513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AC55E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2A2CC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25D0469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244E3F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985CD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2510B9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7A971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9A41E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AC45F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6A1794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65CA3E7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DA29B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29C71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6FAC0F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99DD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D85D3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5C280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8A623E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587D795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D20AE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87BDF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3F424E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09A9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07D02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AA9275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EEFA9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0BF254D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396861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57BD31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3635BC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30D9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1F69A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E8AD2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7A934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078D3D2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4A7BA27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793EBD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732882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89BCD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3BE170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0810F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37545A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6506D5D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5C2584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93CA1D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3497DA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4017A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A109F8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4283C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753FBD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14024AD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4B87A2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DE9B2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4EF3449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3CDF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488AA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33D8E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B1874C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46A0B82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8E0EA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78883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421F94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96B7F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FA4A5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2A0FC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169E5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5F51376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65627F9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07CB8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1ADF62C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A197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883DF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3C197B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C2CCC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1E9ACCC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22C4B7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95D2E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5D5E1C9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B5C50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2AC0F4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0D69A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15163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5726E76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C97899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34CDD3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2DC7B69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AB9C3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A80D6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06B75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4EB83E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3D5BCDC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7E4C7A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F5CFC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27700F9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08C6A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E532E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AA9005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4AE06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0B00EDA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FBB0F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C5E5A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60419D4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1834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D50DD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EDF0A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9F85E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0E0C6A9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10C99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A7C284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B74EE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6A7C3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FE820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624DA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29ABC3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4697318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66B00C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43AE76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50DF82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F8C36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733B5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A7087A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3906F3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5981A3B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398E70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BC51F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632A16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6734A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1AA87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D4B9B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2CA275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6E2B154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6FD8B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8A649C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1FB55A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C7A70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3FD134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13C05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8712E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0ECFCB9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w:t>
            </w:r>
          </w:p>
        </w:tc>
        <w:tc>
          <w:tcPr>
            <w:tcW w:w="750" w:type="pct"/>
            <w:shd w:val="clear" w:color="auto" w:fill="auto"/>
            <w:vAlign w:val="center"/>
          </w:tcPr>
          <w:p w14:paraId="7DD68AB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19A4A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6079EC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0294D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291CEF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24CE0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CCE31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551246B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0.05ND</w:t>
            </w:r>
          </w:p>
        </w:tc>
        <w:tc>
          <w:tcPr>
            <w:tcW w:w="750" w:type="pct"/>
            <w:shd w:val="clear" w:color="auto" w:fill="auto"/>
            <w:vAlign w:val="center"/>
          </w:tcPr>
          <w:p w14:paraId="1435E5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067C7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6113D6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93FD2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5494A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97670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67907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78B74A4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2FD6D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D76FA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4FDA529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00353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38F54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02D54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9AF11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58879E7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53DF97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D12EA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1DDD5D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04028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E043E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6FD09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AE80F1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4294CE8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0.006ND</w:t>
            </w:r>
          </w:p>
        </w:tc>
        <w:tc>
          <w:tcPr>
            <w:tcW w:w="750" w:type="pct"/>
            <w:shd w:val="clear" w:color="auto" w:fill="auto"/>
            <w:vAlign w:val="center"/>
          </w:tcPr>
          <w:p w14:paraId="23F0A49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6D6E9E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245A61D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D78A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078CD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BB761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597EC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55AEE87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33FBA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8DCC1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6FB27E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D3A0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0FBA9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36B7E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3E09A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3CF1EAD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3863E7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2CAA1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200466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E941A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A4496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2E75C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EB01C2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4A91EC2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29ACFF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379B13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408C02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42FA2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4" w:hRule="exact"/>
        </w:trPr>
        <w:tc>
          <w:tcPr>
            <w:tcW w:w="626" w:type="pct"/>
            <w:shd w:val="clear" w:color="auto" w:fill="auto"/>
            <w:vAlign w:val="center"/>
          </w:tcPr>
          <w:p w14:paraId="109056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T2柱状样</w:t>
            </w:r>
          </w:p>
          <w:p w14:paraId="0528DA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43ED72E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0-0.5m</w:t>
            </w:r>
          </w:p>
        </w:tc>
        <w:tc>
          <w:tcPr>
            <w:tcW w:w="687" w:type="pct"/>
            <w:shd w:val="clear" w:color="auto" w:fill="auto"/>
            <w:vAlign w:val="center"/>
          </w:tcPr>
          <w:p w14:paraId="72C791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潮、红棕、中壤土和粘土、少量植被</w:t>
            </w:r>
          </w:p>
        </w:tc>
        <w:tc>
          <w:tcPr>
            <w:tcW w:w="875" w:type="pct"/>
            <w:shd w:val="clear" w:color="auto" w:fill="auto"/>
            <w:vAlign w:val="center"/>
          </w:tcPr>
          <w:p w14:paraId="75FA36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23F793B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7DEBD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85594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3E2AF8F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81B5C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626" w:type="pct"/>
            <w:vMerge w:val="restart"/>
            <w:shd w:val="clear" w:color="auto" w:fill="auto"/>
            <w:vAlign w:val="center"/>
          </w:tcPr>
          <w:p w14:paraId="5F84F4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T2柱状样</w:t>
            </w:r>
          </w:p>
          <w:p w14:paraId="683068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3E8C25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0.5-1.5m</w:t>
            </w:r>
          </w:p>
        </w:tc>
        <w:tc>
          <w:tcPr>
            <w:tcW w:w="687" w:type="pct"/>
            <w:vMerge w:val="restart"/>
            <w:shd w:val="clear" w:color="auto" w:fill="auto"/>
            <w:vAlign w:val="center"/>
          </w:tcPr>
          <w:p w14:paraId="76A3BDA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17B8C7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5B818FE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0.203</w:t>
            </w:r>
          </w:p>
        </w:tc>
        <w:tc>
          <w:tcPr>
            <w:tcW w:w="750" w:type="pct"/>
            <w:shd w:val="clear" w:color="auto" w:fill="auto"/>
            <w:vAlign w:val="center"/>
          </w:tcPr>
          <w:p w14:paraId="68B2F6D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CC8EA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2FDC35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2C830C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626" w:type="pct"/>
            <w:vMerge w:val="continue"/>
            <w:shd w:val="clear" w:color="auto" w:fill="auto"/>
            <w:vAlign w:val="center"/>
          </w:tcPr>
          <w:p w14:paraId="136A4C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FBA47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B38DF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53293BE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677618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03E010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53DE63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1A150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626" w:type="pct"/>
            <w:vMerge w:val="continue"/>
            <w:shd w:val="clear" w:color="auto" w:fill="auto"/>
            <w:vAlign w:val="center"/>
          </w:tcPr>
          <w:p w14:paraId="2902D6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B68CF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3C0F8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2807C3B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20FF56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47644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5FCB66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386F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exact"/>
        </w:trPr>
        <w:tc>
          <w:tcPr>
            <w:tcW w:w="626" w:type="pct"/>
            <w:vMerge w:val="continue"/>
            <w:shd w:val="clear" w:color="auto" w:fill="auto"/>
            <w:vAlign w:val="center"/>
          </w:tcPr>
          <w:p w14:paraId="38D99BD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360E8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B5C0C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0E5982E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AE2C0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3835A4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5529393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2DB85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70571E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0AE45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90348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6044770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798F7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37229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5892F1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67FF8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080F3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A91024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1962B1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72E0ACB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6D1730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83B17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7A07720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9C96F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53372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9CCB1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BAA35A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14BF90F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0AD27C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48CC2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041771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98153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38B40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F264C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CF8BF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5DC66D0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22515F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187F9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475FF5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F649D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21C26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4B458E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23D315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57259A1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60AB6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CEA22D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5E1172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0245E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6E9B82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A32C39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F76881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6769BA9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8863A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C7D25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03A098E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62A80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810CB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F565D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64D7A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3CFB640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6051811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6547B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32DD2DF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A9228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9E44C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9729C9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EB9D0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257E533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59853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AAFF87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1701260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85809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92F7B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452AE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9CBDE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75D0720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B69559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A11898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146DFE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85389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80F7C3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55AD3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37837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61B014C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D58AA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54D129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7EE544E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FD8C2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689A4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7A5D3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BCCDC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4CB45A4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C9966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3D423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21A6761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DC54E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EAE07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F056A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1611B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7B43647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38123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32FF8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08EBB1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D93F8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AA1150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730D3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054A89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3BA9E1D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588FD4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7C693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9363D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927AB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C39AC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CB0A2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FFB8A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028EF5B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B67BC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333FB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6885C54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FE86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0BCE7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B1429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5740B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0A46D98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0.04</w:t>
            </w:r>
          </w:p>
        </w:tc>
        <w:tc>
          <w:tcPr>
            <w:tcW w:w="750" w:type="pct"/>
            <w:shd w:val="clear" w:color="auto" w:fill="auto"/>
            <w:vAlign w:val="center"/>
          </w:tcPr>
          <w:p w14:paraId="4FE878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9CA49D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52E0B4E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76230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A978E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47375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8D92C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7872E13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669E44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BDB88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22A244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15E1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CB256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7D245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4B78E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1D0C64F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456CDA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8D612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5B3D0A4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5F4BC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00E44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897D65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040CE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2767672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C3F47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C411D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40EF47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1E7DE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70ABFB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ECD702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6AA535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7B327AE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458CFBB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BCAEB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3FDD51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15B52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C2F5FD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69187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7499F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60FE87C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0.04</w:t>
            </w:r>
          </w:p>
        </w:tc>
        <w:tc>
          <w:tcPr>
            <w:tcW w:w="750" w:type="pct"/>
            <w:shd w:val="clear" w:color="auto" w:fill="auto"/>
            <w:vAlign w:val="center"/>
          </w:tcPr>
          <w:p w14:paraId="0792F05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4747D8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613955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33D69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0409B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004F1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6E46A3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6AEE0B4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0.06</w:t>
            </w:r>
          </w:p>
        </w:tc>
        <w:tc>
          <w:tcPr>
            <w:tcW w:w="750" w:type="pct"/>
            <w:shd w:val="clear" w:color="auto" w:fill="auto"/>
            <w:vAlign w:val="center"/>
          </w:tcPr>
          <w:p w14:paraId="3BD11F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35C02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0572C3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42EF8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626" w:type="pct"/>
            <w:vMerge w:val="continue"/>
            <w:shd w:val="clear" w:color="auto" w:fill="auto"/>
            <w:vAlign w:val="center"/>
          </w:tcPr>
          <w:p w14:paraId="4D96E1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8B571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5A6BD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2139975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2265E8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BEAC7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5214CD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050F4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626" w:type="pct"/>
            <w:vMerge w:val="continue"/>
            <w:shd w:val="clear" w:color="auto" w:fill="auto"/>
            <w:vAlign w:val="center"/>
          </w:tcPr>
          <w:p w14:paraId="2EBD115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E7A1ED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84696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1B3E626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222833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9EDAB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20F9C2C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6FA18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6" w:hRule="exact"/>
        </w:trPr>
        <w:tc>
          <w:tcPr>
            <w:tcW w:w="626" w:type="pct"/>
            <w:vMerge w:val="continue"/>
            <w:shd w:val="clear" w:color="auto" w:fill="auto"/>
            <w:vAlign w:val="center"/>
          </w:tcPr>
          <w:p w14:paraId="632CE2F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4768F6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FAC54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6222B5D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1D193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4EEB4F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59A004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58401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26" w:type="pct"/>
            <w:vMerge w:val="restart"/>
            <w:shd w:val="clear" w:color="auto" w:fill="auto"/>
            <w:vAlign w:val="center"/>
          </w:tcPr>
          <w:p w14:paraId="4A9D55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T2柱状样</w:t>
            </w:r>
          </w:p>
          <w:p w14:paraId="2982317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44CF6BC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1.5-3m</w:t>
            </w:r>
          </w:p>
        </w:tc>
        <w:tc>
          <w:tcPr>
            <w:tcW w:w="687" w:type="pct"/>
            <w:vMerge w:val="restart"/>
            <w:shd w:val="clear" w:color="auto" w:fill="auto"/>
            <w:vAlign w:val="center"/>
          </w:tcPr>
          <w:p w14:paraId="54BAEF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23FE8D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723293D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0.276</w:t>
            </w:r>
          </w:p>
        </w:tc>
        <w:tc>
          <w:tcPr>
            <w:tcW w:w="750" w:type="pct"/>
            <w:shd w:val="clear" w:color="auto" w:fill="auto"/>
            <w:vAlign w:val="center"/>
          </w:tcPr>
          <w:p w14:paraId="068FA4F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mg/kg</w:t>
            </w:r>
          </w:p>
        </w:tc>
        <w:tc>
          <w:tcPr>
            <w:tcW w:w="750" w:type="pct"/>
            <w:shd w:val="clear" w:color="auto" w:fill="auto"/>
            <w:vAlign w:val="center"/>
          </w:tcPr>
          <w:p w14:paraId="69BE83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53D90C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46EBE3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50A00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2835E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F4EB30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2311258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7C81AC3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F9710D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AD8A8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9109B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EB324D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D595F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C2D90D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6ECB2C6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7668CE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F729A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2787CCB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F1DAD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rPr>
        <w:tc>
          <w:tcPr>
            <w:tcW w:w="626" w:type="pct"/>
            <w:vMerge w:val="continue"/>
            <w:shd w:val="clear" w:color="auto" w:fill="auto"/>
            <w:vAlign w:val="center"/>
          </w:tcPr>
          <w:p w14:paraId="1642D4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AC515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7D9DE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1A16814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EFBEC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2F2AD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3BFE1B9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7F15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1F3C5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9E330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3ADD7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20BF582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A4119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4A847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0679A9E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82F67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32E28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69442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219708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083013F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1F33E2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CEBA6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341B49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01225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AE492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4DFB1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57A8C8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4E43312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348E10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00178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12D551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6626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E69EE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0160C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07590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31AB3DC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4709EA7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B8C27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12CAA0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CA6A0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A1351F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F85303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A74BD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2EB82FD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043E08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5EB60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7BCA86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3850C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54604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980F1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66253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2263ABE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4EFA38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8BC898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007630B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67C43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140D6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7307D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5D124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16AA46F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4B8CDBB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0715F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68ED0AF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BD3A6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5F9C5D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4650A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B6EEC3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1161A0D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04114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7D7ED3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362BB7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A3D36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1C081B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5E7674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C6068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6AE5F40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71C010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CD793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03EFA4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98AB0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E5724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174AA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2F307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2622FD6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0.05</w:t>
            </w:r>
          </w:p>
        </w:tc>
        <w:tc>
          <w:tcPr>
            <w:tcW w:w="750" w:type="pct"/>
            <w:shd w:val="clear" w:color="auto" w:fill="auto"/>
            <w:vAlign w:val="center"/>
          </w:tcPr>
          <w:p w14:paraId="2C1689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63477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22D57B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078FC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752CB7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E50A7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A4998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55EA319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2998D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81CAC9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77FBE4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AFE25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38B9C6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48EAC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34864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7FD0594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84C86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A1D54F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7B7BF1F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FCAF3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9B85F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C7392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8EE71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53AE76D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22A658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9CD1E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3C5C50A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F38C6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6961F5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4A850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517E8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2A317E7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21438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8D371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7C036D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9B6B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51436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A62FB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BC7A1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4787326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E7FB73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AA439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1F27971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7BE54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15FC0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0CDD0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D24E51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7C5F575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6D8360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077E41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485107D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61627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BB018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4A750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AA919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022CEA8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06B70F7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8A371F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34204B8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4944F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3ECE7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17D84B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A7606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65DDCD6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1EDE8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37FC4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0696943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488F5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2AE28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AD826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E48A70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072E4B5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47B4A7E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97F51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5946F3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C0C2B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E4065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70964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0211F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16A520E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419F49F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2BFBA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6AC2F80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16F7A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A2E4FC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1A98F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20A922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5C7899B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0.05</w:t>
            </w:r>
          </w:p>
        </w:tc>
        <w:tc>
          <w:tcPr>
            <w:tcW w:w="750" w:type="pct"/>
            <w:shd w:val="clear" w:color="auto" w:fill="auto"/>
            <w:vAlign w:val="center"/>
          </w:tcPr>
          <w:p w14:paraId="099EF7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A41E4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6180883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78902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04F01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59914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F2407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289840F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03BAC9E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BD236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08979F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57386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66F07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E29CED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420E2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358F98B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24D85D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5CC80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695237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8BFB7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9E9F0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9C8E1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E820E6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62A6049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0B2B87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0362B8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2B37324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FD4F5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5AB02A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T3柱状样</w:t>
            </w:r>
          </w:p>
          <w:p w14:paraId="34A12F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4C35B3A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0-0.5m</w:t>
            </w:r>
          </w:p>
        </w:tc>
        <w:tc>
          <w:tcPr>
            <w:tcW w:w="687" w:type="pct"/>
            <w:vMerge w:val="restart"/>
            <w:shd w:val="clear" w:color="auto" w:fill="auto"/>
            <w:vAlign w:val="center"/>
          </w:tcPr>
          <w:p w14:paraId="752CC4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干、红棕、中壤土、少量植被</w:t>
            </w:r>
          </w:p>
        </w:tc>
        <w:tc>
          <w:tcPr>
            <w:tcW w:w="875" w:type="pct"/>
            <w:shd w:val="clear" w:color="auto" w:fill="auto"/>
            <w:vAlign w:val="center"/>
          </w:tcPr>
          <w:p w14:paraId="05E16D0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19BBE21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0.144</w:t>
            </w:r>
          </w:p>
        </w:tc>
        <w:tc>
          <w:tcPr>
            <w:tcW w:w="750" w:type="pct"/>
            <w:shd w:val="clear" w:color="auto" w:fill="auto"/>
            <w:vAlign w:val="center"/>
          </w:tcPr>
          <w:p w14:paraId="4E24B0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81713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25ADDC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25CA9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87107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884A63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22379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222B248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7245923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313A74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2756401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9A2E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F2D044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33C34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D750A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13A9393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04FA0D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B8511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65F184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E2DB1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7" w:hRule="exact"/>
        </w:trPr>
        <w:tc>
          <w:tcPr>
            <w:tcW w:w="626" w:type="pct"/>
            <w:vMerge w:val="continue"/>
            <w:shd w:val="clear" w:color="auto" w:fill="auto"/>
            <w:vAlign w:val="center"/>
          </w:tcPr>
          <w:p w14:paraId="3D626C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B6777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F5AE94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6E915C7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4A77F4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CE94F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595F58F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B66F5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0A6084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T3柱状样</w:t>
            </w:r>
          </w:p>
          <w:p w14:paraId="2ED402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4782595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0-0.5m</w:t>
            </w:r>
          </w:p>
        </w:tc>
        <w:tc>
          <w:tcPr>
            <w:tcW w:w="687" w:type="pct"/>
            <w:vMerge w:val="restart"/>
            <w:shd w:val="clear" w:color="auto" w:fill="auto"/>
            <w:vAlign w:val="center"/>
          </w:tcPr>
          <w:p w14:paraId="2853F1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干、红棕、中壤土、少量植被</w:t>
            </w:r>
          </w:p>
        </w:tc>
        <w:tc>
          <w:tcPr>
            <w:tcW w:w="875" w:type="pct"/>
            <w:shd w:val="clear" w:color="auto" w:fill="auto"/>
            <w:vAlign w:val="center"/>
          </w:tcPr>
          <w:p w14:paraId="6087BE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3A6DA08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192C0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5F47D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731E13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12E9E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E1E43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766C5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4155D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725174F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717299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D0E4F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0A52E57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972DD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491EB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0D297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1B37D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2C55D9C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56AE7D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5B2CD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075436C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3B71A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20056E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39A5C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D0A7D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21E93B5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42E28E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4FF07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0DD084D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9C489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0505E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62555D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A8983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3C32415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8A49E0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58B11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58844B0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F0B20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3AA33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3D294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89DA3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661318F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793B5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FC68B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3A5D37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49BB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3AE96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22FEC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C532A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663ECDB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18983D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D0480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4C81F1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F70FE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B03C8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FFBCDE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F2D14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64651C9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67DD4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B3737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20250DD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E8F72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3BD2E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11152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D28EEC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0DAFCCC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98B31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ED94A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432E24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A32F7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A55C55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780A5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FDC30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6F94DAD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A4A09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4F1B3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54C0BD5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FDD35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406B06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5ABF99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1E06C7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0CAF699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EDBBB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2074D3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26B6477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7D6A3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3644C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D725FB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11079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5888D85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B9F1D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3BADD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6ECCFC9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3C2DF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8FB4AF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1DFE4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D3429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755C139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6032F5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3FB653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620E74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895B5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EB8F1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E21794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9C484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06D2E59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05FB9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1FC53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1C97BC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BC60CA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F275C4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986D7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8D7B5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25F1FB1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404FFC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4FCED0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796D17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563B3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9D8E4A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F0289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24555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3A0B63A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w:t>
            </w:r>
          </w:p>
        </w:tc>
        <w:tc>
          <w:tcPr>
            <w:tcW w:w="750" w:type="pct"/>
            <w:shd w:val="clear" w:color="auto" w:fill="auto"/>
            <w:vAlign w:val="center"/>
          </w:tcPr>
          <w:p w14:paraId="291A3A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2BEFD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6A2B58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96B0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6BDE7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53F8A4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D7928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55A1830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4FB997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B9E9C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7ED9F24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2B2FF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C01A8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785AC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9BAED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5F49D8F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A7885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3AE02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3898CD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07FD3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A0EEA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AA126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4E6E8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2BB7E0C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33C445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A7BA8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735D04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F72A7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3786B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EF241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F2767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7A6F576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679B7F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D2001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78A93D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7A74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2610E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E7E65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0B20B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6D9F8C3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13082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8B50D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08E077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257538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626" w:type="pct"/>
            <w:vMerge w:val="continue"/>
            <w:shd w:val="clear" w:color="auto" w:fill="auto"/>
            <w:vAlign w:val="center"/>
          </w:tcPr>
          <w:p w14:paraId="755FF4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AD4CE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4BE18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233219C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07962C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7D207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4EF242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9B886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626" w:type="pct"/>
            <w:vMerge w:val="continue"/>
            <w:shd w:val="clear" w:color="auto" w:fill="auto"/>
            <w:vAlign w:val="center"/>
          </w:tcPr>
          <w:p w14:paraId="34C37D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2FB16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C9FD39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78B1E76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4A0B5C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6ED48C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04E38FE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704D9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exact"/>
        </w:trPr>
        <w:tc>
          <w:tcPr>
            <w:tcW w:w="626" w:type="pct"/>
            <w:vMerge w:val="continue"/>
            <w:shd w:val="clear" w:color="auto" w:fill="auto"/>
            <w:vAlign w:val="center"/>
          </w:tcPr>
          <w:p w14:paraId="71DF7E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E41A4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79CF4D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5161FD9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BD4933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49B43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37BFA54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66EE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6DBE92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T3柱状样</w:t>
            </w:r>
          </w:p>
          <w:p w14:paraId="1734A5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24350D3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0.5-1.5m</w:t>
            </w:r>
          </w:p>
        </w:tc>
        <w:tc>
          <w:tcPr>
            <w:tcW w:w="687" w:type="pct"/>
            <w:vMerge w:val="restart"/>
            <w:shd w:val="clear" w:color="auto" w:fill="auto"/>
            <w:vAlign w:val="center"/>
          </w:tcPr>
          <w:p w14:paraId="419CA7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5DE8C7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6F048D3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0.195</w:t>
            </w:r>
          </w:p>
        </w:tc>
        <w:tc>
          <w:tcPr>
            <w:tcW w:w="750" w:type="pct"/>
            <w:shd w:val="clear" w:color="auto" w:fill="auto"/>
            <w:vAlign w:val="center"/>
          </w:tcPr>
          <w:p w14:paraId="2D4E35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B5930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7F4D72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565417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E00B8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C3151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74CF3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5BCEA55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48062C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BB962F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0A8459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1B81C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217DF9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5C9B90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EE4BE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227010C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1AC3F12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C7DCA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428358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BE40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F3248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09365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EA70C2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0039D31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31CCF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D692C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41FCDF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2CEF6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3F809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C48B9E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232D5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790B671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F16B1E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C008B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20BA1B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992FC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6A031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138DF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F56AB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461AAE7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0F9EC5D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57E4C4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1AFB57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79968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BEE46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44DDC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4B1F7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3907A6E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7E51E27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0C144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4CC2D5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B350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3B5C6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6D61F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3B44C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1ACB3C5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54543A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C763F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68C411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8BFA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1956D64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T3柱状样</w:t>
            </w:r>
          </w:p>
          <w:p w14:paraId="589C50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5ACEA9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0.5-1.5m</w:t>
            </w:r>
          </w:p>
        </w:tc>
        <w:tc>
          <w:tcPr>
            <w:tcW w:w="687" w:type="pct"/>
            <w:vMerge w:val="restart"/>
            <w:shd w:val="clear" w:color="auto" w:fill="auto"/>
            <w:vAlign w:val="center"/>
          </w:tcPr>
          <w:p w14:paraId="2913376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68859A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222CF31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CB92B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8C011D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741886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92DBFB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E9B61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E064C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FB5AB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0FD7B04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BCE6D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A51B35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16E5630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16947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329E1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00706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9C510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1EFBF02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3E081B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7D0C15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2D7AD9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C1979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62199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110435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31082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3995544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05857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B9743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25D814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BA412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AD22E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D8371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9CC55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43E22B7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78551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BA7AB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3D9CCE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2F3B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55139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28015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A7DA95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488E4C2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B4E4A7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4859FA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217839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33D7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DFC3C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05B33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01A63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084871D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D0700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6D6163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0A78833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909A3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2C6AE0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2E2B4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8547C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4D9B434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09DA68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789823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3F5737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5804F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86FC4C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A2E93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2573A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13FD454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369C45D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A2092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599D97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5DC32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36BF0F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AF081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FFABF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7E99D01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C1E75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01160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54AA7D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4C71C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ADD05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F8762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B99A5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53A8B69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3D9C88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67465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3F729E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73FB6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BDEEC6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6DB69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521EB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21B4FCE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455B893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334F7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65809A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17DDD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0A0995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ABD58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B8D7E4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63ADB74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45D444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33085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58D672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953A6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D012A0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238366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D1C0E3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5688687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D84F0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7EC0A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07D1BA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0298B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5BFE17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04DFDC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705B1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0D9024B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259596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D1E829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763E7E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C72B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75CFB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9D53B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AB652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1E455BC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530556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8277B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6BE398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BD1F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626" w:type="pct"/>
            <w:vMerge w:val="continue"/>
            <w:shd w:val="clear" w:color="auto" w:fill="auto"/>
            <w:vAlign w:val="center"/>
          </w:tcPr>
          <w:p w14:paraId="78862F8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754E2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8F164B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38F501F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0.05</w:t>
            </w:r>
          </w:p>
        </w:tc>
        <w:tc>
          <w:tcPr>
            <w:tcW w:w="750" w:type="pct"/>
            <w:shd w:val="clear" w:color="auto" w:fill="auto"/>
            <w:vAlign w:val="center"/>
          </w:tcPr>
          <w:p w14:paraId="7E4959F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50A42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761E22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3D95A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exact"/>
        </w:trPr>
        <w:tc>
          <w:tcPr>
            <w:tcW w:w="626" w:type="pct"/>
            <w:vMerge w:val="continue"/>
            <w:shd w:val="clear" w:color="auto" w:fill="auto"/>
            <w:vAlign w:val="center"/>
          </w:tcPr>
          <w:p w14:paraId="67B7F1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1EA64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3A1AEC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39A3E46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3D71DC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30C43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735BEE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8FA23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exact"/>
        </w:trPr>
        <w:tc>
          <w:tcPr>
            <w:tcW w:w="626" w:type="pct"/>
            <w:vMerge w:val="continue"/>
            <w:shd w:val="clear" w:color="auto" w:fill="auto"/>
            <w:vAlign w:val="center"/>
          </w:tcPr>
          <w:p w14:paraId="0FF502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8DDD9D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D9BAF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73F420D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4661D8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7DB0C8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279ADF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1DEBE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1" w:hRule="exact"/>
        </w:trPr>
        <w:tc>
          <w:tcPr>
            <w:tcW w:w="626" w:type="pct"/>
            <w:vMerge w:val="continue"/>
            <w:shd w:val="clear" w:color="auto" w:fill="auto"/>
            <w:vAlign w:val="center"/>
          </w:tcPr>
          <w:p w14:paraId="2DC0514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3E6A0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52672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5272BF7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3541FE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0E29D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52711F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66589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03E51C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T3柱状样</w:t>
            </w:r>
          </w:p>
          <w:p w14:paraId="224347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255F4BC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1.5-3m</w:t>
            </w:r>
          </w:p>
        </w:tc>
        <w:tc>
          <w:tcPr>
            <w:tcW w:w="687" w:type="pct"/>
            <w:vMerge w:val="restart"/>
            <w:shd w:val="clear" w:color="auto" w:fill="auto"/>
            <w:vAlign w:val="center"/>
          </w:tcPr>
          <w:p w14:paraId="571C77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212E69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792AC7B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0.043</w:t>
            </w:r>
          </w:p>
        </w:tc>
        <w:tc>
          <w:tcPr>
            <w:tcW w:w="750" w:type="pct"/>
            <w:shd w:val="clear" w:color="auto" w:fill="auto"/>
            <w:vAlign w:val="center"/>
          </w:tcPr>
          <w:p w14:paraId="0FBB95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6AA78D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0B184B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551641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B8C73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C3B7B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3480B3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51F2090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18C7C26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873CFF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231D83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FE35D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44A30D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CCA6A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A89781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20EADCC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5AD466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1F391A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4BE67C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4C3F8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E3BC8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9873F5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55A56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3D6949C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503DBC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077D9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4E1AEC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6E5FA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AFFDA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537754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85B6E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76482F0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02877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2D661C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4776753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D8C9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15AB7E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07040D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AB826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63E5103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6CAF25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DDDE58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427389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5E9D2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646244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3319C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908D1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3D757E7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581B34E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9C8C7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5A878B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4A904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AA8BE3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FA10F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7FDE6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6A2CCBE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14C1725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D7D05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13B92D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0F066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61902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C9825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9FC93F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6B4EB17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12BC8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E2D59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1B0111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FB7C1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093E6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00205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0D373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196FB26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8368F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31FB44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4A4F522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DAF51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F42EF8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803CD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4A865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7F64698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5097B3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52324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37C63F6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B4B58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rPr>
        <w:tc>
          <w:tcPr>
            <w:tcW w:w="626" w:type="pct"/>
            <w:vMerge w:val="restart"/>
            <w:shd w:val="clear" w:color="auto" w:fill="auto"/>
            <w:vAlign w:val="center"/>
          </w:tcPr>
          <w:p w14:paraId="21A3B45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T3柱状样</w:t>
            </w:r>
          </w:p>
          <w:p w14:paraId="6F37BA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45A2562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1.5-3m</w:t>
            </w:r>
          </w:p>
        </w:tc>
        <w:tc>
          <w:tcPr>
            <w:tcW w:w="687" w:type="pct"/>
            <w:vMerge w:val="restart"/>
            <w:shd w:val="clear" w:color="auto" w:fill="auto"/>
            <w:vAlign w:val="center"/>
          </w:tcPr>
          <w:p w14:paraId="7D94FD4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585B37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0B42194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EB924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F8987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6FB5A2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D3170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9D356E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FD55B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594349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4C39CB7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BBC5E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89BC8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72C0703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8397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A25A8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06B753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045BE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12F20F8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27372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1B80C5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7732A98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72DA0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22FF83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11794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5136B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0B39030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4DFE1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2AD74F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621DECC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190DCB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BF0894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86500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A319C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221D692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84B42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AA87C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1AB03B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A45C7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4E070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3A0D52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B57198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10802BA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60FDB0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524C3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7BFBFA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14D7D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674AC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1B4FB7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1594A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6F0D6DE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BA3C9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5D28A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589A72B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44899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417BEF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B99C8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045FF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3FA3C29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3738B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AA3401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4F5CEE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8C20A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9CC5C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6CB4B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2945B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35B7E8B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2F4A6E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CDE5C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7D07BC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4BE3A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11DD3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3C78E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D09D4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18A0FF3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483F9C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E6A904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2F26FA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0B589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1E17F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FABD4D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87584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6A7A36D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B33C2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F17ED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0F8B0C9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64431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79618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15561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FF5F4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7214CF1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32DCA4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DBEEB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01790E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494A3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exact"/>
        </w:trPr>
        <w:tc>
          <w:tcPr>
            <w:tcW w:w="626" w:type="pct"/>
            <w:vMerge w:val="continue"/>
            <w:shd w:val="clear" w:color="auto" w:fill="auto"/>
            <w:vAlign w:val="center"/>
          </w:tcPr>
          <w:p w14:paraId="685C16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5F488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0714C0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36E107F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0.006ND</w:t>
            </w:r>
          </w:p>
        </w:tc>
        <w:tc>
          <w:tcPr>
            <w:tcW w:w="750" w:type="pct"/>
            <w:shd w:val="clear" w:color="auto" w:fill="auto"/>
            <w:vAlign w:val="center"/>
          </w:tcPr>
          <w:p w14:paraId="128C30B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79ACC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26E872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185B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561DA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6B00C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356FA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294FE1D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CC9BC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FF619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51788A9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81932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E8245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CD9ED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A8725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2117A26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5D48B0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73A71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647AC19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78554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A4992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44BA03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54D984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153F645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19C234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6BCB8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62A387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7CA0F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31FA0F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3990E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7D605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2C60A9F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4F74E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2841F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2003CC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3FAE8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55FCF2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T4柱状样</w:t>
            </w:r>
          </w:p>
          <w:p w14:paraId="4DC362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5D07C5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0-0.5m</w:t>
            </w:r>
          </w:p>
        </w:tc>
        <w:tc>
          <w:tcPr>
            <w:tcW w:w="687" w:type="pct"/>
            <w:vMerge w:val="restart"/>
            <w:shd w:val="clear" w:color="auto" w:fill="auto"/>
            <w:vAlign w:val="center"/>
          </w:tcPr>
          <w:p w14:paraId="1F18163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干、红棕、中壤土、少量植被</w:t>
            </w:r>
          </w:p>
        </w:tc>
        <w:tc>
          <w:tcPr>
            <w:tcW w:w="875" w:type="pct"/>
            <w:shd w:val="clear" w:color="auto" w:fill="auto"/>
            <w:vAlign w:val="center"/>
          </w:tcPr>
          <w:p w14:paraId="623466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47514E3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0.090</w:t>
            </w:r>
          </w:p>
        </w:tc>
        <w:tc>
          <w:tcPr>
            <w:tcW w:w="750" w:type="pct"/>
            <w:shd w:val="clear" w:color="auto" w:fill="auto"/>
            <w:vAlign w:val="center"/>
          </w:tcPr>
          <w:p w14:paraId="0BE5EAF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31FDB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1329A8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11C8D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926F6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1D673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12724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3A4F6B3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785CED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A2E5D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206BCC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7D933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839C6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AB02C7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BF3869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26EBC62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299A45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6CB149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0A8B56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635E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738DF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5D548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3F51F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7997306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EB1FD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21C33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52E41F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BC37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A803AF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F658E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C770F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5466246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7E5BE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C524F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0E2C98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F61D7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6682BD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5056D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03163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320E233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5674CE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1BC4F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663E90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1ADF4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4D506F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26294B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32386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3E735B2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1256AC3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9992E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78F044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CADB4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0EBB8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1C106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109E2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7DD602B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24A3592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3B9DD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6326AE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97FB4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15A39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F55EA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17A59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165945C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EF63D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2BF3D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182C07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700047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DE575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4F8B8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90BB87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06B4387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4189B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3DB74E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3CF512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C77A06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38B9B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BC367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3CF96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60479D4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60218BA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F3756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7993A40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98D1E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B61958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8DC18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395446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558A794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301A9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78DF3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3C9DA3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C838F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32305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F24DA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055978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112838B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B3A28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DB9A0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75508C5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C83A0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F6576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69798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52865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54C22D7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8D4CF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C7CB7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2B88F5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B2D99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BD554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1B4A70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0FC9F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3D83B88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C415F4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17206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0F3BE0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0CFA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657F8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B81BF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83B57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568FCF5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53467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9659F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211B29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083C0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45B42BD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T4柱状样</w:t>
            </w:r>
          </w:p>
          <w:p w14:paraId="401396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332D886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0-0.5m</w:t>
            </w:r>
          </w:p>
        </w:tc>
        <w:tc>
          <w:tcPr>
            <w:tcW w:w="687" w:type="pct"/>
            <w:vMerge w:val="restart"/>
            <w:shd w:val="clear" w:color="auto" w:fill="auto"/>
            <w:vAlign w:val="center"/>
          </w:tcPr>
          <w:p w14:paraId="6ECD43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干、红棕、中壤土、少量植被</w:t>
            </w:r>
          </w:p>
        </w:tc>
        <w:tc>
          <w:tcPr>
            <w:tcW w:w="875" w:type="pct"/>
            <w:shd w:val="clear" w:color="auto" w:fill="auto"/>
            <w:vAlign w:val="center"/>
          </w:tcPr>
          <w:p w14:paraId="1602E1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1DF0782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26890C3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13AAD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01D83E3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443D4C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102C1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7B7B7D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1987F0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1DE57BC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315872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A6FDCF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52818F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E95C7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B8C962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CC3697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D68D1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4F03C32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9863A7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8391A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47BD84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2045B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6EAB58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7F75D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B3D00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71A77B1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04D163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1DD95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3C7946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7E3734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D1521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788AAD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8491D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0D30855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650D4B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8D000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49B6FA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20E45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44020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F0DD47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66741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1FB2A6F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BC796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0ECD2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17D6B80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6660D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21C64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28B37B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5B9DF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7BB5602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15A55BA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E2FDF3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79D291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CD1A4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ED68B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B20700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DABD4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44C86AF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20974A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6E11B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7B748A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44FEF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8" w:hRule="exact"/>
        </w:trPr>
        <w:tc>
          <w:tcPr>
            <w:tcW w:w="626" w:type="pct"/>
            <w:vMerge w:val="continue"/>
            <w:shd w:val="clear" w:color="auto" w:fill="auto"/>
            <w:vAlign w:val="center"/>
          </w:tcPr>
          <w:p w14:paraId="78644B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41ED3A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FF2DE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68EFCA1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0.05</w:t>
            </w:r>
          </w:p>
        </w:tc>
        <w:tc>
          <w:tcPr>
            <w:tcW w:w="750" w:type="pct"/>
            <w:shd w:val="clear" w:color="auto" w:fill="auto"/>
            <w:vAlign w:val="center"/>
          </w:tcPr>
          <w:p w14:paraId="23D2EC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720CC9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26A5D8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F96AA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626" w:type="pct"/>
            <w:vMerge w:val="continue"/>
            <w:shd w:val="clear" w:color="auto" w:fill="auto"/>
            <w:vAlign w:val="center"/>
          </w:tcPr>
          <w:p w14:paraId="17E8A8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9CF66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139A7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3B400D4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598501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B29C9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637BCCA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BD745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626" w:type="pct"/>
            <w:vMerge w:val="continue"/>
            <w:shd w:val="clear" w:color="auto" w:fill="auto"/>
            <w:vAlign w:val="center"/>
          </w:tcPr>
          <w:p w14:paraId="193E363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E395D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530C6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49A20E2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48360DF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058066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57B78F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AE416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626" w:type="pct"/>
            <w:vMerge w:val="continue"/>
            <w:shd w:val="clear" w:color="auto" w:fill="auto"/>
            <w:vAlign w:val="center"/>
          </w:tcPr>
          <w:p w14:paraId="3BB1A5D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59DAFB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871E5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60CF262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BE33A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B1EF1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3011B42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31580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03101A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T4柱状样</w:t>
            </w:r>
          </w:p>
          <w:p w14:paraId="29133B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57176B3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0.5-1.5m</w:t>
            </w:r>
          </w:p>
        </w:tc>
        <w:tc>
          <w:tcPr>
            <w:tcW w:w="687" w:type="pct"/>
            <w:vMerge w:val="restart"/>
            <w:shd w:val="clear" w:color="auto" w:fill="auto"/>
            <w:vAlign w:val="center"/>
          </w:tcPr>
          <w:p w14:paraId="563D33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67806F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282B6B1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0.144</w:t>
            </w:r>
          </w:p>
        </w:tc>
        <w:tc>
          <w:tcPr>
            <w:tcW w:w="750" w:type="pct"/>
            <w:shd w:val="clear" w:color="auto" w:fill="auto"/>
            <w:vAlign w:val="center"/>
          </w:tcPr>
          <w:p w14:paraId="243190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A2523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51822AF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01BD2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D48B5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367EBD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826C4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06BE3A9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26A5680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BE967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6009B57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E856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99899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E8B26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F78480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51AC84A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0B753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089C1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1E3871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9A7E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80EDA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92EA3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6542E8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64E8EEC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B97BD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52E8B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584BC43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76B5F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611B6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78E17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D8151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045EA84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021F3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C0EB5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18DC74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7C5A9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E5E3A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B88A9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6EA60B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0B37B75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32782C8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2A7C83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65DC6D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9D5C4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C6A782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AEE59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EE2B9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1BB9296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1D09193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CDB014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1EDCF3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503CB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91A2D4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C0F66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E781A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6BCBB29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046EF71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0B18E0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133E8A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3C3A7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986E7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2AE95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ACC5D1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436CABC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C23C6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B502F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38F135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14BEC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E6636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E6671D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8D0FD5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661E552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8164E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B7BF16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00086D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8786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2578C5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92D46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835019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05B3EC3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6DAA51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AE0744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3C135F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A7734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51DCB5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6F7AFB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9965F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04ED491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47A2EA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D124E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7C61CF7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9CE00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FE8544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4940B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3365FA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7793E23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3C450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8D3DEC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1487B3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FCB0E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A013B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8987E6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B7454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056A518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E89E6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3E1A9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39F26F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951EF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C46E8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76B771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246F0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1A664F3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AE3595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60432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5D3CB7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7D51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CCC7DA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8B716B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3EF14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66AE79D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1D087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599BA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7ACCF61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D6CF0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78447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54E21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B52AF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2AE2CA3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31FE35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D7596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2C9F85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5830F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58C1A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511FC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FEADA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1188A5E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A6DB2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4CA4A1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794C3D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533DAB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2C824F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1CF65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14D7C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3B0CBDA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74C75C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AEC6E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1B0815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4013C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80042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23199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5DCC3F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70549ED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473CC8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59F87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01F49A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A8BD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5AFF7B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T4柱状样</w:t>
            </w:r>
          </w:p>
          <w:p w14:paraId="720CEB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523BF1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0.5-1.5m</w:t>
            </w:r>
          </w:p>
        </w:tc>
        <w:tc>
          <w:tcPr>
            <w:tcW w:w="687" w:type="pct"/>
            <w:vMerge w:val="restart"/>
            <w:shd w:val="clear" w:color="auto" w:fill="auto"/>
            <w:vAlign w:val="center"/>
          </w:tcPr>
          <w:p w14:paraId="5A750E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2811A0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768988B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318A28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DAAA1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78F205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80917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15EE0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858BE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9D09BC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11748B4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42E71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B2FB1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676EE2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D665F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72445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61BB8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1D13D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64BD854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0FFE361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2BB2A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3C2C697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9F5B1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FD0D8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D2D6F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E8421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4E5F736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7965E2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30C28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FA18F3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FCEC1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9D1EFA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080B4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1F833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4F7F90B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0.05</w:t>
            </w:r>
          </w:p>
        </w:tc>
        <w:tc>
          <w:tcPr>
            <w:tcW w:w="750" w:type="pct"/>
            <w:shd w:val="clear" w:color="auto" w:fill="auto"/>
            <w:vAlign w:val="center"/>
          </w:tcPr>
          <w:p w14:paraId="55931E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C5431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5C54997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88696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7" w:hRule="exact"/>
        </w:trPr>
        <w:tc>
          <w:tcPr>
            <w:tcW w:w="626" w:type="pct"/>
            <w:vMerge w:val="continue"/>
            <w:shd w:val="clear" w:color="auto" w:fill="auto"/>
            <w:vAlign w:val="center"/>
          </w:tcPr>
          <w:p w14:paraId="1A62327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EC3967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388590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01CB193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7BBF5E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3A125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42D5B5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83E97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626" w:type="pct"/>
            <w:vMerge w:val="continue"/>
            <w:shd w:val="clear" w:color="auto" w:fill="auto"/>
            <w:vAlign w:val="center"/>
          </w:tcPr>
          <w:p w14:paraId="679184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5A09F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BA1DC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236B75B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254A8B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C78F76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46AB02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D73F9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7" w:hRule="atLeast"/>
        </w:trPr>
        <w:tc>
          <w:tcPr>
            <w:tcW w:w="626" w:type="pct"/>
            <w:vMerge w:val="continue"/>
            <w:shd w:val="clear" w:color="auto" w:fill="auto"/>
            <w:vAlign w:val="center"/>
          </w:tcPr>
          <w:p w14:paraId="2F8EC8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4AC2B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FD694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1BAA1BD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DAECE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9527A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78E1B5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2A9CB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2967018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T4柱状样</w:t>
            </w:r>
          </w:p>
          <w:p w14:paraId="1E1704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686394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1.5-3m</w:t>
            </w:r>
          </w:p>
        </w:tc>
        <w:tc>
          <w:tcPr>
            <w:tcW w:w="687" w:type="pct"/>
            <w:vMerge w:val="restart"/>
            <w:shd w:val="clear" w:color="auto" w:fill="auto"/>
            <w:vAlign w:val="center"/>
          </w:tcPr>
          <w:p w14:paraId="4A0C92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1A995B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4BB5CDD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0.086</w:t>
            </w:r>
          </w:p>
        </w:tc>
        <w:tc>
          <w:tcPr>
            <w:tcW w:w="750" w:type="pct"/>
            <w:shd w:val="clear" w:color="auto" w:fill="auto"/>
            <w:vAlign w:val="center"/>
          </w:tcPr>
          <w:p w14:paraId="54DA2A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E64EC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1411AA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68C844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1C213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4FB9A6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699BA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5DA4AA8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6F29A7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98131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146B18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5F060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D4A81A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B3B2B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D00D7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79DE6E8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5F767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51E49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622377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FF74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C14F8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34719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B8AFA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3652B6A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9C7D05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11684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625749A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257B5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8D403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07B918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60346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2939BBA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40EC3A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81C52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477BB9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41C2F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58AC9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DBF29A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94C0B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1D6A623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33DC18C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957BF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0A62C5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8DBA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7E7B6C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79746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06582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1052130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4A1825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2E6B1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56FA6E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DCB0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686338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9F8A3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0E292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61D1623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4DFDA66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65B8D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3F165E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ED3D4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DB0EA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E7D08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56BE0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79B2975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A6205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B6F78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18F380F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FB308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A1137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B36D2E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EF185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56C8F5D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9A9FD2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FC89A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60EA34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86D38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705A4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DFBA04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D0BAC5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5F241D9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0DFDAA7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C3CBC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1DED45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C08D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E66C9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CB9900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E1504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63C410F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B33EC4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DD3D8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147639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3BC5D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6DF52D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7E9BF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4C8C7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7C3EF8D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77D7B0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8414F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70822A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A591A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2A7A7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429DE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03242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6E18C5FB">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8B32B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C1082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262308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B2BB6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52D7E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716E1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C568FE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5EB41B2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EC84A1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AC5E04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0EFBAC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E7B9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FA817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50798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2CEF00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4562D87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44B5F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580B9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2150B9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65FBB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6C8E8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0A0A3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775FA6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670C2D6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7C0588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1E5C3A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04A06F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DD787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6D868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BD1189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AD38D4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0A6E120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BE88A4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034F97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5199E7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CEC94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37E63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502757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F04B5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30CD1BD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B2D8A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56CF7D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0AB94C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2E9AC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482F77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211B4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DA57D8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5DF6C8E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w:t>
            </w:r>
          </w:p>
        </w:tc>
        <w:tc>
          <w:tcPr>
            <w:tcW w:w="750" w:type="pct"/>
            <w:shd w:val="clear" w:color="auto" w:fill="auto"/>
            <w:vAlign w:val="center"/>
          </w:tcPr>
          <w:p w14:paraId="134BD9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473D5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363E36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D41D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CC84FA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8147B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208EB0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1C73B80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5BA2FF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A600B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160355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D963E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95AE9C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4DBD4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DD30B0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2E7136D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6286B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D99CC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60956C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B3607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FBE5B7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E4B6FA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5061C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14A68EB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052205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603F5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7F656B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1340B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057983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T4柱状样</w:t>
            </w:r>
          </w:p>
          <w:p w14:paraId="79047B0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项目厂区内</w:t>
            </w:r>
          </w:p>
          <w:p w14:paraId="4D3E2E6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1.5-3m</w:t>
            </w:r>
          </w:p>
        </w:tc>
        <w:tc>
          <w:tcPr>
            <w:tcW w:w="687" w:type="pct"/>
            <w:vMerge w:val="restart"/>
            <w:shd w:val="clear" w:color="auto" w:fill="auto"/>
            <w:vAlign w:val="center"/>
          </w:tcPr>
          <w:p w14:paraId="309B322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潮、红棕、粘土、无植被</w:t>
            </w:r>
          </w:p>
        </w:tc>
        <w:tc>
          <w:tcPr>
            <w:tcW w:w="875" w:type="pct"/>
            <w:shd w:val="clear" w:color="auto" w:fill="auto"/>
            <w:vAlign w:val="center"/>
          </w:tcPr>
          <w:p w14:paraId="794E6B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572B8BD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3B41279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25697F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2EAED9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3798F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5D435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F437BC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752972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27E0A2B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2C68E8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36CA7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0CB406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E84D9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7" w:hRule="exact"/>
        </w:trPr>
        <w:tc>
          <w:tcPr>
            <w:tcW w:w="626" w:type="pct"/>
            <w:vMerge w:val="continue"/>
            <w:shd w:val="clear" w:color="auto" w:fill="auto"/>
            <w:vAlign w:val="center"/>
          </w:tcPr>
          <w:p w14:paraId="121533D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567DCE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BFCD8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0DB14E2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385F17F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C9565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0675B4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BE0CE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3" w:hRule="exact"/>
        </w:trPr>
        <w:tc>
          <w:tcPr>
            <w:tcW w:w="626" w:type="pct"/>
            <w:vMerge w:val="continue"/>
            <w:shd w:val="clear" w:color="auto" w:fill="auto"/>
            <w:vAlign w:val="center"/>
          </w:tcPr>
          <w:p w14:paraId="16F0565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1B18B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7BFB7B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518D7F4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53B9B0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4A6DC4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54793F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7388F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6" w:hRule="exact"/>
        </w:trPr>
        <w:tc>
          <w:tcPr>
            <w:tcW w:w="626" w:type="pct"/>
            <w:vMerge w:val="continue"/>
            <w:shd w:val="clear" w:color="auto" w:fill="auto"/>
            <w:vAlign w:val="center"/>
          </w:tcPr>
          <w:p w14:paraId="3355F2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0F442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C3A23D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303C8CE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274879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4DD3B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2D0BE2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E3BB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76FEB3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T5表层样</w:t>
            </w:r>
          </w:p>
          <w:p w14:paraId="12FC43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厂区外西北侧</w:t>
            </w:r>
          </w:p>
          <w:p w14:paraId="4ED1BA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1.5-3m</w:t>
            </w:r>
          </w:p>
        </w:tc>
        <w:tc>
          <w:tcPr>
            <w:tcW w:w="687" w:type="pct"/>
            <w:vMerge w:val="restart"/>
            <w:shd w:val="clear" w:color="auto" w:fill="auto"/>
            <w:vAlign w:val="center"/>
          </w:tcPr>
          <w:p w14:paraId="1EE79FF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潮、红棕、中壤土、少量植被</w:t>
            </w:r>
          </w:p>
        </w:tc>
        <w:tc>
          <w:tcPr>
            <w:tcW w:w="875" w:type="pct"/>
            <w:shd w:val="clear" w:color="auto" w:fill="auto"/>
            <w:vAlign w:val="center"/>
          </w:tcPr>
          <w:p w14:paraId="0E981ED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09105A4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0.116</w:t>
            </w:r>
          </w:p>
        </w:tc>
        <w:tc>
          <w:tcPr>
            <w:tcW w:w="750" w:type="pct"/>
            <w:shd w:val="clear" w:color="auto" w:fill="auto"/>
            <w:vAlign w:val="center"/>
          </w:tcPr>
          <w:p w14:paraId="6514467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3C088F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3D9E94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53783F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F33B2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9A403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38DFD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PH</w:t>
            </w:r>
          </w:p>
        </w:tc>
        <w:tc>
          <w:tcPr>
            <w:tcW w:w="563" w:type="pct"/>
            <w:shd w:val="clear" w:color="auto" w:fill="auto"/>
            <w:vAlign w:val="center"/>
          </w:tcPr>
          <w:p w14:paraId="6BFCA3D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5.62</w:t>
            </w:r>
          </w:p>
        </w:tc>
        <w:tc>
          <w:tcPr>
            <w:tcW w:w="750" w:type="pct"/>
            <w:shd w:val="clear" w:color="auto" w:fill="auto"/>
            <w:vAlign w:val="center"/>
          </w:tcPr>
          <w:p w14:paraId="0B73795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无量纲</w:t>
            </w:r>
          </w:p>
        </w:tc>
        <w:tc>
          <w:tcPr>
            <w:tcW w:w="750" w:type="pct"/>
            <w:shd w:val="clear" w:color="auto" w:fill="auto"/>
            <w:vAlign w:val="center"/>
          </w:tcPr>
          <w:p w14:paraId="60C636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722A35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3C0A69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52B78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5BA1B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4A4A98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7DFB942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721FED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66FEE0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188A2CF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B3283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DDE43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419FB5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CD1DD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6C86994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781555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0474E4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6C0EFAB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CA651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5" w:hRule="exact"/>
        </w:trPr>
        <w:tc>
          <w:tcPr>
            <w:tcW w:w="626" w:type="pct"/>
            <w:vMerge w:val="continue"/>
            <w:shd w:val="clear" w:color="auto" w:fill="auto"/>
            <w:vAlign w:val="center"/>
          </w:tcPr>
          <w:p w14:paraId="013E47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A8B588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0FE9CC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5683BD0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86E713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423098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559FBD9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B770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ABDA6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E73EB2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7251AB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7781656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68BF21D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9AEE2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340099A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17BDD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0684E7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C6E42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8DBE56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71488E5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224E828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1680C6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438518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EE30FC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89D02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5D132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20AB7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60E1BE5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3812453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5CD9A2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7E014C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3C591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21DCB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886BC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1CAD62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30C97B0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732928F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15281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0BDFC35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07127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81325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B79D5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4976C6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52E5A89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9A3BB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EF162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2145B7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5BA7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DE77E5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C521C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47E2F5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750FB76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1C4AA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F034D9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7757B62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E0E92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6EBB0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06377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9779B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460AD73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538AF8B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9ECAE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58E27A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9C48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541FC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0A5F13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0F2BE8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7991883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A2A6B5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58029C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0E657A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0AA5E9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D17D4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17E4D7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351824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1A6889B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E837F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B65F7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769D31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7E64A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C5491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E34A9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AB8D89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6478913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49457E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62832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3270FD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A6CFA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7D1AAA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03492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F912D3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494FC7B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7DF6E3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BB390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273B7B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C3D12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47D649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F846CB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0226F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28EEA61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4DC88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DCCEB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03BDAC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DE836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7B9CC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A250D2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3AB01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7F6D120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15B27D5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01E37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54739A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8B39B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C47B1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73DC7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C0483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786F3D4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80DBE5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34643F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11CD42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58981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86EE69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265D6B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1FD40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08AEBF8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0.04</w:t>
            </w:r>
          </w:p>
        </w:tc>
        <w:tc>
          <w:tcPr>
            <w:tcW w:w="750" w:type="pct"/>
            <w:shd w:val="clear" w:color="auto" w:fill="auto"/>
            <w:vAlign w:val="center"/>
          </w:tcPr>
          <w:p w14:paraId="7351A2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DAF14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367410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1F887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C96F0E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680156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B2779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489BF72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w:t>
            </w:r>
          </w:p>
        </w:tc>
        <w:tc>
          <w:tcPr>
            <w:tcW w:w="750" w:type="pct"/>
            <w:shd w:val="clear" w:color="auto" w:fill="auto"/>
            <w:vAlign w:val="center"/>
          </w:tcPr>
          <w:p w14:paraId="21A4F0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CB0530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707036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C773B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5F22F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C6E27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285ED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6679E68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5D9834C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25CB48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5A6CC08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37DE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A5AC00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2C8078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6D2C5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2032D4A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4482D0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B13DE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52CD591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D16E1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0C4CC9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47CC5C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B66AF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772B8A1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50CD563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B770E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68EC5ED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74EB9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7F11C8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F39751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F6ABC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524E89A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w:t>
            </w:r>
          </w:p>
        </w:tc>
        <w:tc>
          <w:tcPr>
            <w:tcW w:w="750" w:type="pct"/>
            <w:shd w:val="clear" w:color="auto" w:fill="auto"/>
            <w:vAlign w:val="center"/>
          </w:tcPr>
          <w:p w14:paraId="5ECA5A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D3893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4EE085B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67916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ED936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70D42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8E0368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73E91FA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E23EDA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22EF7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4AEF3D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7E7AC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23705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AA9B9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1488C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5D91962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45DC88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4FF8B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65F9E3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47968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3637FF7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T5表层样</w:t>
            </w:r>
          </w:p>
          <w:p w14:paraId="33A1D8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厂区外西北侧</w:t>
            </w:r>
          </w:p>
          <w:p w14:paraId="074D927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1.5-3m</w:t>
            </w:r>
          </w:p>
        </w:tc>
        <w:tc>
          <w:tcPr>
            <w:tcW w:w="687" w:type="pct"/>
            <w:vMerge w:val="restart"/>
            <w:shd w:val="clear" w:color="auto" w:fill="auto"/>
            <w:vAlign w:val="center"/>
          </w:tcPr>
          <w:p w14:paraId="34F9822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潮、红棕、中壤土、少量植被</w:t>
            </w:r>
          </w:p>
        </w:tc>
        <w:tc>
          <w:tcPr>
            <w:tcW w:w="875" w:type="pct"/>
            <w:shd w:val="clear" w:color="auto" w:fill="auto"/>
            <w:vAlign w:val="center"/>
          </w:tcPr>
          <w:p w14:paraId="0FD5B5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7D15F43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10727D3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3CA35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33980FB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7915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8" w:hRule="exact"/>
        </w:trPr>
        <w:tc>
          <w:tcPr>
            <w:tcW w:w="626" w:type="pct"/>
            <w:vMerge w:val="continue"/>
            <w:shd w:val="clear" w:color="auto" w:fill="auto"/>
            <w:vAlign w:val="center"/>
          </w:tcPr>
          <w:p w14:paraId="412920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6F25DA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B0B35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202E963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23F20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9577E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404448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867E4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6D1188F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T6表层样</w:t>
            </w:r>
          </w:p>
          <w:p w14:paraId="4B3D1B1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厂区外西南侧</w:t>
            </w:r>
          </w:p>
          <w:p w14:paraId="1BEE46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0-0.2m</w:t>
            </w:r>
          </w:p>
        </w:tc>
        <w:tc>
          <w:tcPr>
            <w:tcW w:w="687" w:type="pct"/>
            <w:vMerge w:val="restart"/>
            <w:shd w:val="clear" w:color="auto" w:fill="auto"/>
            <w:vAlign w:val="center"/>
          </w:tcPr>
          <w:p w14:paraId="226049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潮、黄壤、中壤土、少量植被</w:t>
            </w:r>
          </w:p>
        </w:tc>
        <w:tc>
          <w:tcPr>
            <w:tcW w:w="875" w:type="pct"/>
            <w:shd w:val="clear" w:color="auto" w:fill="auto"/>
            <w:vAlign w:val="center"/>
          </w:tcPr>
          <w:p w14:paraId="35FAD4B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挥发性有机物</w:t>
            </w:r>
          </w:p>
        </w:tc>
        <w:tc>
          <w:tcPr>
            <w:tcW w:w="563" w:type="pct"/>
            <w:shd w:val="clear" w:color="auto" w:fill="auto"/>
            <w:vAlign w:val="center"/>
          </w:tcPr>
          <w:p w14:paraId="01EB4C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0.072</w:t>
            </w:r>
          </w:p>
        </w:tc>
        <w:tc>
          <w:tcPr>
            <w:tcW w:w="750" w:type="pct"/>
            <w:shd w:val="clear" w:color="auto" w:fill="auto"/>
            <w:vAlign w:val="center"/>
          </w:tcPr>
          <w:p w14:paraId="24F7B7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94535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23F661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3D2F2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7247D4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49CF2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F020C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PH</w:t>
            </w:r>
          </w:p>
        </w:tc>
        <w:tc>
          <w:tcPr>
            <w:tcW w:w="563" w:type="pct"/>
            <w:shd w:val="clear" w:color="auto" w:fill="auto"/>
            <w:vAlign w:val="center"/>
          </w:tcPr>
          <w:p w14:paraId="68B44C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5.28</w:t>
            </w:r>
          </w:p>
        </w:tc>
        <w:tc>
          <w:tcPr>
            <w:tcW w:w="750" w:type="pct"/>
            <w:shd w:val="clear" w:color="auto" w:fill="auto"/>
            <w:vAlign w:val="center"/>
          </w:tcPr>
          <w:p w14:paraId="3F470B8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无量纲</w:t>
            </w:r>
          </w:p>
        </w:tc>
        <w:tc>
          <w:tcPr>
            <w:tcW w:w="750" w:type="pct"/>
            <w:shd w:val="clear" w:color="auto" w:fill="auto"/>
            <w:vAlign w:val="center"/>
          </w:tcPr>
          <w:p w14:paraId="05E40C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749" w:type="pct"/>
            <w:shd w:val="clear" w:color="auto" w:fill="auto"/>
            <w:vAlign w:val="center"/>
          </w:tcPr>
          <w:p w14:paraId="38982C1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r>
      <w:tr w14:paraId="6A618C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7F137A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B70B7E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D2DB79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砷</w:t>
            </w:r>
          </w:p>
        </w:tc>
        <w:tc>
          <w:tcPr>
            <w:tcW w:w="563" w:type="pct"/>
            <w:shd w:val="clear" w:color="auto" w:fill="auto"/>
            <w:vAlign w:val="center"/>
          </w:tcPr>
          <w:p w14:paraId="6FF5E7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18.7</w:t>
            </w:r>
          </w:p>
        </w:tc>
        <w:tc>
          <w:tcPr>
            <w:tcW w:w="750" w:type="pct"/>
            <w:shd w:val="clear" w:color="auto" w:fill="auto"/>
            <w:vAlign w:val="center"/>
          </w:tcPr>
          <w:p w14:paraId="3CDA28A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D5590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60</w:t>
            </w:r>
          </w:p>
        </w:tc>
        <w:tc>
          <w:tcPr>
            <w:tcW w:w="749" w:type="pct"/>
            <w:shd w:val="clear" w:color="auto" w:fill="auto"/>
            <w:vAlign w:val="center"/>
          </w:tcPr>
          <w:p w14:paraId="3746C8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6D89F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9D64F7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679067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FDEF84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镉</w:t>
            </w:r>
          </w:p>
        </w:tc>
        <w:tc>
          <w:tcPr>
            <w:tcW w:w="563" w:type="pct"/>
            <w:shd w:val="clear" w:color="auto" w:fill="auto"/>
            <w:vAlign w:val="center"/>
          </w:tcPr>
          <w:p w14:paraId="5341A7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0.46</w:t>
            </w:r>
          </w:p>
        </w:tc>
        <w:tc>
          <w:tcPr>
            <w:tcW w:w="750" w:type="pct"/>
            <w:shd w:val="clear" w:color="auto" w:fill="auto"/>
            <w:vAlign w:val="center"/>
          </w:tcPr>
          <w:p w14:paraId="360C31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E9B8F4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65</w:t>
            </w:r>
          </w:p>
        </w:tc>
        <w:tc>
          <w:tcPr>
            <w:tcW w:w="749" w:type="pct"/>
            <w:shd w:val="clear" w:color="auto" w:fill="auto"/>
            <w:vAlign w:val="center"/>
          </w:tcPr>
          <w:p w14:paraId="14C15B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E4822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B29AB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E6E1DD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F0FEE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六价铬</w:t>
            </w:r>
          </w:p>
        </w:tc>
        <w:tc>
          <w:tcPr>
            <w:tcW w:w="563" w:type="pct"/>
            <w:shd w:val="clear" w:color="auto" w:fill="auto"/>
            <w:vAlign w:val="center"/>
          </w:tcPr>
          <w:p w14:paraId="510A461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2.18</w:t>
            </w:r>
          </w:p>
        </w:tc>
        <w:tc>
          <w:tcPr>
            <w:tcW w:w="750" w:type="pct"/>
            <w:shd w:val="clear" w:color="auto" w:fill="auto"/>
            <w:vAlign w:val="center"/>
          </w:tcPr>
          <w:p w14:paraId="5693A5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D26D4C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w:t>
            </w:r>
          </w:p>
        </w:tc>
        <w:tc>
          <w:tcPr>
            <w:tcW w:w="749" w:type="pct"/>
            <w:shd w:val="clear" w:color="auto" w:fill="auto"/>
            <w:vAlign w:val="center"/>
          </w:tcPr>
          <w:p w14:paraId="1832F91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6D900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4A32D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123A0F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D1534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铜</w:t>
            </w:r>
          </w:p>
        </w:tc>
        <w:tc>
          <w:tcPr>
            <w:tcW w:w="563" w:type="pct"/>
            <w:shd w:val="clear" w:color="auto" w:fill="auto"/>
            <w:vAlign w:val="center"/>
          </w:tcPr>
          <w:p w14:paraId="665B57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66.1</w:t>
            </w:r>
          </w:p>
        </w:tc>
        <w:tc>
          <w:tcPr>
            <w:tcW w:w="750" w:type="pct"/>
            <w:shd w:val="clear" w:color="auto" w:fill="auto"/>
            <w:vAlign w:val="center"/>
          </w:tcPr>
          <w:p w14:paraId="4E544D6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BB17D3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18000</w:t>
            </w:r>
          </w:p>
        </w:tc>
        <w:tc>
          <w:tcPr>
            <w:tcW w:w="749" w:type="pct"/>
            <w:shd w:val="clear" w:color="auto" w:fill="auto"/>
            <w:vAlign w:val="center"/>
          </w:tcPr>
          <w:p w14:paraId="405332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2ACF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36373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9A27CE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6FE578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铅</w:t>
            </w:r>
          </w:p>
        </w:tc>
        <w:tc>
          <w:tcPr>
            <w:tcW w:w="563" w:type="pct"/>
            <w:shd w:val="clear" w:color="auto" w:fill="auto"/>
            <w:vAlign w:val="center"/>
          </w:tcPr>
          <w:p w14:paraId="65A91F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10.9</w:t>
            </w:r>
          </w:p>
        </w:tc>
        <w:tc>
          <w:tcPr>
            <w:tcW w:w="750" w:type="pct"/>
            <w:shd w:val="clear" w:color="auto" w:fill="auto"/>
            <w:vAlign w:val="center"/>
          </w:tcPr>
          <w:p w14:paraId="666A31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01EF2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800</w:t>
            </w:r>
          </w:p>
        </w:tc>
        <w:tc>
          <w:tcPr>
            <w:tcW w:w="749" w:type="pct"/>
            <w:shd w:val="clear" w:color="auto" w:fill="auto"/>
            <w:vAlign w:val="center"/>
          </w:tcPr>
          <w:p w14:paraId="2CDC4BE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B5D72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B15FC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E92DB1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52E43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汞</w:t>
            </w:r>
          </w:p>
        </w:tc>
        <w:tc>
          <w:tcPr>
            <w:tcW w:w="563" w:type="pct"/>
            <w:shd w:val="clear" w:color="auto" w:fill="auto"/>
            <w:vAlign w:val="center"/>
          </w:tcPr>
          <w:p w14:paraId="49C71D6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0.179</w:t>
            </w:r>
          </w:p>
        </w:tc>
        <w:tc>
          <w:tcPr>
            <w:tcW w:w="750" w:type="pct"/>
            <w:shd w:val="clear" w:color="auto" w:fill="auto"/>
            <w:vAlign w:val="center"/>
          </w:tcPr>
          <w:p w14:paraId="029173B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3F63A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38</w:t>
            </w:r>
          </w:p>
        </w:tc>
        <w:tc>
          <w:tcPr>
            <w:tcW w:w="749" w:type="pct"/>
            <w:shd w:val="clear" w:color="auto" w:fill="auto"/>
            <w:vAlign w:val="center"/>
          </w:tcPr>
          <w:p w14:paraId="05E24D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3B46C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CA62A2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7D1A394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A96C89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镍</w:t>
            </w:r>
          </w:p>
        </w:tc>
        <w:tc>
          <w:tcPr>
            <w:tcW w:w="563" w:type="pct"/>
            <w:shd w:val="clear" w:color="auto" w:fill="auto"/>
            <w:vAlign w:val="center"/>
          </w:tcPr>
          <w:p w14:paraId="182A36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95.1</w:t>
            </w:r>
          </w:p>
        </w:tc>
        <w:tc>
          <w:tcPr>
            <w:tcW w:w="750" w:type="pct"/>
            <w:shd w:val="clear" w:color="auto" w:fill="auto"/>
            <w:vAlign w:val="center"/>
          </w:tcPr>
          <w:p w14:paraId="3B2647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E3FD8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900</w:t>
            </w:r>
          </w:p>
        </w:tc>
        <w:tc>
          <w:tcPr>
            <w:tcW w:w="749" w:type="pct"/>
            <w:shd w:val="clear" w:color="auto" w:fill="auto"/>
            <w:vAlign w:val="center"/>
          </w:tcPr>
          <w:p w14:paraId="631BF6B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D336A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2" w:hRule="exact"/>
        </w:trPr>
        <w:tc>
          <w:tcPr>
            <w:tcW w:w="626" w:type="pct"/>
            <w:vMerge w:val="continue"/>
            <w:shd w:val="clear" w:color="auto" w:fill="auto"/>
            <w:vAlign w:val="center"/>
          </w:tcPr>
          <w:p w14:paraId="2482B22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7FA93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FE2585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四氯化碳</w:t>
            </w:r>
          </w:p>
        </w:tc>
        <w:tc>
          <w:tcPr>
            <w:tcW w:w="563" w:type="pct"/>
            <w:shd w:val="clear" w:color="auto" w:fill="auto"/>
            <w:vAlign w:val="center"/>
          </w:tcPr>
          <w:p w14:paraId="03C3C11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0.03ND</w:t>
            </w:r>
          </w:p>
        </w:tc>
        <w:tc>
          <w:tcPr>
            <w:tcW w:w="750" w:type="pct"/>
            <w:shd w:val="clear" w:color="auto" w:fill="auto"/>
            <w:vAlign w:val="center"/>
          </w:tcPr>
          <w:p w14:paraId="5C17202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9CAC3D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7FAE50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E3C5F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2038D3C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38D91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B96DF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氯仿</w:t>
            </w:r>
          </w:p>
        </w:tc>
        <w:tc>
          <w:tcPr>
            <w:tcW w:w="563" w:type="pct"/>
            <w:shd w:val="clear" w:color="auto" w:fill="auto"/>
            <w:vAlign w:val="center"/>
          </w:tcPr>
          <w:p w14:paraId="6E657D01">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05EFCC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58A531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0.9</w:t>
            </w:r>
          </w:p>
        </w:tc>
        <w:tc>
          <w:tcPr>
            <w:tcW w:w="749" w:type="pct"/>
            <w:shd w:val="clear" w:color="auto" w:fill="auto"/>
            <w:vAlign w:val="center"/>
          </w:tcPr>
          <w:p w14:paraId="1D5939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33135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F79638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4A2361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23E098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氯甲烷</w:t>
            </w:r>
          </w:p>
        </w:tc>
        <w:tc>
          <w:tcPr>
            <w:tcW w:w="563" w:type="pct"/>
            <w:shd w:val="clear" w:color="auto" w:fill="auto"/>
            <w:vAlign w:val="center"/>
          </w:tcPr>
          <w:p w14:paraId="6A3262B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3FFF3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3A07B9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37</w:t>
            </w:r>
          </w:p>
        </w:tc>
        <w:tc>
          <w:tcPr>
            <w:tcW w:w="749" w:type="pct"/>
            <w:shd w:val="clear" w:color="auto" w:fill="auto"/>
            <w:vAlign w:val="center"/>
          </w:tcPr>
          <w:p w14:paraId="5EEF2B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C3192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4DB560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AB4E31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2810AC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1,1-二氯乙烷</w:t>
            </w:r>
          </w:p>
        </w:tc>
        <w:tc>
          <w:tcPr>
            <w:tcW w:w="563" w:type="pct"/>
            <w:shd w:val="clear" w:color="auto" w:fill="auto"/>
            <w:vAlign w:val="center"/>
          </w:tcPr>
          <w:p w14:paraId="3F34463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32A8F7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0BF17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9</w:t>
            </w:r>
          </w:p>
        </w:tc>
        <w:tc>
          <w:tcPr>
            <w:tcW w:w="749" w:type="pct"/>
            <w:shd w:val="clear" w:color="auto" w:fill="auto"/>
            <w:vAlign w:val="center"/>
          </w:tcPr>
          <w:p w14:paraId="78C750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193BD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886E0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26731E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CEA7B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1,2-二氯乙烷</w:t>
            </w:r>
          </w:p>
        </w:tc>
        <w:tc>
          <w:tcPr>
            <w:tcW w:w="563" w:type="pct"/>
            <w:shd w:val="clear" w:color="auto" w:fill="auto"/>
            <w:vAlign w:val="center"/>
          </w:tcPr>
          <w:p w14:paraId="79E7C6B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37D034D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1469A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7720F24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30303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9A3D06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608F26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D727C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1,1-二氯乙烯</w:t>
            </w:r>
          </w:p>
        </w:tc>
        <w:tc>
          <w:tcPr>
            <w:tcW w:w="563" w:type="pct"/>
            <w:shd w:val="clear" w:color="auto" w:fill="auto"/>
            <w:vAlign w:val="center"/>
          </w:tcPr>
          <w:p w14:paraId="4D46B1F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22DB3E6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4D616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66</w:t>
            </w:r>
          </w:p>
        </w:tc>
        <w:tc>
          <w:tcPr>
            <w:tcW w:w="749" w:type="pct"/>
            <w:shd w:val="clear" w:color="auto" w:fill="auto"/>
            <w:vAlign w:val="center"/>
          </w:tcPr>
          <w:p w14:paraId="6D963CA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4D5D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01EE55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0CEB6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F928F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顺-1,2-二氯乙烯</w:t>
            </w:r>
          </w:p>
        </w:tc>
        <w:tc>
          <w:tcPr>
            <w:tcW w:w="563" w:type="pct"/>
            <w:shd w:val="clear" w:color="auto" w:fill="auto"/>
            <w:vAlign w:val="center"/>
          </w:tcPr>
          <w:p w14:paraId="29C43F9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426BF0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B28CF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596</w:t>
            </w:r>
          </w:p>
        </w:tc>
        <w:tc>
          <w:tcPr>
            <w:tcW w:w="749" w:type="pct"/>
            <w:shd w:val="clear" w:color="auto" w:fill="auto"/>
            <w:vAlign w:val="center"/>
          </w:tcPr>
          <w:p w14:paraId="64BFD2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33457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1887B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0AB640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552479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反-1,2-二氯乙烯</w:t>
            </w:r>
          </w:p>
        </w:tc>
        <w:tc>
          <w:tcPr>
            <w:tcW w:w="563" w:type="pct"/>
            <w:shd w:val="clear" w:color="auto" w:fill="auto"/>
            <w:vAlign w:val="center"/>
          </w:tcPr>
          <w:p w14:paraId="727F8ADA">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3C7831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AEDF01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54</w:t>
            </w:r>
          </w:p>
        </w:tc>
        <w:tc>
          <w:tcPr>
            <w:tcW w:w="749" w:type="pct"/>
            <w:shd w:val="clear" w:color="auto" w:fill="auto"/>
            <w:vAlign w:val="center"/>
          </w:tcPr>
          <w:p w14:paraId="22AD79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00BDB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82B8B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FF23C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4E1C0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二氯甲烷</w:t>
            </w:r>
          </w:p>
        </w:tc>
        <w:tc>
          <w:tcPr>
            <w:tcW w:w="563" w:type="pct"/>
            <w:shd w:val="clear" w:color="auto" w:fill="auto"/>
            <w:vAlign w:val="center"/>
          </w:tcPr>
          <w:p w14:paraId="7A1C7FD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508FA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C38DA0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616</w:t>
            </w:r>
          </w:p>
        </w:tc>
        <w:tc>
          <w:tcPr>
            <w:tcW w:w="749" w:type="pct"/>
            <w:shd w:val="clear" w:color="auto" w:fill="auto"/>
            <w:vAlign w:val="center"/>
          </w:tcPr>
          <w:p w14:paraId="12F2FEF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FDB16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E1E33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E574F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5C6FE0C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1,2-二氯丙烷</w:t>
            </w:r>
          </w:p>
        </w:tc>
        <w:tc>
          <w:tcPr>
            <w:tcW w:w="563" w:type="pct"/>
            <w:shd w:val="clear" w:color="auto" w:fill="auto"/>
            <w:vAlign w:val="center"/>
          </w:tcPr>
          <w:p w14:paraId="061F201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1FB4A8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4579F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749" w:type="pct"/>
            <w:shd w:val="clear" w:color="auto" w:fill="auto"/>
            <w:vAlign w:val="center"/>
          </w:tcPr>
          <w:p w14:paraId="54FAB28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F672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1D106F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1EDE18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3427D2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1,1,1,2-四氯乙烷</w:t>
            </w:r>
          </w:p>
        </w:tc>
        <w:tc>
          <w:tcPr>
            <w:tcW w:w="563" w:type="pct"/>
            <w:shd w:val="clear" w:color="auto" w:fill="auto"/>
            <w:vAlign w:val="center"/>
          </w:tcPr>
          <w:p w14:paraId="47F642C3">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5F244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80F08D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10</w:t>
            </w:r>
          </w:p>
        </w:tc>
        <w:tc>
          <w:tcPr>
            <w:tcW w:w="749" w:type="pct"/>
            <w:shd w:val="clear" w:color="auto" w:fill="auto"/>
            <w:vAlign w:val="center"/>
          </w:tcPr>
          <w:p w14:paraId="5DA0F9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4B7A5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FE21C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8DADC9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774B03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1,1,2,2-四氯乙烷</w:t>
            </w:r>
          </w:p>
        </w:tc>
        <w:tc>
          <w:tcPr>
            <w:tcW w:w="563" w:type="pct"/>
            <w:shd w:val="clear" w:color="auto" w:fill="auto"/>
            <w:vAlign w:val="center"/>
          </w:tcPr>
          <w:p w14:paraId="22C9CDE9">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359B6D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9D74B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6.8</w:t>
            </w:r>
          </w:p>
        </w:tc>
        <w:tc>
          <w:tcPr>
            <w:tcW w:w="749" w:type="pct"/>
            <w:shd w:val="clear" w:color="auto" w:fill="auto"/>
            <w:vAlign w:val="center"/>
          </w:tcPr>
          <w:p w14:paraId="1B2214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3A7DD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7AF82B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A1E562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A707D6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四氯乙烯</w:t>
            </w:r>
          </w:p>
        </w:tc>
        <w:tc>
          <w:tcPr>
            <w:tcW w:w="563" w:type="pct"/>
            <w:shd w:val="clear" w:color="auto" w:fill="auto"/>
            <w:vAlign w:val="center"/>
          </w:tcPr>
          <w:p w14:paraId="659DB742">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4CB5AC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C7A1F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53</w:t>
            </w:r>
          </w:p>
        </w:tc>
        <w:tc>
          <w:tcPr>
            <w:tcW w:w="749" w:type="pct"/>
            <w:shd w:val="clear" w:color="auto" w:fill="auto"/>
            <w:vAlign w:val="center"/>
          </w:tcPr>
          <w:p w14:paraId="411562C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0B215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7625F10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A90699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195F75D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1,1,1-三氯乙烷</w:t>
            </w:r>
          </w:p>
        </w:tc>
        <w:tc>
          <w:tcPr>
            <w:tcW w:w="563" w:type="pct"/>
            <w:shd w:val="clear" w:color="auto" w:fill="auto"/>
            <w:vAlign w:val="center"/>
          </w:tcPr>
          <w:p w14:paraId="0AD4988C">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23BB13D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46FCC49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840</w:t>
            </w:r>
          </w:p>
        </w:tc>
        <w:tc>
          <w:tcPr>
            <w:tcW w:w="749" w:type="pct"/>
            <w:shd w:val="clear" w:color="auto" w:fill="auto"/>
            <w:vAlign w:val="center"/>
          </w:tcPr>
          <w:p w14:paraId="4D8969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93170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DCDAE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11EA2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66800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1,1,2-三氯乙烷</w:t>
            </w:r>
          </w:p>
        </w:tc>
        <w:tc>
          <w:tcPr>
            <w:tcW w:w="563" w:type="pct"/>
            <w:shd w:val="clear" w:color="auto" w:fill="auto"/>
            <w:vAlign w:val="center"/>
          </w:tcPr>
          <w:p w14:paraId="67A78BC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578DCA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B3C82C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24995C4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6DC28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DAF6D0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91230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B4B31D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三氯乙烯</w:t>
            </w:r>
          </w:p>
        </w:tc>
        <w:tc>
          <w:tcPr>
            <w:tcW w:w="563" w:type="pct"/>
            <w:shd w:val="clear" w:color="auto" w:fill="auto"/>
            <w:vAlign w:val="center"/>
          </w:tcPr>
          <w:p w14:paraId="16C7BB7F">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04D753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530314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7FDB536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06C04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6D86DD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5AFF1F5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00E353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1,2,3-三氯丙烷</w:t>
            </w:r>
          </w:p>
        </w:tc>
        <w:tc>
          <w:tcPr>
            <w:tcW w:w="563" w:type="pct"/>
            <w:shd w:val="clear" w:color="auto" w:fill="auto"/>
            <w:vAlign w:val="center"/>
          </w:tcPr>
          <w:p w14:paraId="0A70D00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427C9E4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0DE782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0.5</w:t>
            </w:r>
          </w:p>
        </w:tc>
        <w:tc>
          <w:tcPr>
            <w:tcW w:w="749" w:type="pct"/>
            <w:shd w:val="clear" w:color="auto" w:fill="auto"/>
            <w:vAlign w:val="center"/>
          </w:tcPr>
          <w:p w14:paraId="5B3466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FE638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5559C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3C98BD7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E8C452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氯乙烯</w:t>
            </w:r>
          </w:p>
        </w:tc>
        <w:tc>
          <w:tcPr>
            <w:tcW w:w="563" w:type="pct"/>
            <w:shd w:val="clear" w:color="auto" w:fill="auto"/>
            <w:vAlign w:val="center"/>
          </w:tcPr>
          <w:p w14:paraId="04A68425">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0.04</w:t>
            </w:r>
          </w:p>
        </w:tc>
        <w:tc>
          <w:tcPr>
            <w:tcW w:w="750" w:type="pct"/>
            <w:shd w:val="clear" w:color="auto" w:fill="auto"/>
            <w:vAlign w:val="center"/>
          </w:tcPr>
          <w:p w14:paraId="38FBCD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74FD3C2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0.43</w:t>
            </w:r>
          </w:p>
        </w:tc>
        <w:tc>
          <w:tcPr>
            <w:tcW w:w="749" w:type="pct"/>
            <w:shd w:val="clear" w:color="auto" w:fill="auto"/>
            <w:vAlign w:val="center"/>
          </w:tcPr>
          <w:p w14:paraId="167AD66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53613E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59C39FD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1D10F8F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7BD714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w:t>
            </w:r>
          </w:p>
        </w:tc>
        <w:tc>
          <w:tcPr>
            <w:tcW w:w="563" w:type="pct"/>
            <w:shd w:val="clear" w:color="auto" w:fill="auto"/>
            <w:vAlign w:val="center"/>
          </w:tcPr>
          <w:p w14:paraId="02E0609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0.01ND</w:t>
            </w:r>
          </w:p>
        </w:tc>
        <w:tc>
          <w:tcPr>
            <w:tcW w:w="750" w:type="pct"/>
            <w:shd w:val="clear" w:color="auto" w:fill="auto"/>
            <w:vAlign w:val="center"/>
          </w:tcPr>
          <w:p w14:paraId="1D2DDB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1FA0E1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749" w:type="pct"/>
            <w:shd w:val="clear" w:color="auto" w:fill="auto"/>
            <w:vAlign w:val="center"/>
          </w:tcPr>
          <w:p w14:paraId="0F5B086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14063D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063C5D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2EF785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E3B199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氯苯</w:t>
            </w:r>
          </w:p>
        </w:tc>
        <w:tc>
          <w:tcPr>
            <w:tcW w:w="563" w:type="pct"/>
            <w:shd w:val="clear" w:color="auto" w:fill="auto"/>
            <w:vAlign w:val="center"/>
          </w:tcPr>
          <w:p w14:paraId="229141E6">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0.005ND</w:t>
            </w:r>
          </w:p>
        </w:tc>
        <w:tc>
          <w:tcPr>
            <w:tcW w:w="750" w:type="pct"/>
            <w:shd w:val="clear" w:color="auto" w:fill="auto"/>
            <w:vAlign w:val="center"/>
          </w:tcPr>
          <w:p w14:paraId="19E305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47208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270</w:t>
            </w:r>
          </w:p>
        </w:tc>
        <w:tc>
          <w:tcPr>
            <w:tcW w:w="749" w:type="pct"/>
            <w:shd w:val="clear" w:color="auto" w:fill="auto"/>
            <w:vAlign w:val="center"/>
          </w:tcPr>
          <w:p w14:paraId="51AB24B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6E290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238006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63A787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E0B25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1,2-二氯苯</w:t>
            </w:r>
          </w:p>
        </w:tc>
        <w:tc>
          <w:tcPr>
            <w:tcW w:w="563" w:type="pct"/>
            <w:shd w:val="clear" w:color="auto" w:fill="auto"/>
            <w:vAlign w:val="center"/>
          </w:tcPr>
          <w:p w14:paraId="57CD71D0">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71141CD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D48183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560</w:t>
            </w:r>
          </w:p>
        </w:tc>
        <w:tc>
          <w:tcPr>
            <w:tcW w:w="749" w:type="pct"/>
            <w:shd w:val="clear" w:color="auto" w:fill="auto"/>
            <w:vAlign w:val="center"/>
          </w:tcPr>
          <w:p w14:paraId="1DA584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BBD70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restart"/>
            <w:shd w:val="clear" w:color="auto" w:fill="auto"/>
            <w:vAlign w:val="center"/>
          </w:tcPr>
          <w:p w14:paraId="61285B6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T6表层样</w:t>
            </w:r>
          </w:p>
          <w:p w14:paraId="6CB797C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厂区外西南侧</w:t>
            </w:r>
          </w:p>
          <w:p w14:paraId="4732CF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0-0.2m</w:t>
            </w:r>
          </w:p>
        </w:tc>
        <w:tc>
          <w:tcPr>
            <w:tcW w:w="687" w:type="pct"/>
            <w:vMerge w:val="restart"/>
            <w:shd w:val="clear" w:color="auto" w:fill="auto"/>
            <w:vAlign w:val="center"/>
          </w:tcPr>
          <w:p w14:paraId="6E0377A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潮、黄壤、中壤土、少量植被</w:t>
            </w:r>
          </w:p>
        </w:tc>
        <w:tc>
          <w:tcPr>
            <w:tcW w:w="875" w:type="pct"/>
            <w:shd w:val="clear" w:color="auto" w:fill="auto"/>
            <w:vAlign w:val="center"/>
          </w:tcPr>
          <w:p w14:paraId="172A325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1,4-二氯苯</w:t>
            </w:r>
          </w:p>
        </w:tc>
        <w:tc>
          <w:tcPr>
            <w:tcW w:w="563" w:type="pct"/>
            <w:shd w:val="clear" w:color="auto" w:fill="auto"/>
            <w:vAlign w:val="center"/>
          </w:tcPr>
          <w:p w14:paraId="56A2CFC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0.008ND</w:t>
            </w:r>
          </w:p>
        </w:tc>
        <w:tc>
          <w:tcPr>
            <w:tcW w:w="750" w:type="pct"/>
            <w:shd w:val="clear" w:color="auto" w:fill="auto"/>
            <w:vAlign w:val="center"/>
          </w:tcPr>
          <w:p w14:paraId="6D4855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8E440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20</w:t>
            </w:r>
          </w:p>
        </w:tc>
        <w:tc>
          <w:tcPr>
            <w:tcW w:w="749" w:type="pct"/>
            <w:shd w:val="clear" w:color="auto" w:fill="auto"/>
            <w:vAlign w:val="center"/>
          </w:tcPr>
          <w:p w14:paraId="538A60C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613B44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177EE2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380797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44811A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乙苯</w:t>
            </w:r>
          </w:p>
        </w:tc>
        <w:tc>
          <w:tcPr>
            <w:tcW w:w="563" w:type="pct"/>
            <w:shd w:val="clear" w:color="auto" w:fill="auto"/>
            <w:vAlign w:val="center"/>
          </w:tcPr>
          <w:p w14:paraId="4EB66008">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0.006ND</w:t>
            </w:r>
          </w:p>
        </w:tc>
        <w:tc>
          <w:tcPr>
            <w:tcW w:w="750" w:type="pct"/>
            <w:shd w:val="clear" w:color="auto" w:fill="auto"/>
            <w:vAlign w:val="center"/>
          </w:tcPr>
          <w:p w14:paraId="005DCA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307AB8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28</w:t>
            </w:r>
          </w:p>
        </w:tc>
        <w:tc>
          <w:tcPr>
            <w:tcW w:w="749" w:type="pct"/>
            <w:shd w:val="clear" w:color="auto" w:fill="auto"/>
            <w:vAlign w:val="center"/>
          </w:tcPr>
          <w:p w14:paraId="1092DC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337CB7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301DFF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BBF496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D52DBB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苯乙烯</w:t>
            </w:r>
          </w:p>
        </w:tc>
        <w:tc>
          <w:tcPr>
            <w:tcW w:w="563" w:type="pct"/>
            <w:shd w:val="clear" w:color="auto" w:fill="auto"/>
            <w:vAlign w:val="center"/>
          </w:tcPr>
          <w:p w14:paraId="720B316D">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0.002ND</w:t>
            </w:r>
          </w:p>
        </w:tc>
        <w:tc>
          <w:tcPr>
            <w:tcW w:w="750" w:type="pct"/>
            <w:shd w:val="clear" w:color="auto" w:fill="auto"/>
            <w:vAlign w:val="center"/>
          </w:tcPr>
          <w:p w14:paraId="7E8415E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5A052E8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1290</w:t>
            </w:r>
          </w:p>
        </w:tc>
        <w:tc>
          <w:tcPr>
            <w:tcW w:w="749" w:type="pct"/>
            <w:shd w:val="clear" w:color="auto" w:fill="auto"/>
            <w:vAlign w:val="center"/>
          </w:tcPr>
          <w:p w14:paraId="0490780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2DAAC2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197017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F0AF2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28939E6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甲苯</w:t>
            </w:r>
          </w:p>
        </w:tc>
        <w:tc>
          <w:tcPr>
            <w:tcW w:w="563" w:type="pct"/>
            <w:shd w:val="clear" w:color="auto" w:fill="auto"/>
            <w:vAlign w:val="center"/>
          </w:tcPr>
          <w:p w14:paraId="6371D287">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w:t>
            </w:r>
          </w:p>
        </w:tc>
        <w:tc>
          <w:tcPr>
            <w:tcW w:w="750" w:type="pct"/>
            <w:shd w:val="clear" w:color="auto" w:fill="auto"/>
            <w:vAlign w:val="center"/>
          </w:tcPr>
          <w:p w14:paraId="1911AC0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111FA30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1200</w:t>
            </w:r>
          </w:p>
        </w:tc>
        <w:tc>
          <w:tcPr>
            <w:tcW w:w="749" w:type="pct"/>
            <w:shd w:val="clear" w:color="auto" w:fill="auto"/>
            <w:vAlign w:val="center"/>
          </w:tcPr>
          <w:p w14:paraId="2CBC09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72D160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4150CE4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42A4EC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6C1BE40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间/对二甲苯</w:t>
            </w:r>
          </w:p>
        </w:tc>
        <w:tc>
          <w:tcPr>
            <w:tcW w:w="563" w:type="pct"/>
            <w:shd w:val="clear" w:color="auto" w:fill="auto"/>
            <w:vAlign w:val="center"/>
          </w:tcPr>
          <w:p w14:paraId="34312554">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0.009ND</w:t>
            </w:r>
          </w:p>
        </w:tc>
        <w:tc>
          <w:tcPr>
            <w:tcW w:w="750" w:type="pct"/>
            <w:shd w:val="clear" w:color="auto" w:fill="auto"/>
            <w:vAlign w:val="center"/>
          </w:tcPr>
          <w:p w14:paraId="65FCA2F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2263E9E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570</w:t>
            </w:r>
          </w:p>
        </w:tc>
        <w:tc>
          <w:tcPr>
            <w:tcW w:w="749" w:type="pct"/>
            <w:shd w:val="clear" w:color="auto" w:fill="auto"/>
            <w:vAlign w:val="center"/>
          </w:tcPr>
          <w:p w14:paraId="1EDDD7A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r w14:paraId="0B6298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exact"/>
        </w:trPr>
        <w:tc>
          <w:tcPr>
            <w:tcW w:w="626" w:type="pct"/>
            <w:vMerge w:val="continue"/>
            <w:shd w:val="clear" w:color="auto" w:fill="auto"/>
            <w:vAlign w:val="center"/>
          </w:tcPr>
          <w:p w14:paraId="32B0151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87" w:type="pct"/>
            <w:vMerge w:val="continue"/>
            <w:shd w:val="clear" w:color="auto" w:fill="auto"/>
            <w:vAlign w:val="center"/>
          </w:tcPr>
          <w:p w14:paraId="0B6CEA2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875" w:type="pct"/>
            <w:shd w:val="clear" w:color="auto" w:fill="auto"/>
            <w:vAlign w:val="center"/>
          </w:tcPr>
          <w:p w14:paraId="33050B7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邻二甲苯</w:t>
            </w:r>
          </w:p>
        </w:tc>
        <w:tc>
          <w:tcPr>
            <w:tcW w:w="563" w:type="pct"/>
            <w:shd w:val="clear" w:color="auto" w:fill="auto"/>
            <w:vAlign w:val="center"/>
          </w:tcPr>
          <w:p w14:paraId="6766C7AE">
            <w:pPr>
              <w:keepNext w:val="0"/>
              <w:keepLines w:val="0"/>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0.02ND</w:t>
            </w:r>
          </w:p>
        </w:tc>
        <w:tc>
          <w:tcPr>
            <w:tcW w:w="750" w:type="pct"/>
            <w:shd w:val="clear" w:color="auto" w:fill="auto"/>
            <w:vAlign w:val="center"/>
          </w:tcPr>
          <w:p w14:paraId="146B2A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bCs/>
                <w:szCs w:val="21"/>
              </w:rPr>
              <w:t>mg/kg</w:t>
            </w:r>
          </w:p>
        </w:tc>
        <w:tc>
          <w:tcPr>
            <w:tcW w:w="750" w:type="pct"/>
            <w:shd w:val="clear" w:color="auto" w:fill="auto"/>
            <w:vAlign w:val="center"/>
          </w:tcPr>
          <w:p w14:paraId="6ECE873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640</w:t>
            </w:r>
          </w:p>
        </w:tc>
        <w:tc>
          <w:tcPr>
            <w:tcW w:w="749" w:type="pct"/>
            <w:shd w:val="clear" w:color="auto" w:fill="auto"/>
            <w:vAlign w:val="center"/>
          </w:tcPr>
          <w:p w14:paraId="62D31EB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r>
    </w:tbl>
    <w:p w14:paraId="5D2A2170">
      <w:pPr>
        <w:pStyle w:val="57"/>
        <w:spacing w:before="163"/>
        <w:ind w:firstLine="480" w:firstLineChars="200"/>
        <w:jc w:val="left"/>
        <w:rPr>
          <w:rFonts w:hint="default" w:ascii="Times New Roman" w:hAnsi="Times New Roman" w:eastAsia="宋体" w:cs="Times New Roman"/>
          <w:b w:val="0"/>
          <w:bCs w:val="0"/>
          <w:color w:val="auto"/>
        </w:rPr>
      </w:pPr>
      <w:r>
        <w:rPr>
          <w:rFonts w:hint="default" w:ascii="Times New Roman" w:hAnsi="Times New Roman" w:eastAsia="宋体" w:cs="Times New Roman"/>
          <w:b w:val="0"/>
          <w:bCs w:val="0"/>
          <w:sz w:val="24"/>
          <w:szCs w:val="24"/>
        </w:rPr>
        <w:t>从上表中可以看出，内各监测点污染因子的标准指数均小于1，监测结果符合《土壤环境质量建设用地土壤污染风险管控标准》(GB36600-2018)中第二类用地筛选值的要求。</w:t>
      </w:r>
    </w:p>
    <w:p w14:paraId="641A1A93">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6.4.5声环境</w:t>
      </w:r>
      <w:r>
        <w:rPr>
          <w:rFonts w:hint="default" w:ascii="Times New Roman" w:hAnsi="Times New Roman" w:eastAsia="宋体" w:cs="Times New Roman"/>
          <w:color w:val="000000"/>
          <w:sz w:val="24"/>
        </w:rPr>
        <w:t>现状调查</w:t>
      </w:r>
    </w:p>
    <w:p w14:paraId="691C6945">
      <w:pPr>
        <w:spacing w:line="360" w:lineRule="auto"/>
        <w:ind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为了解建设项目周围声环境状况，本次评价委托</w:t>
      </w:r>
      <w:r>
        <w:rPr>
          <w:rFonts w:hint="default" w:ascii="Times New Roman" w:hAnsi="Times New Roman" w:eastAsia="宋体" w:cs="Times New Roman"/>
          <w:sz w:val="24"/>
          <w:szCs w:val="24"/>
        </w:rPr>
        <w:t>湖南九鼎环保科技有限公司</w:t>
      </w:r>
      <w:r>
        <w:rPr>
          <w:rFonts w:hint="default" w:ascii="Times New Roman" w:hAnsi="Times New Roman" w:eastAsia="宋体" w:cs="Times New Roman"/>
          <w:kern w:val="0"/>
          <w:sz w:val="24"/>
        </w:rPr>
        <w:t>于2023年2月27日，在现有项目正常工况的情况下，分昼间、夜间对项目四周厂界进行了噪声监测，各监测点环境噪声监测统计与评价结果见表6.3-12。</w:t>
      </w:r>
    </w:p>
    <w:p w14:paraId="63E707D4">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监测点位布设：结合项目基本情况及周围环境特征，具体点位为：</w:t>
      </w:r>
      <w:r>
        <w:rPr>
          <w:rFonts w:hint="default" w:ascii="Times New Roman" w:hAnsi="Times New Roman" w:eastAsia="宋体" w:cs="Times New Roman"/>
          <w:kern w:val="0"/>
          <w:sz w:val="24"/>
        </w:rPr>
        <w:t>拟在厂界东、南、西、北四个边界的中间位置（场界外1米处）各设一个噪声监测点，共4个监测点。</w:t>
      </w:r>
    </w:p>
    <w:p w14:paraId="5F924850">
      <w:pPr>
        <w:spacing w:line="360" w:lineRule="auto"/>
        <w:ind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监测结果如下表：</w:t>
      </w:r>
    </w:p>
    <w:p w14:paraId="47548EA6">
      <w:pPr>
        <w:spacing w:line="360" w:lineRule="auto"/>
        <w:jc w:val="center"/>
        <w:rPr>
          <w:rFonts w:hint="default" w:ascii="Times New Roman" w:hAnsi="Times New Roman" w:eastAsia="宋体" w:cs="Times New Roman"/>
          <w:kern w:val="0"/>
          <w:sz w:val="24"/>
        </w:rPr>
      </w:pPr>
      <w:r>
        <w:rPr>
          <w:rFonts w:hint="default" w:ascii="Times New Roman" w:hAnsi="Times New Roman" w:eastAsia="宋体" w:cs="Times New Roman"/>
          <w:b/>
        </w:rPr>
        <w:t>表6.4-13   声环境现状监测数据    单位：dB(A)</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319"/>
        <w:gridCol w:w="2595"/>
        <w:gridCol w:w="1597"/>
        <w:gridCol w:w="1607"/>
      </w:tblGrid>
      <w:tr w14:paraId="76FBEE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jc w:val="center"/>
        </w:trPr>
        <w:tc>
          <w:tcPr>
            <w:tcW w:w="1820" w:type="pct"/>
            <w:vMerge w:val="restart"/>
            <w:vAlign w:val="center"/>
          </w:tcPr>
          <w:p w14:paraId="787B8D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检测点位</w:t>
            </w:r>
          </w:p>
        </w:tc>
        <w:tc>
          <w:tcPr>
            <w:tcW w:w="1423" w:type="pct"/>
            <w:vMerge w:val="restart"/>
            <w:vAlign w:val="center"/>
          </w:tcPr>
          <w:p w14:paraId="7F5FA5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检测项目</w:t>
            </w:r>
          </w:p>
        </w:tc>
        <w:tc>
          <w:tcPr>
            <w:tcW w:w="1757" w:type="pct"/>
            <w:gridSpan w:val="2"/>
            <w:tcBorders>
              <w:right w:val="single" w:color="auto" w:sz="12" w:space="0"/>
            </w:tcBorders>
            <w:vAlign w:val="center"/>
          </w:tcPr>
          <w:p w14:paraId="3A80D7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检测结果dB(A)</w:t>
            </w:r>
          </w:p>
        </w:tc>
      </w:tr>
      <w:tr w14:paraId="7771A8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0" w:type="pct"/>
            <w:vMerge w:val="continue"/>
            <w:vAlign w:val="center"/>
          </w:tcPr>
          <w:p w14:paraId="153D27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p>
        </w:tc>
        <w:tc>
          <w:tcPr>
            <w:tcW w:w="1423" w:type="pct"/>
            <w:vMerge w:val="continue"/>
            <w:vAlign w:val="center"/>
          </w:tcPr>
          <w:p w14:paraId="42530F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p>
        </w:tc>
        <w:tc>
          <w:tcPr>
            <w:tcW w:w="876" w:type="pct"/>
            <w:vAlign w:val="center"/>
          </w:tcPr>
          <w:p w14:paraId="7D7F02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昼间</w:t>
            </w:r>
          </w:p>
        </w:tc>
        <w:tc>
          <w:tcPr>
            <w:tcW w:w="881" w:type="pct"/>
            <w:tcBorders>
              <w:right w:val="single" w:color="auto" w:sz="12" w:space="0"/>
            </w:tcBorders>
            <w:vAlign w:val="center"/>
          </w:tcPr>
          <w:p w14:paraId="16EC2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夜间</w:t>
            </w:r>
          </w:p>
        </w:tc>
      </w:tr>
      <w:tr w14:paraId="4091A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0" w:type="pct"/>
            <w:vAlign w:val="center"/>
          </w:tcPr>
          <w:p w14:paraId="634581B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N1厂界外东侧1m处</w:t>
            </w:r>
          </w:p>
        </w:tc>
        <w:tc>
          <w:tcPr>
            <w:tcW w:w="1423" w:type="pct"/>
            <w:vMerge w:val="restart"/>
            <w:vAlign w:val="center"/>
          </w:tcPr>
          <w:p w14:paraId="4D6D6B9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厂界噪声</w:t>
            </w:r>
          </w:p>
        </w:tc>
        <w:tc>
          <w:tcPr>
            <w:tcW w:w="876" w:type="pct"/>
            <w:vAlign w:val="center"/>
          </w:tcPr>
          <w:p w14:paraId="653CE7CD">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rPr>
              <w:t>57</w:t>
            </w:r>
          </w:p>
        </w:tc>
        <w:tc>
          <w:tcPr>
            <w:tcW w:w="881" w:type="pct"/>
            <w:vAlign w:val="center"/>
          </w:tcPr>
          <w:p w14:paraId="0B008977">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rPr>
              <w:t>48</w:t>
            </w:r>
          </w:p>
        </w:tc>
      </w:tr>
      <w:tr w14:paraId="71B663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0" w:type="pct"/>
            <w:vAlign w:val="center"/>
          </w:tcPr>
          <w:p w14:paraId="7442B0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N2厂界外南侧1m处</w:t>
            </w:r>
          </w:p>
        </w:tc>
        <w:tc>
          <w:tcPr>
            <w:tcW w:w="1423" w:type="pct"/>
            <w:vMerge w:val="continue"/>
            <w:vAlign w:val="center"/>
          </w:tcPr>
          <w:p w14:paraId="2C42B2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p>
        </w:tc>
        <w:tc>
          <w:tcPr>
            <w:tcW w:w="876" w:type="pct"/>
            <w:vAlign w:val="center"/>
          </w:tcPr>
          <w:p w14:paraId="10192623">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rPr>
              <w:t>56</w:t>
            </w:r>
          </w:p>
        </w:tc>
        <w:tc>
          <w:tcPr>
            <w:tcW w:w="881" w:type="pct"/>
            <w:vAlign w:val="center"/>
          </w:tcPr>
          <w:p w14:paraId="24F2C9D9">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rPr>
              <w:t>47</w:t>
            </w:r>
          </w:p>
        </w:tc>
      </w:tr>
      <w:tr w14:paraId="2F814E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0" w:type="pct"/>
            <w:vAlign w:val="center"/>
          </w:tcPr>
          <w:p w14:paraId="12F5F4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N3厂界外西侧1m处</w:t>
            </w:r>
          </w:p>
        </w:tc>
        <w:tc>
          <w:tcPr>
            <w:tcW w:w="1423" w:type="pct"/>
            <w:vMerge w:val="continue"/>
            <w:vAlign w:val="center"/>
          </w:tcPr>
          <w:p w14:paraId="1FF887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p>
        </w:tc>
        <w:tc>
          <w:tcPr>
            <w:tcW w:w="876" w:type="pct"/>
            <w:vAlign w:val="center"/>
          </w:tcPr>
          <w:p w14:paraId="2FA9F9B7">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rPr>
              <w:t>57</w:t>
            </w:r>
          </w:p>
        </w:tc>
        <w:tc>
          <w:tcPr>
            <w:tcW w:w="881" w:type="pct"/>
            <w:vAlign w:val="center"/>
          </w:tcPr>
          <w:p w14:paraId="1FF7D7E6">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rPr>
              <w:t>47</w:t>
            </w:r>
          </w:p>
        </w:tc>
      </w:tr>
      <w:tr w14:paraId="2B9F58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20" w:type="pct"/>
            <w:vAlign w:val="center"/>
          </w:tcPr>
          <w:p w14:paraId="5B2E83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N4厂界外北侧1m处</w:t>
            </w:r>
          </w:p>
        </w:tc>
        <w:tc>
          <w:tcPr>
            <w:tcW w:w="1423" w:type="pct"/>
            <w:vMerge w:val="continue"/>
            <w:vAlign w:val="center"/>
          </w:tcPr>
          <w:p w14:paraId="42B44D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p>
        </w:tc>
        <w:tc>
          <w:tcPr>
            <w:tcW w:w="876" w:type="pct"/>
            <w:vAlign w:val="center"/>
          </w:tcPr>
          <w:p w14:paraId="0610E0D3">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rPr>
              <w:t>58</w:t>
            </w:r>
          </w:p>
        </w:tc>
        <w:tc>
          <w:tcPr>
            <w:tcW w:w="881" w:type="pct"/>
            <w:vAlign w:val="center"/>
          </w:tcPr>
          <w:p w14:paraId="03C3684C">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Cs w:val="21"/>
              </w:rPr>
              <w:t>48</w:t>
            </w:r>
          </w:p>
        </w:tc>
      </w:tr>
      <w:tr w14:paraId="764539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43" w:type="pct"/>
            <w:gridSpan w:val="2"/>
            <w:vAlign w:val="center"/>
          </w:tcPr>
          <w:p w14:paraId="29471F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标准值</w:t>
            </w:r>
          </w:p>
        </w:tc>
        <w:tc>
          <w:tcPr>
            <w:tcW w:w="876" w:type="pct"/>
            <w:vAlign w:val="center"/>
          </w:tcPr>
          <w:p w14:paraId="363C785F">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65</w:t>
            </w:r>
          </w:p>
        </w:tc>
        <w:tc>
          <w:tcPr>
            <w:tcW w:w="881" w:type="pct"/>
            <w:vAlign w:val="center"/>
          </w:tcPr>
          <w:p w14:paraId="3D5F10CD">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55</w:t>
            </w:r>
          </w:p>
        </w:tc>
      </w:tr>
      <w:tr w14:paraId="50B52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43" w:type="pct"/>
            <w:gridSpan w:val="2"/>
            <w:vAlign w:val="center"/>
          </w:tcPr>
          <w:p w14:paraId="37BE80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超标率%</w:t>
            </w:r>
          </w:p>
        </w:tc>
        <w:tc>
          <w:tcPr>
            <w:tcW w:w="876" w:type="pct"/>
            <w:vAlign w:val="center"/>
          </w:tcPr>
          <w:p w14:paraId="6E92BD5D">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w:t>
            </w:r>
          </w:p>
        </w:tc>
        <w:tc>
          <w:tcPr>
            <w:tcW w:w="881" w:type="pct"/>
            <w:vAlign w:val="center"/>
          </w:tcPr>
          <w:p w14:paraId="167EC309">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0</w:t>
            </w:r>
          </w:p>
        </w:tc>
      </w:tr>
      <w:tr w14:paraId="4A8217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3243" w:type="pct"/>
            <w:gridSpan w:val="2"/>
            <w:vAlign w:val="center"/>
          </w:tcPr>
          <w:p w14:paraId="1399686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Cs w:val="21"/>
              </w:rPr>
            </w:pPr>
            <w:r>
              <w:rPr>
                <w:rFonts w:hint="default" w:ascii="Times New Roman" w:hAnsi="Times New Roman" w:eastAsia="宋体" w:cs="Times New Roman"/>
                <w:szCs w:val="21"/>
              </w:rPr>
              <w:t>最大超标倍数</w:t>
            </w:r>
          </w:p>
        </w:tc>
        <w:tc>
          <w:tcPr>
            <w:tcW w:w="876" w:type="pct"/>
            <w:vAlign w:val="center"/>
          </w:tcPr>
          <w:p w14:paraId="65615C1C">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c>
          <w:tcPr>
            <w:tcW w:w="881" w:type="pct"/>
            <w:vAlign w:val="center"/>
          </w:tcPr>
          <w:p w14:paraId="759BE982">
            <w:pPr>
              <w:pStyle w:val="117"/>
              <w:keepNext w:val="0"/>
              <w:keepLines w:val="0"/>
              <w:suppressLineNumbers w:val="0"/>
              <w:spacing w:before="0" w:beforeAutospacing="0" w:after="0" w:afterAutospacing="0"/>
              <w:ind w:left="0" w:right="0"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w:t>
            </w:r>
          </w:p>
        </w:tc>
      </w:tr>
    </w:tbl>
    <w:p w14:paraId="588BC866">
      <w:pPr>
        <w:spacing w:line="500" w:lineRule="exact"/>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rPr>
        <w:t>由声环境现状监测数据可知，拟建项目厂界四周昼夜间噪声监测值均能满足《声环境质量标准》（GB3096-2008）中3类标准要求。</w:t>
      </w:r>
    </w:p>
    <w:p w14:paraId="2999C6D3">
      <w:pPr>
        <w:spacing w:line="500" w:lineRule="exact"/>
        <w:jc w:val="center"/>
        <w:rPr>
          <w:rFonts w:hint="default" w:ascii="Times New Roman" w:hAnsi="Times New Roman" w:eastAsia="宋体" w:cs="Times New Roman"/>
          <w:sz w:val="24"/>
          <w:szCs w:val="24"/>
        </w:rPr>
      </w:pPr>
    </w:p>
    <w:p w14:paraId="477CDD16">
      <w:pPr>
        <w:spacing w:line="500" w:lineRule="exact"/>
        <w:jc w:val="center"/>
        <w:rPr>
          <w:rFonts w:hint="default" w:ascii="Times New Roman" w:hAnsi="Times New Roman" w:eastAsia="宋体" w:cs="Times New Roman"/>
          <w:sz w:val="24"/>
          <w:szCs w:val="24"/>
        </w:rPr>
        <w:sectPr>
          <w:pgSz w:w="11906" w:h="16838"/>
          <w:pgMar w:top="1440" w:right="1502" w:bottom="1440" w:left="1502" w:header="851" w:footer="680" w:gutter="0"/>
          <w:pgBorders>
            <w:top w:val="none" w:sz="0" w:space="0"/>
            <w:left w:val="none" w:sz="0" w:space="0"/>
            <w:bottom w:val="none" w:sz="0" w:space="0"/>
            <w:right w:val="none" w:sz="0" w:space="0"/>
          </w:pgBorders>
          <w:cols w:space="425" w:num="1"/>
          <w:docGrid w:type="lines" w:linePitch="326" w:charSpace="0"/>
        </w:sectPr>
      </w:pPr>
    </w:p>
    <w:p w14:paraId="1A5E6A2A">
      <w:pPr>
        <w:pStyle w:val="2"/>
        <w:spacing w:before="0" w:after="0" w:line="360" w:lineRule="auto"/>
        <w:rPr>
          <w:rFonts w:hint="default" w:ascii="Times New Roman" w:hAnsi="Times New Roman" w:eastAsia="宋体" w:cs="Times New Roman"/>
        </w:rPr>
      </w:pPr>
      <w:bookmarkStart w:id="317" w:name="_Toc123733106"/>
      <w:bookmarkStart w:id="318" w:name="_Toc23850"/>
      <w:r>
        <w:rPr>
          <w:rFonts w:hint="default" w:ascii="Times New Roman" w:hAnsi="Times New Roman" w:eastAsia="宋体" w:cs="Times New Roman"/>
        </w:rPr>
        <w:t>7环境影响预测与评价</w:t>
      </w:r>
      <w:bookmarkEnd w:id="317"/>
      <w:bookmarkEnd w:id="318"/>
    </w:p>
    <w:p w14:paraId="2F98A9CE">
      <w:pPr>
        <w:pStyle w:val="3"/>
        <w:spacing w:before="0" w:after="0" w:line="360" w:lineRule="auto"/>
        <w:rPr>
          <w:rFonts w:hint="default" w:ascii="Times New Roman" w:hAnsi="Times New Roman" w:eastAsia="宋体" w:cs="Times New Roman"/>
        </w:rPr>
      </w:pPr>
      <w:bookmarkStart w:id="319" w:name="_Toc15259"/>
      <w:bookmarkStart w:id="320" w:name="_Toc87016998"/>
      <w:r>
        <w:rPr>
          <w:rFonts w:hint="default" w:ascii="Times New Roman" w:hAnsi="Times New Roman" w:eastAsia="宋体" w:cs="Times New Roman"/>
        </w:rPr>
        <w:t>7.1施工期环境影响分析</w:t>
      </w:r>
      <w:bookmarkEnd w:id="319"/>
      <w:bookmarkEnd w:id="320"/>
    </w:p>
    <w:p w14:paraId="577C34C8">
      <w:pPr>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本项目施工期内容包括扩建项目在新厂址的建设，以及现有项目的整体搬迁。</w:t>
      </w:r>
    </w:p>
    <w:p w14:paraId="06C04D4F">
      <w:pPr>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扩建项目拟建占地面积约30亩，厂址占地主要为待开发建设用地、荒地。工程施工过程主要包括土建施工、机械作业、人工作业及设备安装作业等，其次施工期应搭建材料加工、混凝土搅拌站等施工临时建筑和仓库等。拟建工程建设期间，各项施工活动不可避免的将会对周围环境造成破坏和产生污染影响，主要包括场地开挖引起的水土流失；场地清理、土石方挖填埋、物料运输等产生的扬尘；打桩、混凝土搅拌等产生的噪声；施工人员丢弃的生活垃圾、施工废弃物和生活、施工废水。</w:t>
      </w:r>
    </w:p>
    <w:p w14:paraId="7C8ADCC6">
      <w:pPr>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现有项目搬迁仅仅是对现有厂区设施设备的搬迁，不涉及构建筑物的拆除等土建施工，搬迁施工主要关注的是现有厂区残留污染物的清理。</w:t>
      </w:r>
    </w:p>
    <w:p w14:paraId="3BCBCA45">
      <w:pPr>
        <w:pStyle w:val="4"/>
        <w:spacing w:before="0" w:after="0"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7.1.1施工期大气环境影响</w:t>
      </w:r>
    </w:p>
    <w:p w14:paraId="2149B2A1">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由于施工期，土石方移动、土壤的裸露、渣土运输、基地材料运输、建筑搅拌等均会导致建设地及附近地面扬尘，对局部大气环境构成影响，因此，施工扬尘应得到有效控制。</w:t>
      </w:r>
    </w:p>
    <w:p w14:paraId="40AAC1CF">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㈠、施工扬尘防治</w:t>
      </w:r>
    </w:p>
    <w:p w14:paraId="579BCE88">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ab/>
      </w:r>
      <w:r>
        <w:rPr>
          <w:rFonts w:hint="default" w:ascii="Times New Roman" w:hAnsi="Times New Roman" w:eastAsia="宋体" w:cs="Times New Roman"/>
        </w:rPr>
        <w:t>建筑材料的防尘管理措施</w:t>
      </w:r>
    </w:p>
    <w:p w14:paraId="08D3931C">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施工过程中使用水泥、石灰、砂石、涂料、铺装材料等易产生扬尘的建筑材料，应采取下列措施之一：a)、密闭存储；b)、设置围挡或堆砌围墙；c)、采用防尘布苫盖。</w:t>
      </w:r>
    </w:p>
    <w:p w14:paraId="5BF78432">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ab/>
      </w:r>
      <w:r>
        <w:rPr>
          <w:rFonts w:hint="default" w:ascii="Times New Roman" w:hAnsi="Times New Roman" w:eastAsia="宋体" w:cs="Times New Roman"/>
        </w:rPr>
        <w:t>建筑垃圾的防尘管理措施</w:t>
      </w:r>
    </w:p>
    <w:p w14:paraId="66E2C90E">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施工工程中产生的弃土、弃料及其他建筑垃圾，应及时清运。若在工地内堆置超过一周的，则应采取下列措施之一，防止风蚀起尘及水蚀迁移：a)、覆盖防尘布、防尘网；b)、定期喷洒抑尘剂；c)、定期喷水压尘。</w:t>
      </w:r>
    </w:p>
    <w:p w14:paraId="7DFB4517">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(3)</w:t>
      </w:r>
      <w:r>
        <w:rPr>
          <w:rFonts w:hint="default" w:ascii="Times New Roman" w:hAnsi="Times New Roman" w:eastAsia="宋体" w:cs="Times New Roman"/>
        </w:rPr>
        <w:tab/>
      </w:r>
      <w:r>
        <w:rPr>
          <w:rFonts w:hint="default" w:ascii="Times New Roman" w:hAnsi="Times New Roman" w:eastAsia="宋体" w:cs="Times New Roman"/>
        </w:rPr>
        <w:t>设置洗车平台，防止泥土粘带。</w:t>
      </w:r>
    </w:p>
    <w:p w14:paraId="3E72E376">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施工期间，应在物料、渣土、垃圾运输车辆的出口内侧设置洗车平台，车辆驶离工地前，应在洗车平台清洗轮胎及车身，不得带泥上路。工地出口处铺装道路应及时清扫冲洗。</w:t>
      </w:r>
    </w:p>
    <w:p w14:paraId="72209E73">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(4)</w:t>
      </w:r>
      <w:r>
        <w:rPr>
          <w:rFonts w:hint="default" w:ascii="Times New Roman" w:hAnsi="Times New Roman" w:eastAsia="宋体" w:cs="Times New Roman"/>
        </w:rPr>
        <w:tab/>
      </w:r>
      <w:r>
        <w:rPr>
          <w:rFonts w:hint="default" w:ascii="Times New Roman" w:hAnsi="Times New Roman" w:eastAsia="宋体" w:cs="Times New Roman"/>
        </w:rPr>
        <w:t>进出工地的物料、渣土、垃圾运输车辆的防尘措施</w:t>
      </w:r>
    </w:p>
    <w:p w14:paraId="31602D72">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进出工地的物料、渣土、垃圾运输车辆，应尽可能采用密闭车斗，并保证物料不遗撒外漏。若无密闭车斗，物料、垃圾、渣土的装载高度不得超过车辆槽帮上沿，车斗应用苫布遮盖严实，苫布边缘至少要遮住槽帮上沿以下15厘米，保证物料、渣土、垃圾等不露出。</w:t>
      </w:r>
    </w:p>
    <w:p w14:paraId="161497D8">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(5)</w:t>
      </w:r>
      <w:r>
        <w:rPr>
          <w:rFonts w:hint="default" w:ascii="Times New Roman" w:hAnsi="Times New Roman" w:eastAsia="宋体" w:cs="Times New Roman"/>
        </w:rPr>
        <w:tab/>
      </w:r>
      <w:r>
        <w:rPr>
          <w:rFonts w:hint="default" w:ascii="Times New Roman" w:hAnsi="Times New Roman" w:eastAsia="宋体" w:cs="Times New Roman"/>
        </w:rPr>
        <w:t>施工工地道路防尘措施</w:t>
      </w:r>
    </w:p>
    <w:p w14:paraId="74C98A25">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施工期间，施工工地内及工地出口至铺装道路间的车行道路，可采用铺设用细石， 并辅以洒水等措施，防止机动车扬尘。限制施工区内运输车辆的速度，将卡车在施工场地的车速减少到10km/h，以减小扬尘产生量。</w:t>
      </w:r>
    </w:p>
    <w:p w14:paraId="663A02D1">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(6)</w:t>
      </w:r>
      <w:r>
        <w:rPr>
          <w:rFonts w:hint="default" w:ascii="Times New Roman" w:hAnsi="Times New Roman" w:eastAsia="宋体" w:cs="Times New Roman"/>
        </w:rPr>
        <w:tab/>
      </w:r>
      <w:r>
        <w:rPr>
          <w:rFonts w:hint="default" w:ascii="Times New Roman" w:hAnsi="Times New Roman" w:eastAsia="宋体" w:cs="Times New Roman"/>
        </w:rPr>
        <w:t>施工工地道路积尘的清洁，不得在未实施洒水等抑尘措施情况下进行直接清扫。</w:t>
      </w:r>
    </w:p>
    <w:p w14:paraId="2078F512">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(7)</w:t>
      </w:r>
      <w:r>
        <w:rPr>
          <w:rFonts w:hint="default" w:ascii="Times New Roman" w:hAnsi="Times New Roman" w:eastAsia="宋体" w:cs="Times New Roman"/>
        </w:rPr>
        <w:tab/>
      </w:r>
      <w:r>
        <w:rPr>
          <w:rFonts w:hint="default" w:ascii="Times New Roman" w:hAnsi="Times New Roman" w:eastAsia="宋体" w:cs="Times New Roman"/>
        </w:rPr>
        <w:t>施工工地内部裸地防尘措施</w:t>
      </w:r>
    </w:p>
    <w:p w14:paraId="45FE0677">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期间，对于工地内裸露地面，应采取下列防尘措施之一：a)、覆盖防尘布或防尘网；b)、铺设细石或其他功能相当的材料；c)、植被绿化；d)、晴朗天气时，视情况每周等时间隔洒水二至七次，扬尘严重时应加大洒水频率。</w:t>
      </w:r>
    </w:p>
    <w:p w14:paraId="7076D54A">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(8)</w:t>
      </w:r>
      <w:r>
        <w:rPr>
          <w:rFonts w:hint="default" w:ascii="Times New Roman" w:hAnsi="Times New Roman" w:eastAsia="宋体" w:cs="Times New Roman"/>
        </w:rPr>
        <w:tab/>
      </w:r>
      <w:r>
        <w:rPr>
          <w:rFonts w:hint="default" w:ascii="Times New Roman" w:hAnsi="Times New Roman" w:eastAsia="宋体" w:cs="Times New Roman"/>
        </w:rPr>
        <w:t>施工期间，应在工地建筑结构脚手架外侧设置有效抑尘的密目防尘网。</w:t>
      </w:r>
    </w:p>
    <w:p w14:paraId="13398CCA">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(9)混凝土的防尘措施</w:t>
      </w:r>
    </w:p>
    <w:p w14:paraId="44D04D00">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期间需使用混凝土时，可使用预拌商品混凝土或者进行密闭搅拌并配备防尘除尘装置，不得现场露天搅拌混凝土、消化石灰及拌石灰土等。应尽量采用石材、木制等成品或半成品，实施装配式施工，减少因石材、木制品切割所造成的扬尘污染。</w:t>
      </w:r>
    </w:p>
    <w:p w14:paraId="406A3D97">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(10)物料、渣土、垃圾等纵向输送作业的防尘措施</w:t>
      </w:r>
    </w:p>
    <w:p w14:paraId="13E111A8">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施工期间，工地内从建筑上层将具有粉尘逸散性的物料、渣土或废弃物输送至地面或地下楼层时，不得凌空抛撒。</w:t>
      </w:r>
    </w:p>
    <w:p w14:paraId="66D76583">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㈡、道路扬尘防治</w:t>
      </w:r>
    </w:p>
    <w:p w14:paraId="25D5A8AF">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ab/>
      </w:r>
      <w:r>
        <w:rPr>
          <w:rFonts w:hint="default" w:ascii="Times New Roman" w:hAnsi="Times New Roman" w:eastAsia="宋体" w:cs="Times New Roman"/>
        </w:rPr>
        <w:t>道路两侧应进行草、灌木、乔木相结合立体绿化，采取绿化和硬化相结合的防尘措施。</w:t>
      </w:r>
    </w:p>
    <w:p w14:paraId="7BD1A5BB">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ab/>
      </w:r>
      <w:r>
        <w:rPr>
          <w:rFonts w:hint="default" w:ascii="Times New Roman" w:hAnsi="Times New Roman" w:eastAsia="宋体" w:cs="Times New Roman"/>
        </w:rPr>
        <w:t>未铺装道路应根据实际情况进行铺装、硬化或定期施洒抑制剂以保持道路积尘处于低负荷状态。</w:t>
      </w:r>
    </w:p>
    <w:p w14:paraId="4F37DA13">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(3)</w:t>
      </w:r>
      <w:r>
        <w:rPr>
          <w:rFonts w:hint="default" w:ascii="Times New Roman" w:hAnsi="Times New Roman" w:eastAsia="宋体" w:cs="Times New Roman"/>
        </w:rPr>
        <w:tab/>
      </w:r>
      <w:r>
        <w:rPr>
          <w:rFonts w:hint="default" w:ascii="Times New Roman" w:hAnsi="Times New Roman" w:eastAsia="宋体" w:cs="Times New Roman"/>
        </w:rPr>
        <w:t>运送易产生扬尘物质的车辆实行密闭运输，避免在运输过程中因物料遗撒或泄漏而产生扬尘。</w:t>
      </w:r>
    </w:p>
    <w:p w14:paraId="47574035">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㈢、堆场扬尘防治</w:t>
      </w:r>
    </w:p>
    <w:p w14:paraId="53DDB37C">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(1)</w:t>
      </w:r>
      <w:r>
        <w:rPr>
          <w:rFonts w:hint="default" w:ascii="Times New Roman" w:hAnsi="Times New Roman" w:eastAsia="宋体" w:cs="Times New Roman"/>
        </w:rPr>
        <w:tab/>
      </w:r>
      <w:r>
        <w:rPr>
          <w:rFonts w:hint="default" w:ascii="Times New Roman" w:hAnsi="Times New Roman" w:eastAsia="宋体" w:cs="Times New Roman"/>
        </w:rPr>
        <w:t>对于建筑材料、水泥白灰、泥土等料堆，应利用储藏罐、封闭或半封闭堆场等形式，避免作业起尘和风蚀起尘。</w:t>
      </w:r>
    </w:p>
    <w:p w14:paraId="2EBCD37B">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(2)</w:t>
      </w:r>
      <w:r>
        <w:rPr>
          <w:rFonts w:hint="default" w:ascii="Times New Roman" w:hAnsi="Times New Roman" w:eastAsia="宋体" w:cs="Times New Roman"/>
        </w:rPr>
        <w:tab/>
      </w:r>
      <w:r>
        <w:rPr>
          <w:rFonts w:hint="default" w:ascii="Times New Roman" w:hAnsi="Times New Roman" w:eastAsia="宋体" w:cs="Times New Roman"/>
        </w:rPr>
        <w:t>堆场露天装卸作业时，视情况可采取洒水抑尘措施。</w:t>
      </w:r>
    </w:p>
    <w:p w14:paraId="40E609FF">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(3)</w:t>
      </w:r>
      <w:r>
        <w:rPr>
          <w:rFonts w:hint="default" w:ascii="Times New Roman" w:hAnsi="Times New Roman" w:eastAsia="宋体" w:cs="Times New Roman"/>
        </w:rPr>
        <w:tab/>
      </w:r>
      <w:r>
        <w:rPr>
          <w:rFonts w:hint="default" w:ascii="Times New Roman" w:hAnsi="Times New Roman" w:eastAsia="宋体" w:cs="Times New Roman"/>
        </w:rPr>
        <w:t>对易产生扬尘的物料堆，应采用防尘网和防尘布覆盖，必要时进行喷淋、固化处理。</w:t>
      </w:r>
    </w:p>
    <w:p w14:paraId="3AE13FB2">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㈣、评价建议采用分段施工、合理安排施工工期。</w:t>
      </w:r>
    </w:p>
    <w:p w14:paraId="2B1263EE">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本工程的基础物料运输、建筑施工等产生扬尘较多的阶段建议安排在秋、冬季进行，同时配合以上有效的扬尘抑制措施，这样将有效的缩小施工扬尘的影响范围，降低其影响程度，同时施工期的这种安排也有利于水土流失的控制。</w:t>
      </w:r>
    </w:p>
    <w:p w14:paraId="37BFEE54">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采取以上措施后，施工期扬尘对评价区域环境影响较小。</w:t>
      </w:r>
    </w:p>
    <w:p w14:paraId="6C6CF45A">
      <w:pPr>
        <w:pStyle w:val="4"/>
        <w:spacing w:before="0" w:after="0"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7.1.2施工期废水环境影响</w:t>
      </w:r>
    </w:p>
    <w:p w14:paraId="10903B0C">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废水来自于施工期间工人的生活污水、少量的机械洗刷废水和雨后产生的泥浆水。</w:t>
      </w:r>
    </w:p>
    <w:p w14:paraId="4160440D">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⑴在项目施工期间，必须严格加强对施工人员的管理，使施工人员集中居住， 生活污水集中排入园区污水管网进园区</w:t>
      </w:r>
      <w:r>
        <w:rPr>
          <w:rFonts w:hint="eastAsia" w:cs="Times New Roman"/>
          <w:lang w:eastAsia="zh-CN"/>
        </w:rPr>
        <w:t>污水处理厂</w:t>
      </w:r>
      <w:r>
        <w:rPr>
          <w:rFonts w:hint="default" w:ascii="Times New Roman" w:hAnsi="Times New Roman" w:eastAsia="宋体" w:cs="Times New Roman"/>
        </w:rPr>
        <w:t>处理。</w:t>
      </w:r>
    </w:p>
    <w:p w14:paraId="57CA3ACC">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⑵而在施工场地出口内侧设置机械洗刷场地和沉淀池，使施工机械和车辆洗刷废水采用沉淀池沉淀处理后循环使用。</w:t>
      </w:r>
    </w:p>
    <w:p w14:paraId="51C955DA">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⑶将施工场内雨水导入收集池。收集的雨水经沉淀后用于施工区内洒水抑尘和冲洗施工车辆。</w:t>
      </w:r>
    </w:p>
    <w:p w14:paraId="2A8C25E1">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经采取上述措施后，可有效减轻施工期废水对地表水环境的影响。</w:t>
      </w:r>
    </w:p>
    <w:p w14:paraId="670A556F">
      <w:pPr>
        <w:pStyle w:val="4"/>
        <w:spacing w:before="0" w:after="0"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7.1.3施工期声环境影响</w:t>
      </w:r>
    </w:p>
    <w:p w14:paraId="6A930802">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期噪声主要是各类施工机械的设备噪声、渣土及材料运输车辆的交通噪声等。工程所用机械设备种类繁多，使用的机械有：挖掘机、推土机、打桩机、混凝土搅拌机、装载机等，噪声值强度在85～110dB(A)之间，施工机械都具有噪声高、无规律、突发性等特点，如不采取措施加以控制，往往会产生较大的噪声污染。施工噪声一般对施工场地附近50m范围影响较大，且其影响是短期的、暂时的，随着施工结束，其影响也随之消失。为避免或减轻施工机械噪声对环境的影响，本评价建议采取如下防治措施：</w:t>
      </w:r>
    </w:p>
    <w:p w14:paraId="63739099">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⑴合理安排施工计划和施工机械设备组合以及施工时间，避免在中午(12:00-14:00)和夜间(23:00-7:00)施工，避免在同一时间集中使用大量的动力机械设备。施工单位在施工过程中，尽量减少运行动力机械设备的数量，尽可能使动力机械设备比较均匀地使用。在施工期应经常对施工设备进行维修保养，避免由设备性能减退使噪声增强现象的发生。</w:t>
      </w:r>
    </w:p>
    <w:p w14:paraId="3AE1DBD5">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⑵施工机械产生的噪声对现场施工人员，特别是机械操作人员影响较大。为此，建议在声源附近的施工人员配备防噪声耳罩。施工单位应合理安排人员，使他们有条件轮流操作，减少接触高噪声时间。</w:t>
      </w:r>
    </w:p>
    <w:p w14:paraId="289FB263">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⑶对于大于100dB(A)的施工机械(例如打桩机)，应合理安排施工时间，禁止夜间施工。</w:t>
      </w:r>
    </w:p>
    <w:p w14:paraId="2C1FFF0F">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⑷车辆运输应避开沿途居民的休息时间，对交通车辆造成的噪声影响要加强管理，运输车辆尽量采用较低声级的喇叭，并在环境敏感点限制车辆鸣笛。另外，尽量避免在周围居民休息期间作业。</w:t>
      </w:r>
    </w:p>
    <w:p w14:paraId="1156AB47">
      <w:pPr>
        <w:pStyle w:val="4"/>
        <w:spacing w:before="0" w:after="0"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7.1.4施工期固废环境影响</w:t>
      </w:r>
    </w:p>
    <w:p w14:paraId="27BB92E3">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期产生的固体废物主要为废弃的碎砖、石灰冲洗残渣等废弃建筑材料和包装箱、袋及生活垃圾。以建筑垃圾的量最大，这些垃圾成分较为简单，数量很大，应集中处理，及时清运，根据不同的成分采用不同的处理方式：</w:t>
      </w:r>
    </w:p>
    <w:p w14:paraId="247C4FB9">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⑴对于建筑垃圾中较为稳定的成分，如碎砖瓦砾等，与施工期间挖出的土石一起部分回填厂区内低洼地，多余弃土弃渣纳入工业园建设时规划确定的渣土场内堆存。</w:t>
      </w:r>
    </w:p>
    <w:p w14:paraId="612A4E2F">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⑵包装箱和包装袋可集中收集后重新使用。</w:t>
      </w:r>
    </w:p>
    <w:p w14:paraId="723B3031">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⑶对于施工期施工人员产生的比较集中的生活垃圾，由于其中含有较多的易腐烂成分，必须进行覆盖和收集，以防止在雨天被雨水浸泡而产生对环境危害严重的渗滤液。对于施工人员产生的分散垃圾，除对施工人员加强环境保护教育和有关宣传外， 也应该增设一些分散的小型垃圾收集器(如废物收集箱)，并派专人定时打扫清理。</w:t>
      </w:r>
    </w:p>
    <w:p w14:paraId="47A20D27">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采取以上措施后，施工期固体废物对评价区域环境影响较小。</w:t>
      </w:r>
    </w:p>
    <w:p w14:paraId="4655DD34">
      <w:pPr>
        <w:pStyle w:val="4"/>
        <w:spacing w:before="0" w:after="0"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7.1.5施工期水土流失环境影响</w:t>
      </w:r>
    </w:p>
    <w:p w14:paraId="171088E7">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本项目场地开挖与平整已经完成，但尚未进行硬化，雨季也容易产生水土流失。水土流失是指土壤在降水侵蚀力作用下的分散、迁移和沉积的过程。影响水土流失的因素较多，主要包括降雨、土壤、植被、地形地貌以及工程施工等因素。就本工程项目而言，影响施工期水土流失的主要因素是降雨和工程施工。厂区所在地雨水丰富， 降雨时若水土流失严重，大量泥土被雨水径流冲刷。</w:t>
      </w:r>
    </w:p>
    <w:p w14:paraId="73AB3E73">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⑴降雨因素</w:t>
      </w:r>
    </w:p>
    <w:p w14:paraId="2EE38221">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降雨是发生水土流失的最直接最重要的自然因素。降雨对裸露地表的影响表现在两个方面：一是雨滴对裸露地表的直接冲溅作用，二是雨水汇集形成地表径流的冲刷作用。这种作用在暴雨时表现得更为集中和剧烈，往往引起较大强度的水土流失。</w:t>
      </w:r>
    </w:p>
    <w:p w14:paraId="5CD1ACB5">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⑵工程因素</w:t>
      </w:r>
    </w:p>
    <w:p w14:paraId="70854FF6">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工程因素主要指人类的各项开发建设活动，它通过影响引起水土流失的各项自然因素而起作用，是促进水土流失加剧的重要因素。就本工程而言，在正常的降雨条件下，工程施工是导致水土流失发生、发展并加剧的根源。施工期由于开挖地面、土地平整等原因，将扰动表土结构，致使土壤抗蚀能力降，土壤侵蚀加剧，造成植被涵养水量的损失，裸露土壤极易被降雨径流冲刷而水土流失，特别是暴雨径流的冲刷更为严重。</w:t>
      </w:r>
    </w:p>
    <w:p w14:paraId="3F3535DF">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厂内施工场地若设置固废临时堆弃场，堆场应设挡土墙和导水沟渠，以防止水流失，施工完后对堆土、弃土地点进行平整硬化或绿化。</w:t>
      </w:r>
    </w:p>
    <w:p w14:paraId="240B77E3">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⑶水土流失措施</w:t>
      </w:r>
    </w:p>
    <w:p w14:paraId="49772121">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A、绿化措施</w:t>
      </w:r>
    </w:p>
    <w:p w14:paraId="5E82D57B">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根据项目所在地气候和土质条件，选择合适的树种在场地周围一定范围内建立一个绿化带，形成绿色植物的隔离带，这样既可以起到水土保持和防止土壤侵蚀的作用， 也可以吸附尘埃、净化空气，还可以美化环境。</w:t>
      </w:r>
    </w:p>
    <w:p w14:paraId="51BB8D75">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B、排水系统</w:t>
      </w:r>
    </w:p>
    <w:p w14:paraId="2A47CC37">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在施工期间，施工人员的</w:t>
      </w:r>
      <w:r>
        <w:rPr>
          <w:rFonts w:hint="default" w:ascii="Times New Roman" w:hAnsi="Times New Roman" w:eastAsia="宋体" w:cs="Times New Roman"/>
          <w:lang w:eastAsia="zh-CN"/>
        </w:rPr>
        <w:t>生活污水</w:t>
      </w:r>
      <w:r>
        <w:rPr>
          <w:rFonts w:hint="default" w:ascii="Times New Roman" w:hAnsi="Times New Roman" w:eastAsia="宋体" w:cs="Times New Roman"/>
        </w:rPr>
        <w:t>和建筑废水需要采取生化池、临时沉淀池等措施进行处理达标后才能够排放。同时，严格禁止施工场地外部的径流流经工地，并在施工场地内部修建排水沟或者撇水沟，场内场外分开排放，严格禁止施工废水和施工人员的生活污水随意排放。</w:t>
      </w:r>
    </w:p>
    <w:p w14:paraId="7C0C8C6E">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C、施工期间临时的水土保持措施</w:t>
      </w:r>
    </w:p>
    <w:p w14:paraId="117EE4FA">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施工期间，应该尽可能采取临时措施进行水土保持，以将施工所引起的水土流失降低到最小限度。例如，应该将堆料和挖出来的土石方堆放在不容易受到地面径流冲刷的地方，或将容易冲刷堆料临时覆盖起来。</w:t>
      </w:r>
    </w:p>
    <w:p w14:paraId="3E3AAE91">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D、施工结束后的植被恢复</w:t>
      </w:r>
    </w:p>
    <w:p w14:paraId="4848A6B9">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在主体工程完工过后，除按照设计要求做好工程防护外，还应该按照规划进行绿化以恢复部分植被，同时对厂区地面进行硬化处理。</w:t>
      </w:r>
    </w:p>
    <w:p w14:paraId="08DCEC60">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项目施工期水土流失造成的环境影响是短期的，仅限于施工期；只要确保有效的水土保持措施，其环境影响是轻微的，可以接受的。</w:t>
      </w:r>
    </w:p>
    <w:p w14:paraId="040A40DE">
      <w:pPr>
        <w:pStyle w:val="4"/>
        <w:spacing w:before="0" w:after="0"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7.1.6施工期环境管理</w:t>
      </w:r>
    </w:p>
    <w:p w14:paraId="4A3D1516">
      <w:pPr>
        <w:pStyle w:val="41"/>
        <w:snapToGrid/>
        <w:ind w:firstLine="480"/>
        <w:rPr>
          <w:rFonts w:hint="default" w:ascii="Times New Roman" w:hAnsi="Times New Roman" w:eastAsia="宋体" w:cs="Times New Roman"/>
        </w:rPr>
      </w:pPr>
      <w:r>
        <w:rPr>
          <w:rFonts w:hint="default" w:ascii="Times New Roman" w:hAnsi="Times New Roman" w:eastAsia="宋体" w:cs="Times New Roman"/>
        </w:rPr>
        <w:t>施工单位应详细编制施工组织计划并建立环境管理制度，要有专人负责施工期间的环境保护工作，对施工中产生的“三废”应按评价提出的防治措施及处置方式</w:t>
      </w:r>
      <w:r>
        <w:rPr>
          <w:rFonts w:hint="eastAsia" w:cs="Times New Roman"/>
          <w:lang w:eastAsia="zh-CN"/>
        </w:rPr>
        <w:t>实施</w:t>
      </w:r>
      <w:r>
        <w:rPr>
          <w:rFonts w:hint="default" w:ascii="Times New Roman" w:hAnsi="Times New Roman" w:eastAsia="宋体" w:cs="Times New Roman"/>
        </w:rPr>
        <w:t>和管理。建设单位要认真贯彻国家的环保法规标准，加强施工期间的环境管理，督促施工单位建立相应的环保管理制度，做到有章可循，科学管理，文明施工。</w:t>
      </w:r>
    </w:p>
    <w:p w14:paraId="0AF13045">
      <w:pPr>
        <w:pStyle w:val="4"/>
        <w:spacing w:before="0" w:after="0" w:line="360" w:lineRule="auto"/>
        <w:rPr>
          <w:rFonts w:hint="default" w:ascii="Times New Roman" w:hAnsi="Times New Roman" w:eastAsia="宋体" w:cs="Times New Roman"/>
          <w:sz w:val="28"/>
          <w:szCs w:val="28"/>
        </w:rPr>
      </w:pPr>
      <w:r>
        <w:rPr>
          <w:rFonts w:hint="default" w:ascii="Times New Roman" w:hAnsi="Times New Roman" w:eastAsia="宋体" w:cs="Times New Roman"/>
          <w:sz w:val="28"/>
          <w:szCs w:val="28"/>
        </w:rPr>
        <w:t>7.1.7现有项目搬迁施工环境影响</w:t>
      </w:r>
    </w:p>
    <w:p w14:paraId="5B2C38E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现有项目系租赁厂房开展的建设运营，搬迁施工仅需对现有厂区的危废贮存相关设施设备进行拆除并搬迁至新址，不涉及构建筑物的拆除等土建施工，搬迁施工主要关注的是现有厂区残留污染物的清理。</w:t>
      </w:r>
    </w:p>
    <w:p w14:paraId="4667DB7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通过对现有项目现场的调查，现有项目危险废物贮存区均按照要求进行了分类分区贮存并进行了地面防渗，各类危险废物均放置于专用的容器/包装物/存放架上，在进行搬迁时，首先将各类遗留的危险废物进行统一转运，并对所有配套的设施设备进行拆除，包括废物矿物油储罐等，项目方在拆除过程中将重点关注废矿物油等液态物料的滴漏收集，特别是在进行废矿物油储罐及管道拆除过程中，要做好残留于储罐及管道中废矿物油的收集，若出现滴漏，应及时清理。同时，由于现有项目危废暂存区内均设置有完整的液体收集、导流和贮存系统，可确保搬迁拆除施工时产生的液态物料得到有效的收集，不会对周边环境造成影响。</w:t>
      </w:r>
    </w:p>
    <w:p w14:paraId="0C5100CD">
      <w:pPr>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sz w:val="24"/>
          <w:szCs w:val="24"/>
        </w:rPr>
        <w:t>评价要求，项目方在对现有项目搬迁拆除时，务必做到对现场所有残留危险废物的清理，得到有效合理的清理收集后，现有项目拆迁施工过程不会对周边环境造成影响。</w:t>
      </w:r>
    </w:p>
    <w:p w14:paraId="0EEFEB48">
      <w:pPr>
        <w:pStyle w:val="41"/>
        <w:snapToGrid/>
        <w:ind w:firstLine="480"/>
        <w:rPr>
          <w:rFonts w:hint="default" w:ascii="Times New Roman" w:hAnsi="Times New Roman" w:eastAsia="宋体" w:cs="Times New Roman"/>
        </w:rPr>
      </w:pPr>
    </w:p>
    <w:p w14:paraId="19A7A127">
      <w:pPr>
        <w:spacing w:line="360" w:lineRule="auto"/>
        <w:jc w:val="left"/>
        <w:rPr>
          <w:rFonts w:hint="default" w:ascii="Times New Roman" w:hAnsi="Times New Roman" w:eastAsia="宋体" w:cs="Times New Roman"/>
          <w:sz w:val="24"/>
          <w:szCs w:val="24"/>
        </w:rPr>
      </w:pPr>
    </w:p>
    <w:p w14:paraId="6AFC7EF7">
      <w:pPr>
        <w:spacing w:line="500" w:lineRule="exact"/>
        <w:jc w:val="left"/>
        <w:rPr>
          <w:rFonts w:hint="default" w:ascii="Times New Roman" w:hAnsi="Times New Roman" w:eastAsia="宋体" w:cs="Times New Roman"/>
          <w:sz w:val="24"/>
          <w:szCs w:val="24"/>
        </w:rPr>
      </w:pPr>
    </w:p>
    <w:p w14:paraId="133FA7A3">
      <w:pPr>
        <w:spacing w:line="500" w:lineRule="exact"/>
        <w:jc w:val="left"/>
        <w:rPr>
          <w:rFonts w:hint="default" w:ascii="Times New Roman" w:hAnsi="Times New Roman" w:eastAsia="宋体" w:cs="Times New Roman"/>
          <w:sz w:val="24"/>
          <w:szCs w:val="24"/>
        </w:rPr>
      </w:pPr>
    </w:p>
    <w:p w14:paraId="1529EBEF">
      <w:pPr>
        <w:spacing w:line="500" w:lineRule="exact"/>
        <w:jc w:val="left"/>
        <w:rPr>
          <w:rFonts w:hint="default" w:ascii="Times New Roman" w:hAnsi="Times New Roman" w:eastAsia="宋体" w:cs="Times New Roman"/>
          <w:sz w:val="24"/>
          <w:szCs w:val="24"/>
        </w:rPr>
      </w:pPr>
    </w:p>
    <w:p w14:paraId="4A0B65E1">
      <w:pPr>
        <w:spacing w:line="500" w:lineRule="exact"/>
        <w:jc w:val="left"/>
        <w:rPr>
          <w:rFonts w:hint="default" w:ascii="Times New Roman" w:hAnsi="Times New Roman" w:eastAsia="宋体" w:cs="Times New Roman"/>
          <w:sz w:val="24"/>
          <w:szCs w:val="24"/>
        </w:rPr>
        <w:sectPr>
          <w:pgSz w:w="11906" w:h="16838"/>
          <w:pgMar w:top="1440" w:right="1502" w:bottom="1440" w:left="1502" w:header="851" w:footer="680" w:gutter="0"/>
          <w:pgBorders>
            <w:top w:val="none" w:sz="0" w:space="0"/>
            <w:left w:val="none" w:sz="0" w:space="0"/>
            <w:bottom w:val="none" w:sz="0" w:space="0"/>
            <w:right w:val="none" w:sz="0" w:space="0"/>
          </w:pgBorders>
          <w:cols w:space="425" w:num="1"/>
          <w:docGrid w:type="lines" w:linePitch="326" w:charSpace="0"/>
        </w:sectPr>
      </w:pPr>
    </w:p>
    <w:p w14:paraId="41A6318E">
      <w:pPr>
        <w:pStyle w:val="3"/>
        <w:spacing w:before="0" w:after="0" w:line="360" w:lineRule="auto"/>
        <w:rPr>
          <w:rFonts w:hint="default" w:ascii="Times New Roman" w:hAnsi="Times New Roman" w:eastAsia="宋体" w:cs="Times New Roman"/>
        </w:rPr>
      </w:pPr>
      <w:bookmarkStart w:id="321" w:name="_Toc11101"/>
      <w:bookmarkStart w:id="322" w:name="_Toc87016999"/>
      <w:r>
        <w:rPr>
          <w:rFonts w:hint="default" w:ascii="Times New Roman" w:hAnsi="Times New Roman" w:eastAsia="宋体" w:cs="Times New Roman"/>
        </w:rPr>
        <w:t>7.2营运期环境空气影响分析</w:t>
      </w:r>
      <w:bookmarkEnd w:id="321"/>
      <w:bookmarkEnd w:id="322"/>
    </w:p>
    <w:p w14:paraId="51A07363">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根据《环境影响评价技术导则·大气环境》（HJ2.2-2018）要求，本次评价采用估算模式软件AERSCREEN对本项目排放的大气污染物进行计算评价。估算模式是一种单源预测模式，可计算点源、面源和体源等污染源的最大地面浓度，以及建筑物下洗和熏烟等特殊条件下的最大地面浓度，估算模式中嵌入了多种预设的气象组合条件，包括一些最不利的气象条件，此类气象条件在某个地区有可能发生，也有可能不发生。经估算模式计算出的最大地面浓度大于进一步预测模式的计算结果。</w:t>
      </w:r>
    </w:p>
    <w:p w14:paraId="0A418395">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7.2.1环境空气污染预测因子确定</w:t>
      </w:r>
    </w:p>
    <w:p w14:paraId="6A21EA41">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根据建项目工程分析，本次改建项目排放的污染因子主要为VOCs、苯、甲苯、二甲苯、NH</w:t>
      </w:r>
      <w:r>
        <w:rPr>
          <w:rFonts w:hint="default" w:ascii="Times New Roman" w:hAnsi="Times New Roman" w:eastAsia="宋体" w:cs="Times New Roman"/>
          <w:kern w:val="0"/>
          <w:sz w:val="24"/>
          <w:u w:val="single"/>
          <w:vertAlign w:val="subscript"/>
        </w:rPr>
        <w:t>3</w:t>
      </w:r>
      <w:r>
        <w:rPr>
          <w:rFonts w:hint="default" w:ascii="Times New Roman" w:hAnsi="Times New Roman" w:eastAsia="宋体" w:cs="Times New Roman"/>
          <w:kern w:val="0"/>
          <w:sz w:val="24"/>
          <w:u w:val="single"/>
        </w:rPr>
        <w:t>、H</w:t>
      </w:r>
      <w:r>
        <w:rPr>
          <w:rFonts w:hint="default" w:ascii="Times New Roman" w:hAnsi="Times New Roman" w:eastAsia="宋体" w:cs="Times New Roman"/>
          <w:kern w:val="0"/>
          <w:sz w:val="24"/>
          <w:u w:val="single"/>
          <w:vertAlign w:val="subscript"/>
        </w:rPr>
        <w:t>2</w:t>
      </w:r>
      <w:r>
        <w:rPr>
          <w:rFonts w:hint="default" w:ascii="Times New Roman" w:hAnsi="Times New Roman" w:eastAsia="宋体" w:cs="Times New Roman"/>
          <w:kern w:val="0"/>
          <w:sz w:val="24"/>
          <w:u w:val="single"/>
        </w:rPr>
        <w:t>S。结合环境质量现状调查结果、项目污染物排放特点及《环境影响评价技术导则·大气环境》（HJ2.2-2018）要求，确定本项目的预测因子为生产工艺废气中排放的VOCs、苯、甲苯、二甲苯、NH</w:t>
      </w:r>
      <w:r>
        <w:rPr>
          <w:rFonts w:hint="default" w:ascii="Times New Roman" w:hAnsi="Times New Roman" w:eastAsia="宋体" w:cs="Times New Roman"/>
          <w:kern w:val="0"/>
          <w:sz w:val="24"/>
          <w:u w:val="single"/>
          <w:vertAlign w:val="subscript"/>
        </w:rPr>
        <w:t>3</w:t>
      </w:r>
      <w:r>
        <w:rPr>
          <w:rFonts w:hint="default" w:ascii="Times New Roman" w:hAnsi="Times New Roman" w:eastAsia="宋体" w:cs="Times New Roman"/>
          <w:kern w:val="0"/>
          <w:sz w:val="24"/>
          <w:u w:val="single"/>
        </w:rPr>
        <w:t>、H</w:t>
      </w:r>
      <w:r>
        <w:rPr>
          <w:rFonts w:hint="default" w:ascii="Times New Roman" w:hAnsi="Times New Roman" w:eastAsia="宋体" w:cs="Times New Roman"/>
          <w:kern w:val="0"/>
          <w:sz w:val="24"/>
          <w:u w:val="single"/>
          <w:vertAlign w:val="subscript"/>
        </w:rPr>
        <w:t>2</w:t>
      </w:r>
      <w:r>
        <w:rPr>
          <w:rFonts w:hint="default" w:ascii="Times New Roman" w:hAnsi="Times New Roman" w:eastAsia="宋体" w:cs="Times New Roman"/>
          <w:kern w:val="0"/>
          <w:sz w:val="24"/>
          <w:u w:val="single"/>
        </w:rPr>
        <w:t>S</w:t>
      </w:r>
      <w:r>
        <w:rPr>
          <w:rFonts w:hint="default" w:ascii="Times New Roman" w:hAnsi="Times New Roman" w:eastAsia="宋体" w:cs="Times New Roman"/>
          <w:kern w:val="0"/>
          <w:sz w:val="24"/>
          <w:u w:val="single"/>
          <w:lang w:eastAsia="zh-CN"/>
        </w:rPr>
        <w:t>、</w:t>
      </w:r>
      <w:r>
        <w:rPr>
          <w:rFonts w:hint="default" w:ascii="Times New Roman" w:hAnsi="Times New Roman" w:eastAsia="宋体" w:cs="Times New Roman"/>
          <w:kern w:val="0"/>
          <w:sz w:val="24"/>
          <w:u w:val="single"/>
          <w:lang w:val="en-US" w:eastAsia="zh-CN"/>
        </w:rPr>
        <w:t>硫酸</w:t>
      </w:r>
      <w:r>
        <w:rPr>
          <w:rFonts w:hint="default" w:ascii="Times New Roman" w:hAnsi="Times New Roman" w:eastAsia="宋体" w:cs="Times New Roman"/>
          <w:kern w:val="0"/>
          <w:sz w:val="24"/>
          <w:u w:val="single"/>
        </w:rPr>
        <w:t>。</w:t>
      </w:r>
    </w:p>
    <w:p w14:paraId="7B5D4312">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①预测因子：VOCs、苯、甲苯、二甲苯、NH</w:t>
      </w:r>
      <w:r>
        <w:rPr>
          <w:rFonts w:hint="default" w:ascii="Times New Roman" w:hAnsi="Times New Roman" w:eastAsia="宋体" w:cs="Times New Roman"/>
          <w:kern w:val="0"/>
          <w:sz w:val="24"/>
          <w:u w:val="single"/>
          <w:vertAlign w:val="subscript"/>
        </w:rPr>
        <w:t>3</w:t>
      </w:r>
      <w:r>
        <w:rPr>
          <w:rFonts w:hint="default" w:ascii="Times New Roman" w:hAnsi="Times New Roman" w:eastAsia="宋体" w:cs="Times New Roman"/>
          <w:kern w:val="0"/>
          <w:sz w:val="24"/>
          <w:u w:val="single"/>
        </w:rPr>
        <w:t>、H</w:t>
      </w:r>
      <w:r>
        <w:rPr>
          <w:rFonts w:hint="default" w:ascii="Times New Roman" w:hAnsi="Times New Roman" w:eastAsia="宋体" w:cs="Times New Roman"/>
          <w:kern w:val="0"/>
          <w:sz w:val="24"/>
          <w:u w:val="single"/>
          <w:vertAlign w:val="subscript"/>
        </w:rPr>
        <w:t>2</w:t>
      </w:r>
      <w:r>
        <w:rPr>
          <w:rFonts w:hint="default" w:ascii="Times New Roman" w:hAnsi="Times New Roman" w:eastAsia="宋体" w:cs="Times New Roman"/>
          <w:kern w:val="0"/>
          <w:sz w:val="24"/>
          <w:u w:val="single"/>
        </w:rPr>
        <w:t>S</w:t>
      </w:r>
      <w:r>
        <w:rPr>
          <w:rFonts w:hint="default" w:ascii="Times New Roman" w:hAnsi="Times New Roman" w:eastAsia="宋体" w:cs="Times New Roman"/>
          <w:kern w:val="0"/>
          <w:sz w:val="24"/>
          <w:u w:val="single"/>
          <w:lang w:eastAsia="zh-CN"/>
        </w:rPr>
        <w:t>、</w:t>
      </w:r>
      <w:r>
        <w:rPr>
          <w:rFonts w:hint="default" w:ascii="Times New Roman" w:hAnsi="Times New Roman" w:eastAsia="宋体" w:cs="Times New Roman"/>
          <w:kern w:val="0"/>
          <w:sz w:val="24"/>
          <w:u w:val="single"/>
          <w:lang w:val="en-US" w:eastAsia="zh-CN"/>
        </w:rPr>
        <w:t>硫酸</w:t>
      </w:r>
      <w:r>
        <w:rPr>
          <w:rFonts w:hint="default" w:ascii="Times New Roman" w:hAnsi="Times New Roman" w:eastAsia="宋体" w:cs="Times New Roman"/>
          <w:kern w:val="0"/>
          <w:sz w:val="24"/>
          <w:u w:val="single"/>
        </w:rPr>
        <w:t>。</w:t>
      </w:r>
    </w:p>
    <w:p w14:paraId="59F07EA3">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②预测范围：厂界外2.5km矩形区域。</w:t>
      </w:r>
    </w:p>
    <w:p w14:paraId="2F33146F">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③预测内容：正常工况下，下风向最大浓度、最大浓度出现的距离。</w:t>
      </w:r>
    </w:p>
    <w:p w14:paraId="16406507">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④预测模式</w:t>
      </w:r>
    </w:p>
    <w:p w14:paraId="2FD9E20E">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《环境影响评价技术导则 大气环境》（HJ2.2-2018）推荐的估算模式AERSCREEN。</w:t>
      </w:r>
    </w:p>
    <w:p w14:paraId="799F1731">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依据《环境影响评价技术导则 大气环境》（HJ2.2-2018）中最大地面浓度占标率P</w:t>
      </w:r>
      <w:r>
        <w:rPr>
          <w:rFonts w:hint="default" w:ascii="Times New Roman" w:hAnsi="Times New Roman" w:eastAsia="宋体" w:cs="Times New Roman"/>
          <w:i/>
          <w:iCs/>
          <w:kern w:val="0"/>
          <w:sz w:val="24"/>
          <w:u w:val="single"/>
        </w:rPr>
        <w:t>i</w:t>
      </w:r>
      <w:r>
        <w:rPr>
          <w:rFonts w:hint="default" w:ascii="Times New Roman" w:hAnsi="Times New Roman" w:eastAsia="宋体" w:cs="Times New Roman"/>
          <w:kern w:val="0"/>
          <w:sz w:val="24"/>
          <w:u w:val="single"/>
        </w:rPr>
        <w:t>定义如下：</w:t>
      </w:r>
    </w:p>
    <w:p w14:paraId="749969E9">
      <w:pPr>
        <w:spacing w:line="360" w:lineRule="auto"/>
        <w:jc w:val="center"/>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drawing>
          <wp:inline distT="0" distB="0" distL="0" distR="0">
            <wp:extent cx="1089660" cy="373380"/>
            <wp:effectExtent l="0" t="0" r="0" b="762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089660" cy="373380"/>
                    </a:xfrm>
                    <a:prstGeom prst="rect">
                      <a:avLst/>
                    </a:prstGeom>
                    <a:noFill/>
                    <a:ln>
                      <a:noFill/>
                    </a:ln>
                  </pic:spPr>
                </pic:pic>
              </a:graphicData>
            </a:graphic>
          </wp:inline>
        </w:drawing>
      </w:r>
    </w:p>
    <w:p w14:paraId="0323A30A">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drawing>
          <wp:inline distT="0" distB="0" distL="0" distR="0">
            <wp:extent cx="121920" cy="1828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21920" cy="182880"/>
                    </a:xfrm>
                    <a:prstGeom prst="rect">
                      <a:avLst/>
                    </a:prstGeom>
                    <a:noFill/>
                    <a:ln>
                      <a:noFill/>
                    </a:ln>
                  </pic:spPr>
                </pic:pic>
              </a:graphicData>
            </a:graphic>
          </wp:inline>
        </w:drawing>
      </w:r>
      <w:r>
        <w:rPr>
          <w:rFonts w:hint="default" w:ascii="Times New Roman" w:hAnsi="Times New Roman" w:eastAsia="宋体" w:cs="Times New Roman"/>
          <w:kern w:val="0"/>
          <w:sz w:val="24"/>
          <w:u w:val="single"/>
        </w:rPr>
        <w:t xml:space="preserve"> ——第i个污染物的最大地面空气质量浓度 占标率，%；</w:t>
      </w:r>
    </w:p>
    <w:p w14:paraId="237A0EF3">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drawing>
          <wp:inline distT="0" distB="0" distL="0" distR="0">
            <wp:extent cx="137160" cy="1828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37160" cy="182880"/>
                    </a:xfrm>
                    <a:prstGeom prst="rect">
                      <a:avLst/>
                    </a:prstGeom>
                    <a:noFill/>
                    <a:ln>
                      <a:noFill/>
                    </a:ln>
                  </pic:spPr>
                </pic:pic>
              </a:graphicData>
            </a:graphic>
          </wp:inline>
        </w:drawing>
      </w:r>
      <w:r>
        <w:rPr>
          <w:rFonts w:hint="default" w:ascii="Times New Roman" w:hAnsi="Times New Roman" w:eastAsia="宋体" w:cs="Times New Roman"/>
          <w:kern w:val="0"/>
          <w:sz w:val="24"/>
          <w:u w:val="single"/>
        </w:rPr>
        <w:t>——采用估算模型计算出的第i个污染物的最大1h地面空气质量浓度，μg/m</w:t>
      </w:r>
      <w:r>
        <w:rPr>
          <w:rFonts w:hint="default" w:ascii="Times New Roman" w:hAnsi="Times New Roman" w:eastAsia="宋体" w:cs="Times New Roman"/>
          <w:kern w:val="0"/>
          <w:sz w:val="24"/>
          <w:u w:val="single"/>
          <w:vertAlign w:val="superscript"/>
        </w:rPr>
        <w:t>3</w:t>
      </w:r>
      <w:r>
        <w:rPr>
          <w:rFonts w:hint="default" w:ascii="Times New Roman" w:hAnsi="Times New Roman" w:eastAsia="宋体" w:cs="Times New Roman"/>
          <w:kern w:val="0"/>
          <w:sz w:val="24"/>
          <w:u w:val="single"/>
        </w:rPr>
        <w:t>；</w:t>
      </w:r>
    </w:p>
    <w:p w14:paraId="6762CE67">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drawing>
          <wp:inline distT="0" distB="0" distL="0" distR="0">
            <wp:extent cx="190500" cy="1828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190500" cy="182880"/>
                    </a:xfrm>
                    <a:prstGeom prst="rect">
                      <a:avLst/>
                    </a:prstGeom>
                    <a:noFill/>
                    <a:ln>
                      <a:noFill/>
                    </a:ln>
                  </pic:spPr>
                </pic:pic>
              </a:graphicData>
            </a:graphic>
          </wp:inline>
        </w:drawing>
      </w:r>
      <w:r>
        <w:rPr>
          <w:rFonts w:hint="default" w:ascii="Times New Roman" w:hAnsi="Times New Roman" w:eastAsia="宋体" w:cs="Times New Roman"/>
          <w:kern w:val="0"/>
          <w:sz w:val="24"/>
          <w:u w:val="single"/>
        </w:rPr>
        <w:t>——第i个污染物的环境空气质量浓度标准，μg/m</w:t>
      </w:r>
      <w:r>
        <w:rPr>
          <w:rFonts w:hint="default" w:ascii="Times New Roman" w:hAnsi="Times New Roman" w:eastAsia="宋体" w:cs="Times New Roman"/>
          <w:kern w:val="0"/>
          <w:sz w:val="24"/>
          <w:u w:val="single"/>
          <w:vertAlign w:val="superscript"/>
        </w:rPr>
        <w:t>3</w:t>
      </w:r>
      <w:r>
        <w:rPr>
          <w:rFonts w:hint="default" w:ascii="Times New Roman" w:hAnsi="Times New Roman" w:eastAsia="宋体" w:cs="Times New Roman"/>
          <w:kern w:val="0"/>
          <w:sz w:val="24"/>
          <w:u w:val="single"/>
        </w:rPr>
        <w:t>。</w:t>
      </w:r>
    </w:p>
    <w:p w14:paraId="35DFB8E2">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⑤污染物评价标准</w:t>
      </w:r>
    </w:p>
    <w:p w14:paraId="6321CA82">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污染物评价标准和来源见下表。</w:t>
      </w:r>
    </w:p>
    <w:p w14:paraId="0FBAF85C">
      <w:pPr>
        <w:widowControl/>
        <w:spacing w:line="360" w:lineRule="auto"/>
        <w:jc w:val="center"/>
        <w:rPr>
          <w:rFonts w:hint="default" w:ascii="Times New Roman" w:hAnsi="Times New Roman" w:eastAsia="宋体" w:cs="Times New Roman"/>
          <w:b/>
          <w:bCs/>
          <w:kern w:val="0"/>
          <w:szCs w:val="21"/>
          <w:u w:val="single"/>
        </w:rPr>
      </w:pPr>
    </w:p>
    <w:p w14:paraId="4DB55C91">
      <w:pPr>
        <w:widowControl/>
        <w:spacing w:line="360" w:lineRule="auto"/>
        <w:jc w:val="center"/>
        <w:rPr>
          <w:rFonts w:hint="default" w:ascii="Times New Roman" w:hAnsi="Times New Roman" w:eastAsia="宋体" w:cs="Times New Roman"/>
          <w:b/>
          <w:bCs/>
          <w:kern w:val="0"/>
          <w:szCs w:val="21"/>
          <w:u w:val="single"/>
        </w:rPr>
      </w:pPr>
    </w:p>
    <w:p w14:paraId="47A98C73">
      <w:pPr>
        <w:widowControl/>
        <w:spacing w:line="360" w:lineRule="auto"/>
        <w:jc w:val="center"/>
        <w:rPr>
          <w:rFonts w:hint="default" w:ascii="Times New Roman" w:hAnsi="Times New Roman" w:eastAsia="宋体" w:cs="Times New Roman"/>
          <w:sz w:val="24"/>
          <w:szCs w:val="24"/>
          <w:u w:val="single"/>
        </w:rPr>
      </w:pPr>
      <w:r>
        <w:rPr>
          <w:rFonts w:hint="default" w:ascii="Times New Roman" w:hAnsi="Times New Roman" w:eastAsia="宋体" w:cs="Times New Roman"/>
          <w:b/>
          <w:bCs/>
          <w:kern w:val="0"/>
          <w:szCs w:val="21"/>
          <w:u w:val="single"/>
        </w:rPr>
        <w:t>表7.2-1    污染物评价标准</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52"/>
        <w:gridCol w:w="1309"/>
        <w:gridCol w:w="1452"/>
        <w:gridCol w:w="1745"/>
        <w:gridCol w:w="3160"/>
      </w:tblGrid>
      <w:tr w14:paraId="6F1232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796" w:type="pct"/>
            <w:vAlign w:val="center"/>
          </w:tcPr>
          <w:p w14:paraId="1BFB6A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污染物名称</w:t>
            </w:r>
          </w:p>
        </w:tc>
        <w:tc>
          <w:tcPr>
            <w:tcW w:w="718" w:type="pct"/>
            <w:vAlign w:val="center"/>
          </w:tcPr>
          <w:p w14:paraId="1A2E81A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功能区</w:t>
            </w:r>
          </w:p>
        </w:tc>
        <w:tc>
          <w:tcPr>
            <w:tcW w:w="796" w:type="pct"/>
            <w:vAlign w:val="center"/>
          </w:tcPr>
          <w:p w14:paraId="64ECC95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取值时间</w:t>
            </w:r>
          </w:p>
        </w:tc>
        <w:tc>
          <w:tcPr>
            <w:tcW w:w="957" w:type="pct"/>
            <w:vAlign w:val="center"/>
          </w:tcPr>
          <w:p w14:paraId="27FABD8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标准值(μg/m³)</w:t>
            </w:r>
          </w:p>
        </w:tc>
        <w:tc>
          <w:tcPr>
            <w:tcW w:w="1733" w:type="pct"/>
            <w:vAlign w:val="center"/>
          </w:tcPr>
          <w:p w14:paraId="3444942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标准来源</w:t>
            </w:r>
          </w:p>
        </w:tc>
      </w:tr>
      <w:tr w14:paraId="34F99C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96" w:type="pct"/>
            <w:vAlign w:val="center"/>
          </w:tcPr>
          <w:p w14:paraId="0848AE1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TVOC</w:t>
            </w:r>
          </w:p>
        </w:tc>
        <w:tc>
          <w:tcPr>
            <w:tcW w:w="718" w:type="pct"/>
            <w:vAlign w:val="center"/>
          </w:tcPr>
          <w:p w14:paraId="7F8078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二类限区</w:t>
            </w:r>
          </w:p>
        </w:tc>
        <w:tc>
          <w:tcPr>
            <w:tcW w:w="796" w:type="pct"/>
            <w:vAlign w:val="center"/>
          </w:tcPr>
          <w:p w14:paraId="49AA01B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8小时</w:t>
            </w:r>
          </w:p>
        </w:tc>
        <w:tc>
          <w:tcPr>
            <w:tcW w:w="957" w:type="pct"/>
            <w:vAlign w:val="center"/>
          </w:tcPr>
          <w:p w14:paraId="322BE9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600.0</w:t>
            </w:r>
          </w:p>
        </w:tc>
        <w:tc>
          <w:tcPr>
            <w:tcW w:w="1733" w:type="pct"/>
            <w:vAlign w:val="center"/>
          </w:tcPr>
          <w:p w14:paraId="2D96A01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《环境影响评价技术导则-大气环境》 HJ 2.2-2018 附录D</w:t>
            </w:r>
          </w:p>
        </w:tc>
      </w:tr>
      <w:tr w14:paraId="55BF2E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96" w:type="pct"/>
            <w:vAlign w:val="center"/>
          </w:tcPr>
          <w:p w14:paraId="699CE3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苯</w:t>
            </w:r>
          </w:p>
        </w:tc>
        <w:tc>
          <w:tcPr>
            <w:tcW w:w="718" w:type="pct"/>
            <w:vAlign w:val="center"/>
          </w:tcPr>
          <w:p w14:paraId="61E4AA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二类限区</w:t>
            </w:r>
          </w:p>
        </w:tc>
        <w:tc>
          <w:tcPr>
            <w:tcW w:w="796" w:type="pct"/>
            <w:vAlign w:val="center"/>
          </w:tcPr>
          <w:p w14:paraId="75181F0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一小时</w:t>
            </w:r>
          </w:p>
        </w:tc>
        <w:tc>
          <w:tcPr>
            <w:tcW w:w="957" w:type="pct"/>
            <w:vAlign w:val="center"/>
          </w:tcPr>
          <w:p w14:paraId="5D6AE24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110</w:t>
            </w:r>
          </w:p>
        </w:tc>
        <w:tc>
          <w:tcPr>
            <w:tcW w:w="1733" w:type="pct"/>
            <w:vAlign w:val="center"/>
          </w:tcPr>
          <w:p w14:paraId="510FD42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《环境影响评价技术导则-大气环境》 HJ 2.2-2018 附录D</w:t>
            </w:r>
          </w:p>
        </w:tc>
      </w:tr>
      <w:tr w14:paraId="66394A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96" w:type="pct"/>
            <w:vAlign w:val="center"/>
          </w:tcPr>
          <w:p w14:paraId="7F23870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甲苯</w:t>
            </w:r>
          </w:p>
        </w:tc>
        <w:tc>
          <w:tcPr>
            <w:tcW w:w="718" w:type="pct"/>
            <w:vAlign w:val="center"/>
          </w:tcPr>
          <w:p w14:paraId="1697B95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二类限区</w:t>
            </w:r>
          </w:p>
        </w:tc>
        <w:tc>
          <w:tcPr>
            <w:tcW w:w="796" w:type="pct"/>
            <w:vAlign w:val="center"/>
          </w:tcPr>
          <w:p w14:paraId="5E9191B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一小时</w:t>
            </w:r>
          </w:p>
        </w:tc>
        <w:tc>
          <w:tcPr>
            <w:tcW w:w="957" w:type="pct"/>
            <w:vAlign w:val="center"/>
          </w:tcPr>
          <w:p w14:paraId="0C48074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200</w:t>
            </w:r>
          </w:p>
        </w:tc>
        <w:tc>
          <w:tcPr>
            <w:tcW w:w="1733" w:type="pct"/>
            <w:vAlign w:val="center"/>
          </w:tcPr>
          <w:p w14:paraId="75E2A0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《环境影响评价技术导则-大气环境》 HJ 2.2-2018 附录D</w:t>
            </w:r>
          </w:p>
        </w:tc>
      </w:tr>
      <w:tr w14:paraId="1A981C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96" w:type="pct"/>
            <w:vAlign w:val="center"/>
          </w:tcPr>
          <w:p w14:paraId="29AAEB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二甲苯</w:t>
            </w:r>
          </w:p>
        </w:tc>
        <w:tc>
          <w:tcPr>
            <w:tcW w:w="718" w:type="pct"/>
            <w:vAlign w:val="center"/>
          </w:tcPr>
          <w:p w14:paraId="007E4E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二类限区</w:t>
            </w:r>
          </w:p>
        </w:tc>
        <w:tc>
          <w:tcPr>
            <w:tcW w:w="796" w:type="pct"/>
            <w:vAlign w:val="center"/>
          </w:tcPr>
          <w:p w14:paraId="212501E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一小时</w:t>
            </w:r>
          </w:p>
        </w:tc>
        <w:tc>
          <w:tcPr>
            <w:tcW w:w="957" w:type="pct"/>
            <w:vAlign w:val="center"/>
          </w:tcPr>
          <w:p w14:paraId="395F480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200</w:t>
            </w:r>
          </w:p>
        </w:tc>
        <w:tc>
          <w:tcPr>
            <w:tcW w:w="1733" w:type="pct"/>
            <w:vAlign w:val="center"/>
          </w:tcPr>
          <w:p w14:paraId="2475B14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《环境影响评价技术导则-大气环境》 HJ 2.2-2018 附录D</w:t>
            </w:r>
          </w:p>
        </w:tc>
      </w:tr>
      <w:tr w14:paraId="16C12D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96" w:type="pct"/>
            <w:vAlign w:val="center"/>
          </w:tcPr>
          <w:p w14:paraId="438DEEA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NH</w:t>
            </w:r>
            <w:r>
              <w:rPr>
                <w:rFonts w:hint="default" w:ascii="Times New Roman" w:hAnsi="Times New Roman" w:eastAsia="宋体" w:cs="Times New Roman"/>
                <w:szCs w:val="21"/>
                <w:u w:val="single"/>
                <w:vertAlign w:val="subscript"/>
              </w:rPr>
              <w:t>3</w:t>
            </w:r>
          </w:p>
        </w:tc>
        <w:tc>
          <w:tcPr>
            <w:tcW w:w="718" w:type="pct"/>
            <w:vAlign w:val="center"/>
          </w:tcPr>
          <w:p w14:paraId="30D1D07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二类限区</w:t>
            </w:r>
          </w:p>
        </w:tc>
        <w:tc>
          <w:tcPr>
            <w:tcW w:w="796" w:type="pct"/>
            <w:vAlign w:val="center"/>
          </w:tcPr>
          <w:p w14:paraId="478262E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一小时</w:t>
            </w:r>
          </w:p>
        </w:tc>
        <w:tc>
          <w:tcPr>
            <w:tcW w:w="957" w:type="pct"/>
            <w:vAlign w:val="center"/>
          </w:tcPr>
          <w:p w14:paraId="477EF4A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200.0</w:t>
            </w:r>
          </w:p>
        </w:tc>
        <w:tc>
          <w:tcPr>
            <w:tcW w:w="1733" w:type="pct"/>
            <w:vAlign w:val="center"/>
          </w:tcPr>
          <w:p w14:paraId="2EDBD49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《环境影响评价技术导则-大气环境》 HJ 2.2-2018 附录D</w:t>
            </w:r>
          </w:p>
        </w:tc>
      </w:tr>
      <w:tr w14:paraId="4F11FB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96" w:type="pct"/>
            <w:vAlign w:val="center"/>
          </w:tcPr>
          <w:p w14:paraId="77CCFB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H</w:t>
            </w:r>
            <w:r>
              <w:rPr>
                <w:rFonts w:hint="default" w:ascii="Times New Roman" w:hAnsi="Times New Roman" w:eastAsia="宋体" w:cs="Times New Roman"/>
                <w:szCs w:val="21"/>
                <w:u w:val="single"/>
                <w:vertAlign w:val="subscript"/>
              </w:rPr>
              <w:t>2</w:t>
            </w:r>
            <w:r>
              <w:rPr>
                <w:rFonts w:hint="default" w:ascii="Times New Roman" w:hAnsi="Times New Roman" w:eastAsia="宋体" w:cs="Times New Roman"/>
                <w:szCs w:val="21"/>
                <w:u w:val="single"/>
              </w:rPr>
              <w:t>S</w:t>
            </w:r>
          </w:p>
        </w:tc>
        <w:tc>
          <w:tcPr>
            <w:tcW w:w="1309" w:type="dxa"/>
            <w:vAlign w:val="center"/>
          </w:tcPr>
          <w:p w14:paraId="1808307E">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二类限区</w:t>
            </w:r>
          </w:p>
        </w:tc>
        <w:tc>
          <w:tcPr>
            <w:tcW w:w="1452" w:type="dxa"/>
            <w:vAlign w:val="center"/>
          </w:tcPr>
          <w:p w14:paraId="24E6DFF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一小时</w:t>
            </w:r>
          </w:p>
        </w:tc>
        <w:tc>
          <w:tcPr>
            <w:tcW w:w="1745" w:type="dxa"/>
            <w:vAlign w:val="center"/>
          </w:tcPr>
          <w:p w14:paraId="59F4A13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10.0</w:t>
            </w:r>
          </w:p>
        </w:tc>
        <w:tc>
          <w:tcPr>
            <w:tcW w:w="3160" w:type="dxa"/>
            <w:vAlign w:val="center"/>
          </w:tcPr>
          <w:p w14:paraId="63B1BAC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《环境影响评价技术导则-大气环境》 HJ 2.2-2018 附录D</w:t>
            </w:r>
          </w:p>
        </w:tc>
      </w:tr>
      <w:tr w14:paraId="0F4AC3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81" w:hRule="atLeast"/>
        </w:trPr>
        <w:tc>
          <w:tcPr>
            <w:tcW w:w="1452" w:type="dxa"/>
            <w:vAlign w:val="center"/>
          </w:tcPr>
          <w:p w14:paraId="0F5B8A9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b w:val="0"/>
                <w:sz w:val="23"/>
                <w:szCs w:val="23"/>
                <w:u w:val="single"/>
              </w:rPr>
              <w:t>硫酸</w:t>
            </w:r>
          </w:p>
        </w:tc>
        <w:tc>
          <w:tcPr>
            <w:tcW w:w="1309" w:type="dxa"/>
            <w:vAlign w:val="center"/>
          </w:tcPr>
          <w:p w14:paraId="5F82CE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b w:val="0"/>
                <w:sz w:val="23"/>
                <w:szCs w:val="23"/>
                <w:u w:val="single"/>
              </w:rPr>
              <w:t>二类限区</w:t>
            </w:r>
          </w:p>
        </w:tc>
        <w:tc>
          <w:tcPr>
            <w:tcW w:w="1452" w:type="dxa"/>
            <w:vAlign w:val="center"/>
          </w:tcPr>
          <w:p w14:paraId="0248783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b w:val="0"/>
                <w:sz w:val="23"/>
                <w:szCs w:val="23"/>
                <w:u w:val="single"/>
              </w:rPr>
              <w:t>一小时</w:t>
            </w:r>
          </w:p>
        </w:tc>
        <w:tc>
          <w:tcPr>
            <w:tcW w:w="1745" w:type="dxa"/>
            <w:vAlign w:val="center"/>
          </w:tcPr>
          <w:p w14:paraId="03E84B8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b w:val="0"/>
                <w:sz w:val="23"/>
                <w:szCs w:val="23"/>
                <w:u w:val="single"/>
              </w:rPr>
              <w:t>300.0</w:t>
            </w:r>
          </w:p>
        </w:tc>
        <w:tc>
          <w:tcPr>
            <w:tcW w:w="3160" w:type="dxa"/>
            <w:vAlign w:val="center"/>
          </w:tcPr>
          <w:p w14:paraId="450D8174">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《环境影响评价技术导则-大气环境》 HJ 2.2-2018 附录D</w:t>
            </w:r>
          </w:p>
        </w:tc>
      </w:tr>
    </w:tbl>
    <w:p w14:paraId="135A306E">
      <w:pPr>
        <w:spacing w:line="360" w:lineRule="auto"/>
        <w:ind w:right="119"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⑥污染源参数</w:t>
      </w:r>
    </w:p>
    <w:p w14:paraId="253D5839">
      <w:pPr>
        <w:pStyle w:val="30"/>
        <w:spacing w:after="0" w:line="360" w:lineRule="auto"/>
        <w:ind w:right="119" w:firstLine="480" w:firstLineChars="200"/>
        <w:jc w:val="both"/>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项目运营后，在正常工况情况下，生产过程中所排放的主要大气污染物源强参数见表7.2-2、7.2-3。</w:t>
      </w:r>
    </w:p>
    <w:p w14:paraId="4092855B">
      <w:pPr>
        <w:pStyle w:val="30"/>
        <w:tabs>
          <w:tab w:val="left" w:pos="1080"/>
        </w:tabs>
        <w:spacing w:after="0" w:line="360" w:lineRule="auto"/>
        <w:ind w:firstLine="0" w:firstLineChars="0"/>
        <w:rPr>
          <w:rFonts w:hint="default" w:ascii="Times New Roman" w:hAnsi="Times New Roman" w:eastAsia="宋体" w:cs="Times New Roman"/>
          <w:b/>
          <w:bCs/>
          <w:color w:val="000000"/>
          <w:szCs w:val="21"/>
          <w:u w:val="single"/>
        </w:rPr>
      </w:pPr>
      <w:r>
        <w:rPr>
          <w:rFonts w:hint="default" w:ascii="Times New Roman" w:hAnsi="Times New Roman" w:eastAsia="宋体" w:cs="Times New Roman"/>
          <w:b/>
          <w:bCs/>
          <w:color w:val="000000"/>
          <w:szCs w:val="21"/>
          <w:u w:val="single"/>
        </w:rPr>
        <w:t>表7.2-2   主要废气污染源参数一览表（点源）</w:t>
      </w:r>
    </w:p>
    <w:tbl>
      <w:tblPr>
        <w:tblStyle w:val="32"/>
        <w:tblW w:w="85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032"/>
        <w:gridCol w:w="952"/>
        <w:gridCol w:w="606"/>
        <w:gridCol w:w="606"/>
        <w:gridCol w:w="519"/>
        <w:gridCol w:w="693"/>
        <w:gridCol w:w="606"/>
        <w:gridCol w:w="693"/>
        <w:gridCol w:w="693"/>
        <w:gridCol w:w="693"/>
        <w:gridCol w:w="606"/>
        <w:gridCol w:w="693"/>
      </w:tblGrid>
      <w:tr w14:paraId="41569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restart"/>
            <w:tcBorders>
              <w:tl2br w:val="nil"/>
              <w:tr2bl w:val="nil"/>
            </w:tcBorders>
            <w:vAlign w:val="center"/>
          </w:tcPr>
          <w:p w14:paraId="23B9C43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污染源名称</w:t>
            </w:r>
          </w:p>
        </w:tc>
        <w:tc>
          <w:tcPr>
            <w:tcW w:w="0" w:type="dxa"/>
            <w:gridSpan w:val="2"/>
            <w:tcBorders>
              <w:tl2br w:val="nil"/>
              <w:tr2bl w:val="nil"/>
            </w:tcBorders>
            <w:vAlign w:val="center"/>
          </w:tcPr>
          <w:p w14:paraId="476C0E1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排气筒底部中心坐标(°)</w:t>
            </w:r>
          </w:p>
        </w:tc>
        <w:tc>
          <w:tcPr>
            <w:tcW w:w="0" w:type="dxa"/>
            <w:vMerge w:val="restart"/>
            <w:tcBorders>
              <w:tl2br w:val="nil"/>
              <w:tr2bl w:val="nil"/>
            </w:tcBorders>
            <w:vAlign w:val="center"/>
          </w:tcPr>
          <w:p w14:paraId="695579B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排气筒底部海拔高度(m)</w:t>
            </w:r>
          </w:p>
        </w:tc>
        <w:tc>
          <w:tcPr>
            <w:tcW w:w="0" w:type="dxa"/>
            <w:gridSpan w:val="4"/>
            <w:tcBorders>
              <w:tl2br w:val="nil"/>
              <w:tr2bl w:val="nil"/>
            </w:tcBorders>
            <w:vAlign w:val="center"/>
          </w:tcPr>
          <w:p w14:paraId="3055261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排气筒参数</w:t>
            </w:r>
          </w:p>
        </w:tc>
        <w:tc>
          <w:tcPr>
            <w:tcW w:w="0" w:type="dxa"/>
            <w:gridSpan w:val="5"/>
            <w:tcBorders>
              <w:tl2br w:val="nil"/>
              <w:tr2bl w:val="nil"/>
            </w:tcBorders>
            <w:vAlign w:val="center"/>
          </w:tcPr>
          <w:p w14:paraId="084E612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污染物排放速率(kg/h)</w:t>
            </w:r>
          </w:p>
        </w:tc>
      </w:tr>
      <w:tr w14:paraId="4B40F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continue"/>
            <w:tcBorders>
              <w:tl2br w:val="nil"/>
              <w:tr2bl w:val="nil"/>
            </w:tcBorders>
            <w:vAlign w:val="center"/>
          </w:tcPr>
          <w:p w14:paraId="2C6FCDC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p>
        </w:tc>
        <w:tc>
          <w:tcPr>
            <w:tcW w:w="0" w:type="dxa"/>
            <w:tcBorders>
              <w:tl2br w:val="nil"/>
              <w:tr2bl w:val="nil"/>
            </w:tcBorders>
            <w:vAlign w:val="center"/>
          </w:tcPr>
          <w:p w14:paraId="7A24226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经度</w:t>
            </w:r>
          </w:p>
        </w:tc>
        <w:tc>
          <w:tcPr>
            <w:tcW w:w="0" w:type="dxa"/>
            <w:tcBorders>
              <w:tl2br w:val="nil"/>
              <w:tr2bl w:val="nil"/>
            </w:tcBorders>
            <w:vAlign w:val="center"/>
          </w:tcPr>
          <w:p w14:paraId="2C74449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纬度</w:t>
            </w:r>
          </w:p>
        </w:tc>
        <w:tc>
          <w:tcPr>
            <w:tcW w:w="0" w:type="dxa"/>
            <w:vMerge w:val="continue"/>
            <w:tcBorders>
              <w:tl2br w:val="nil"/>
              <w:tr2bl w:val="nil"/>
            </w:tcBorders>
            <w:vAlign w:val="center"/>
          </w:tcPr>
          <w:p w14:paraId="573580A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p>
        </w:tc>
        <w:tc>
          <w:tcPr>
            <w:tcW w:w="0" w:type="dxa"/>
            <w:tcBorders>
              <w:tl2br w:val="nil"/>
              <w:tr2bl w:val="nil"/>
            </w:tcBorders>
            <w:vAlign w:val="center"/>
          </w:tcPr>
          <w:p w14:paraId="142F453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高度(m)</w:t>
            </w:r>
          </w:p>
        </w:tc>
        <w:tc>
          <w:tcPr>
            <w:tcW w:w="0" w:type="dxa"/>
            <w:tcBorders>
              <w:tl2br w:val="nil"/>
              <w:tr2bl w:val="nil"/>
            </w:tcBorders>
            <w:vAlign w:val="center"/>
          </w:tcPr>
          <w:p w14:paraId="0C6A3F4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内径(m)</w:t>
            </w:r>
          </w:p>
        </w:tc>
        <w:tc>
          <w:tcPr>
            <w:tcW w:w="0" w:type="dxa"/>
            <w:tcBorders>
              <w:tl2br w:val="nil"/>
              <w:tr2bl w:val="nil"/>
            </w:tcBorders>
            <w:vAlign w:val="center"/>
          </w:tcPr>
          <w:p w14:paraId="27161AE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温度(℃)</w:t>
            </w:r>
          </w:p>
        </w:tc>
        <w:tc>
          <w:tcPr>
            <w:tcW w:w="0" w:type="dxa"/>
            <w:tcBorders>
              <w:tl2br w:val="nil"/>
              <w:tr2bl w:val="nil"/>
            </w:tcBorders>
            <w:vAlign w:val="center"/>
          </w:tcPr>
          <w:p w14:paraId="782656C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流速(m/s)</w:t>
            </w:r>
          </w:p>
        </w:tc>
        <w:tc>
          <w:tcPr>
            <w:tcW w:w="0" w:type="dxa"/>
            <w:tcBorders>
              <w:tl2br w:val="nil"/>
              <w:tr2bl w:val="nil"/>
            </w:tcBorders>
            <w:vAlign w:val="center"/>
          </w:tcPr>
          <w:p w14:paraId="204C74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甲苯</w:t>
            </w:r>
          </w:p>
        </w:tc>
        <w:tc>
          <w:tcPr>
            <w:tcW w:w="0" w:type="dxa"/>
            <w:tcBorders>
              <w:tl2br w:val="nil"/>
              <w:tr2bl w:val="nil"/>
            </w:tcBorders>
            <w:vAlign w:val="center"/>
          </w:tcPr>
          <w:p w14:paraId="678DEBF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二甲苯</w:t>
            </w:r>
          </w:p>
        </w:tc>
        <w:tc>
          <w:tcPr>
            <w:tcW w:w="0" w:type="dxa"/>
            <w:tcBorders>
              <w:tl2br w:val="nil"/>
              <w:tr2bl w:val="nil"/>
            </w:tcBorders>
            <w:vAlign w:val="center"/>
          </w:tcPr>
          <w:p w14:paraId="315FCAD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苯</w:t>
            </w:r>
          </w:p>
        </w:tc>
        <w:tc>
          <w:tcPr>
            <w:tcW w:w="0" w:type="dxa"/>
            <w:tcBorders>
              <w:tl2br w:val="nil"/>
              <w:tr2bl w:val="nil"/>
            </w:tcBorders>
            <w:vAlign w:val="center"/>
          </w:tcPr>
          <w:p w14:paraId="72B1F7A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硫酸</w:t>
            </w:r>
          </w:p>
        </w:tc>
        <w:tc>
          <w:tcPr>
            <w:tcW w:w="0" w:type="dxa"/>
            <w:tcBorders>
              <w:tl2br w:val="nil"/>
              <w:tr2bl w:val="nil"/>
            </w:tcBorders>
            <w:vAlign w:val="center"/>
          </w:tcPr>
          <w:p w14:paraId="4780E8F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TVOC</w:t>
            </w:r>
          </w:p>
        </w:tc>
      </w:tr>
      <w:tr w14:paraId="3F896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tcBorders>
              <w:tl2br w:val="nil"/>
              <w:tr2bl w:val="nil"/>
            </w:tcBorders>
            <w:vAlign w:val="center"/>
          </w:tcPr>
          <w:p w14:paraId="70D4E2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DA001</w:t>
            </w:r>
          </w:p>
        </w:tc>
        <w:tc>
          <w:tcPr>
            <w:tcW w:w="0" w:type="dxa"/>
            <w:tcBorders>
              <w:tl2br w:val="nil"/>
              <w:tr2bl w:val="nil"/>
            </w:tcBorders>
            <w:vAlign w:val="center"/>
          </w:tcPr>
          <w:p w14:paraId="69DA600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112.627209</w:t>
            </w:r>
          </w:p>
        </w:tc>
        <w:tc>
          <w:tcPr>
            <w:tcW w:w="0" w:type="dxa"/>
            <w:tcBorders>
              <w:tl2br w:val="nil"/>
              <w:tr2bl w:val="nil"/>
            </w:tcBorders>
            <w:vAlign w:val="center"/>
          </w:tcPr>
          <w:p w14:paraId="7D6604E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26.973766</w:t>
            </w:r>
          </w:p>
        </w:tc>
        <w:tc>
          <w:tcPr>
            <w:tcW w:w="0" w:type="dxa"/>
            <w:tcBorders>
              <w:tl2br w:val="nil"/>
              <w:tr2bl w:val="nil"/>
            </w:tcBorders>
            <w:vAlign w:val="center"/>
          </w:tcPr>
          <w:p w14:paraId="052F6A3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66.00</w:t>
            </w:r>
          </w:p>
        </w:tc>
        <w:tc>
          <w:tcPr>
            <w:tcW w:w="0" w:type="dxa"/>
            <w:tcBorders>
              <w:tl2br w:val="nil"/>
              <w:tr2bl w:val="nil"/>
            </w:tcBorders>
            <w:vAlign w:val="center"/>
          </w:tcPr>
          <w:p w14:paraId="71ACC40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15.00</w:t>
            </w:r>
          </w:p>
        </w:tc>
        <w:tc>
          <w:tcPr>
            <w:tcW w:w="0" w:type="dxa"/>
            <w:tcBorders>
              <w:tl2br w:val="nil"/>
              <w:tr2bl w:val="nil"/>
            </w:tcBorders>
            <w:vAlign w:val="center"/>
          </w:tcPr>
          <w:p w14:paraId="205E8BD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0.40</w:t>
            </w:r>
          </w:p>
        </w:tc>
        <w:tc>
          <w:tcPr>
            <w:tcW w:w="0" w:type="dxa"/>
            <w:tcBorders>
              <w:tl2br w:val="nil"/>
              <w:tr2bl w:val="nil"/>
            </w:tcBorders>
            <w:vAlign w:val="center"/>
          </w:tcPr>
          <w:p w14:paraId="7674AC3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141.85</w:t>
            </w:r>
          </w:p>
        </w:tc>
        <w:tc>
          <w:tcPr>
            <w:tcW w:w="0" w:type="dxa"/>
            <w:tcBorders>
              <w:tl2br w:val="nil"/>
              <w:tr2bl w:val="nil"/>
            </w:tcBorders>
            <w:vAlign w:val="center"/>
          </w:tcPr>
          <w:p w14:paraId="33C5EBD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44.00</w:t>
            </w:r>
          </w:p>
        </w:tc>
        <w:tc>
          <w:tcPr>
            <w:tcW w:w="0" w:type="dxa"/>
            <w:tcBorders>
              <w:tl2br w:val="nil"/>
              <w:tr2bl w:val="nil"/>
            </w:tcBorders>
            <w:vAlign w:val="center"/>
          </w:tcPr>
          <w:p w14:paraId="663107F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0.0087</w:t>
            </w:r>
          </w:p>
        </w:tc>
        <w:tc>
          <w:tcPr>
            <w:tcW w:w="0" w:type="dxa"/>
            <w:tcBorders>
              <w:tl2br w:val="nil"/>
              <w:tr2bl w:val="nil"/>
            </w:tcBorders>
            <w:vAlign w:val="center"/>
          </w:tcPr>
          <w:p w14:paraId="4924B37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0.0087</w:t>
            </w:r>
          </w:p>
        </w:tc>
        <w:tc>
          <w:tcPr>
            <w:tcW w:w="0" w:type="dxa"/>
            <w:tcBorders>
              <w:tl2br w:val="nil"/>
              <w:tr2bl w:val="nil"/>
            </w:tcBorders>
            <w:vAlign w:val="center"/>
          </w:tcPr>
          <w:p w14:paraId="22E7BE6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0.0087</w:t>
            </w:r>
          </w:p>
        </w:tc>
        <w:tc>
          <w:tcPr>
            <w:tcW w:w="0" w:type="dxa"/>
            <w:tcBorders>
              <w:tl2br w:val="nil"/>
              <w:tr2bl w:val="nil"/>
            </w:tcBorders>
            <w:vAlign w:val="center"/>
          </w:tcPr>
          <w:p w14:paraId="3674AF0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5B3F95C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0.2900</w:t>
            </w:r>
          </w:p>
        </w:tc>
      </w:tr>
      <w:tr w14:paraId="2C6DFED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tcBorders>
              <w:tl2br w:val="nil"/>
              <w:tr2bl w:val="nil"/>
            </w:tcBorders>
            <w:vAlign w:val="center"/>
          </w:tcPr>
          <w:p w14:paraId="262FEB1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DA002</w:t>
            </w:r>
          </w:p>
        </w:tc>
        <w:tc>
          <w:tcPr>
            <w:tcW w:w="0" w:type="dxa"/>
            <w:tcBorders>
              <w:tl2br w:val="nil"/>
              <w:tr2bl w:val="nil"/>
            </w:tcBorders>
            <w:vAlign w:val="center"/>
          </w:tcPr>
          <w:p w14:paraId="4FA1E28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112.627212</w:t>
            </w:r>
          </w:p>
        </w:tc>
        <w:tc>
          <w:tcPr>
            <w:tcW w:w="0" w:type="dxa"/>
            <w:tcBorders>
              <w:tl2br w:val="nil"/>
              <w:tr2bl w:val="nil"/>
            </w:tcBorders>
            <w:vAlign w:val="center"/>
          </w:tcPr>
          <w:p w14:paraId="7673E02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26.973537</w:t>
            </w:r>
          </w:p>
        </w:tc>
        <w:tc>
          <w:tcPr>
            <w:tcW w:w="0" w:type="dxa"/>
            <w:tcBorders>
              <w:tl2br w:val="nil"/>
              <w:tr2bl w:val="nil"/>
            </w:tcBorders>
            <w:vAlign w:val="center"/>
          </w:tcPr>
          <w:p w14:paraId="7CA8D3A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66.00</w:t>
            </w:r>
          </w:p>
        </w:tc>
        <w:tc>
          <w:tcPr>
            <w:tcW w:w="0" w:type="dxa"/>
            <w:tcBorders>
              <w:tl2br w:val="nil"/>
              <w:tr2bl w:val="nil"/>
            </w:tcBorders>
            <w:vAlign w:val="center"/>
          </w:tcPr>
          <w:p w14:paraId="773A769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15.00</w:t>
            </w:r>
          </w:p>
        </w:tc>
        <w:tc>
          <w:tcPr>
            <w:tcW w:w="0" w:type="dxa"/>
            <w:tcBorders>
              <w:tl2br w:val="nil"/>
              <w:tr2bl w:val="nil"/>
            </w:tcBorders>
            <w:vAlign w:val="center"/>
          </w:tcPr>
          <w:p w14:paraId="7AA3049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0.40</w:t>
            </w:r>
          </w:p>
        </w:tc>
        <w:tc>
          <w:tcPr>
            <w:tcW w:w="0" w:type="dxa"/>
            <w:tcBorders>
              <w:tl2br w:val="nil"/>
              <w:tr2bl w:val="nil"/>
            </w:tcBorders>
            <w:vAlign w:val="center"/>
          </w:tcPr>
          <w:p w14:paraId="69F7EE1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141.85</w:t>
            </w:r>
          </w:p>
        </w:tc>
        <w:tc>
          <w:tcPr>
            <w:tcW w:w="0" w:type="dxa"/>
            <w:tcBorders>
              <w:tl2br w:val="nil"/>
              <w:tr2bl w:val="nil"/>
            </w:tcBorders>
            <w:vAlign w:val="center"/>
          </w:tcPr>
          <w:p w14:paraId="5D47FCC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22.00</w:t>
            </w:r>
          </w:p>
        </w:tc>
        <w:tc>
          <w:tcPr>
            <w:tcW w:w="0" w:type="dxa"/>
            <w:tcBorders>
              <w:tl2br w:val="nil"/>
              <w:tr2bl w:val="nil"/>
            </w:tcBorders>
            <w:vAlign w:val="center"/>
          </w:tcPr>
          <w:p w14:paraId="6D34961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61FDCD6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2FE8EF2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4B48844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b w:val="0"/>
                <w:sz w:val="21"/>
                <w:szCs w:val="21"/>
                <w:u w:val="single"/>
              </w:rPr>
              <w:t>0.0</w:t>
            </w:r>
            <w:r>
              <w:rPr>
                <w:rFonts w:hint="default" w:ascii="Times New Roman" w:hAnsi="Times New Roman" w:eastAsia="宋体" w:cs="Times New Roman"/>
                <w:b w:val="0"/>
                <w:sz w:val="21"/>
                <w:szCs w:val="21"/>
                <w:u w:val="single"/>
                <w:lang w:val="en-US" w:eastAsia="zh-CN"/>
              </w:rPr>
              <w:t>20</w:t>
            </w:r>
          </w:p>
        </w:tc>
        <w:tc>
          <w:tcPr>
            <w:tcW w:w="0" w:type="dxa"/>
            <w:tcBorders>
              <w:tl2br w:val="nil"/>
              <w:tr2bl w:val="nil"/>
            </w:tcBorders>
            <w:vAlign w:val="center"/>
          </w:tcPr>
          <w:p w14:paraId="38B7630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0.0300</w:t>
            </w:r>
          </w:p>
        </w:tc>
      </w:tr>
    </w:tbl>
    <w:p w14:paraId="7D75596D">
      <w:pPr>
        <w:spacing w:line="480" w:lineRule="exact"/>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 xml:space="preserve">表7.2-3  主要废气污染源参数一览表(矩形面源) </w:t>
      </w:r>
    </w:p>
    <w:tbl>
      <w:tblPr>
        <w:tblStyle w:val="32"/>
        <w:tblW w:w="85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3"/>
        <w:gridCol w:w="958"/>
        <w:gridCol w:w="885"/>
        <w:gridCol w:w="570"/>
        <w:gridCol w:w="649"/>
        <w:gridCol w:w="570"/>
        <w:gridCol w:w="570"/>
        <w:gridCol w:w="649"/>
        <w:gridCol w:w="649"/>
        <w:gridCol w:w="649"/>
        <w:gridCol w:w="649"/>
        <w:gridCol w:w="649"/>
        <w:gridCol w:w="649"/>
        <w:gridCol w:w="649"/>
      </w:tblGrid>
      <w:tr w14:paraId="416ADA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restart"/>
            <w:tcBorders>
              <w:tl2br w:val="nil"/>
              <w:tr2bl w:val="nil"/>
            </w:tcBorders>
            <w:vAlign w:val="center"/>
          </w:tcPr>
          <w:p w14:paraId="2732FE1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污染源名称</w:t>
            </w:r>
          </w:p>
        </w:tc>
        <w:tc>
          <w:tcPr>
            <w:tcW w:w="0" w:type="dxa"/>
            <w:gridSpan w:val="2"/>
            <w:tcBorders>
              <w:tl2br w:val="nil"/>
              <w:tr2bl w:val="nil"/>
            </w:tcBorders>
            <w:vAlign w:val="center"/>
          </w:tcPr>
          <w:p w14:paraId="63A9101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坐标(°)</w:t>
            </w:r>
          </w:p>
        </w:tc>
        <w:tc>
          <w:tcPr>
            <w:tcW w:w="0" w:type="dxa"/>
            <w:vMerge w:val="restart"/>
            <w:tcBorders>
              <w:tl2br w:val="nil"/>
              <w:tr2bl w:val="nil"/>
            </w:tcBorders>
            <w:vAlign w:val="center"/>
          </w:tcPr>
          <w:p w14:paraId="4A8C265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海拔高度(m)</w:t>
            </w:r>
          </w:p>
        </w:tc>
        <w:tc>
          <w:tcPr>
            <w:tcW w:w="0" w:type="dxa"/>
            <w:gridSpan w:val="3"/>
            <w:tcBorders>
              <w:tl2br w:val="nil"/>
              <w:tr2bl w:val="nil"/>
            </w:tcBorders>
            <w:vAlign w:val="center"/>
          </w:tcPr>
          <w:p w14:paraId="651DD7E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矩形面源</w:t>
            </w:r>
          </w:p>
        </w:tc>
        <w:tc>
          <w:tcPr>
            <w:tcW w:w="0" w:type="dxa"/>
            <w:gridSpan w:val="7"/>
            <w:tcBorders>
              <w:tl2br w:val="nil"/>
              <w:tr2bl w:val="nil"/>
            </w:tcBorders>
            <w:vAlign w:val="center"/>
          </w:tcPr>
          <w:p w14:paraId="06E59F1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污染物排放速率(kg/h)</w:t>
            </w:r>
          </w:p>
        </w:tc>
      </w:tr>
      <w:tr w14:paraId="7CF9F3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continue"/>
            <w:tcBorders>
              <w:tl2br w:val="nil"/>
              <w:tr2bl w:val="nil"/>
            </w:tcBorders>
            <w:vAlign w:val="center"/>
          </w:tcPr>
          <w:p w14:paraId="5841F98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p>
        </w:tc>
        <w:tc>
          <w:tcPr>
            <w:tcW w:w="0" w:type="dxa"/>
            <w:tcBorders>
              <w:tl2br w:val="nil"/>
              <w:tr2bl w:val="nil"/>
            </w:tcBorders>
            <w:vAlign w:val="center"/>
          </w:tcPr>
          <w:p w14:paraId="0F97770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经度</w:t>
            </w:r>
          </w:p>
        </w:tc>
        <w:tc>
          <w:tcPr>
            <w:tcW w:w="0" w:type="dxa"/>
            <w:tcBorders>
              <w:tl2br w:val="nil"/>
              <w:tr2bl w:val="nil"/>
            </w:tcBorders>
            <w:vAlign w:val="center"/>
          </w:tcPr>
          <w:p w14:paraId="22DA72B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纬度</w:t>
            </w:r>
          </w:p>
        </w:tc>
        <w:tc>
          <w:tcPr>
            <w:tcW w:w="0" w:type="dxa"/>
            <w:vMerge w:val="continue"/>
            <w:tcBorders>
              <w:tl2br w:val="nil"/>
              <w:tr2bl w:val="nil"/>
            </w:tcBorders>
            <w:vAlign w:val="center"/>
          </w:tcPr>
          <w:p w14:paraId="33A3A72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p>
        </w:tc>
        <w:tc>
          <w:tcPr>
            <w:tcW w:w="0" w:type="dxa"/>
            <w:tcBorders>
              <w:tl2br w:val="nil"/>
              <w:tr2bl w:val="nil"/>
            </w:tcBorders>
            <w:vAlign w:val="center"/>
          </w:tcPr>
          <w:p w14:paraId="2A58572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长度(m)</w:t>
            </w:r>
          </w:p>
        </w:tc>
        <w:tc>
          <w:tcPr>
            <w:tcW w:w="0" w:type="dxa"/>
            <w:tcBorders>
              <w:tl2br w:val="nil"/>
              <w:tr2bl w:val="nil"/>
            </w:tcBorders>
            <w:vAlign w:val="center"/>
          </w:tcPr>
          <w:p w14:paraId="68FF8A4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宽度(m)</w:t>
            </w:r>
          </w:p>
        </w:tc>
        <w:tc>
          <w:tcPr>
            <w:tcW w:w="0" w:type="dxa"/>
            <w:tcBorders>
              <w:tl2br w:val="nil"/>
              <w:tr2bl w:val="nil"/>
            </w:tcBorders>
            <w:vAlign w:val="center"/>
          </w:tcPr>
          <w:p w14:paraId="24EC3AB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有效高度(m)</w:t>
            </w:r>
          </w:p>
        </w:tc>
        <w:tc>
          <w:tcPr>
            <w:tcW w:w="0" w:type="dxa"/>
            <w:tcBorders>
              <w:tl2br w:val="nil"/>
              <w:tr2bl w:val="nil"/>
            </w:tcBorders>
            <w:vAlign w:val="center"/>
          </w:tcPr>
          <w:p w14:paraId="5918BAC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甲苯</w:t>
            </w:r>
          </w:p>
        </w:tc>
        <w:tc>
          <w:tcPr>
            <w:tcW w:w="0" w:type="dxa"/>
            <w:tcBorders>
              <w:tl2br w:val="nil"/>
              <w:tr2bl w:val="nil"/>
            </w:tcBorders>
            <w:vAlign w:val="center"/>
          </w:tcPr>
          <w:p w14:paraId="726F129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二甲苯</w:t>
            </w:r>
          </w:p>
        </w:tc>
        <w:tc>
          <w:tcPr>
            <w:tcW w:w="0" w:type="dxa"/>
            <w:tcBorders>
              <w:tl2br w:val="nil"/>
              <w:tr2bl w:val="nil"/>
            </w:tcBorders>
            <w:vAlign w:val="center"/>
          </w:tcPr>
          <w:p w14:paraId="2C825E7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H</w:t>
            </w:r>
            <w:r>
              <w:rPr>
                <w:rFonts w:hint="default" w:ascii="Times New Roman" w:hAnsi="Times New Roman" w:eastAsia="宋体" w:cs="Times New Roman"/>
                <w:b w:val="0"/>
                <w:sz w:val="21"/>
                <w:szCs w:val="21"/>
                <w:u w:val="single"/>
                <w:vertAlign w:val="subscript"/>
              </w:rPr>
              <w:t>2</w:t>
            </w:r>
            <w:r>
              <w:rPr>
                <w:rFonts w:hint="default" w:ascii="Times New Roman" w:hAnsi="Times New Roman" w:eastAsia="宋体" w:cs="Times New Roman"/>
                <w:b w:val="0"/>
                <w:sz w:val="21"/>
                <w:szCs w:val="21"/>
                <w:u w:val="single"/>
              </w:rPr>
              <w:t>S</w:t>
            </w:r>
          </w:p>
        </w:tc>
        <w:tc>
          <w:tcPr>
            <w:tcW w:w="0" w:type="dxa"/>
            <w:tcBorders>
              <w:tl2br w:val="nil"/>
              <w:tr2bl w:val="nil"/>
            </w:tcBorders>
            <w:vAlign w:val="center"/>
          </w:tcPr>
          <w:p w14:paraId="7A545BB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NH</w:t>
            </w:r>
            <w:r>
              <w:rPr>
                <w:rFonts w:hint="default" w:ascii="Times New Roman" w:hAnsi="Times New Roman" w:eastAsia="宋体" w:cs="Times New Roman"/>
                <w:b w:val="0"/>
                <w:sz w:val="21"/>
                <w:szCs w:val="21"/>
                <w:u w:val="single"/>
                <w:vertAlign w:val="subscript"/>
              </w:rPr>
              <w:t>3</w:t>
            </w:r>
          </w:p>
        </w:tc>
        <w:tc>
          <w:tcPr>
            <w:tcW w:w="0" w:type="dxa"/>
            <w:tcBorders>
              <w:tl2br w:val="nil"/>
              <w:tr2bl w:val="nil"/>
            </w:tcBorders>
            <w:vAlign w:val="center"/>
          </w:tcPr>
          <w:p w14:paraId="7C183F5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苯</w:t>
            </w:r>
          </w:p>
        </w:tc>
        <w:tc>
          <w:tcPr>
            <w:tcW w:w="0" w:type="dxa"/>
            <w:tcBorders>
              <w:tl2br w:val="nil"/>
              <w:tr2bl w:val="nil"/>
            </w:tcBorders>
            <w:vAlign w:val="center"/>
          </w:tcPr>
          <w:p w14:paraId="3535FE5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硫酸</w:t>
            </w:r>
          </w:p>
        </w:tc>
        <w:tc>
          <w:tcPr>
            <w:tcW w:w="0" w:type="dxa"/>
            <w:tcBorders>
              <w:tl2br w:val="nil"/>
              <w:tr2bl w:val="nil"/>
            </w:tcBorders>
            <w:vAlign w:val="center"/>
          </w:tcPr>
          <w:p w14:paraId="03295EB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TVOC</w:t>
            </w:r>
          </w:p>
        </w:tc>
      </w:tr>
      <w:tr w14:paraId="4073547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tcBorders>
              <w:tl2br w:val="nil"/>
              <w:tr2bl w:val="nil"/>
            </w:tcBorders>
            <w:vAlign w:val="center"/>
          </w:tcPr>
          <w:p w14:paraId="162853D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b w:val="0"/>
                <w:sz w:val="21"/>
                <w:szCs w:val="21"/>
                <w:u w:val="single"/>
              </w:rPr>
              <w:t>A栋</w:t>
            </w:r>
            <w:r>
              <w:rPr>
                <w:rFonts w:hint="default" w:ascii="Times New Roman" w:hAnsi="Times New Roman" w:eastAsia="宋体" w:cs="Times New Roman"/>
                <w:b w:val="0"/>
                <w:sz w:val="21"/>
                <w:szCs w:val="21"/>
                <w:u w:val="single"/>
                <w:lang w:eastAsia="zh-CN"/>
              </w:rPr>
              <w:t>危险废物综合处置车间</w:t>
            </w:r>
          </w:p>
        </w:tc>
        <w:tc>
          <w:tcPr>
            <w:tcW w:w="0" w:type="dxa"/>
            <w:tcBorders>
              <w:tl2br w:val="nil"/>
              <w:tr2bl w:val="nil"/>
            </w:tcBorders>
            <w:vAlign w:val="center"/>
          </w:tcPr>
          <w:p w14:paraId="0FDD404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112.627237</w:t>
            </w:r>
          </w:p>
        </w:tc>
        <w:tc>
          <w:tcPr>
            <w:tcW w:w="0" w:type="dxa"/>
            <w:tcBorders>
              <w:tl2br w:val="nil"/>
              <w:tr2bl w:val="nil"/>
            </w:tcBorders>
            <w:vAlign w:val="center"/>
          </w:tcPr>
          <w:p w14:paraId="7E7F811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26.974003</w:t>
            </w:r>
          </w:p>
        </w:tc>
        <w:tc>
          <w:tcPr>
            <w:tcW w:w="0" w:type="dxa"/>
            <w:tcBorders>
              <w:tl2br w:val="nil"/>
              <w:tr2bl w:val="nil"/>
            </w:tcBorders>
            <w:vAlign w:val="center"/>
          </w:tcPr>
          <w:p w14:paraId="0DC0822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72.00</w:t>
            </w:r>
          </w:p>
        </w:tc>
        <w:tc>
          <w:tcPr>
            <w:tcW w:w="0" w:type="dxa"/>
            <w:tcBorders>
              <w:tl2br w:val="nil"/>
              <w:tr2bl w:val="nil"/>
            </w:tcBorders>
            <w:vAlign w:val="center"/>
          </w:tcPr>
          <w:p w14:paraId="564E7DF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121.65</w:t>
            </w:r>
          </w:p>
        </w:tc>
        <w:tc>
          <w:tcPr>
            <w:tcW w:w="0" w:type="dxa"/>
            <w:tcBorders>
              <w:tl2br w:val="nil"/>
              <w:tr2bl w:val="nil"/>
            </w:tcBorders>
            <w:vAlign w:val="center"/>
          </w:tcPr>
          <w:p w14:paraId="29D46D1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71.32</w:t>
            </w:r>
          </w:p>
        </w:tc>
        <w:tc>
          <w:tcPr>
            <w:tcW w:w="0" w:type="dxa"/>
            <w:tcBorders>
              <w:tl2br w:val="nil"/>
              <w:tr2bl w:val="nil"/>
            </w:tcBorders>
            <w:vAlign w:val="center"/>
          </w:tcPr>
          <w:p w14:paraId="67B3FC5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10.00</w:t>
            </w:r>
          </w:p>
        </w:tc>
        <w:tc>
          <w:tcPr>
            <w:tcW w:w="0" w:type="dxa"/>
            <w:tcBorders>
              <w:tl2br w:val="nil"/>
              <w:tr2bl w:val="nil"/>
            </w:tcBorders>
            <w:vAlign w:val="center"/>
          </w:tcPr>
          <w:p w14:paraId="6BA11C8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0.0093</w:t>
            </w:r>
          </w:p>
        </w:tc>
        <w:tc>
          <w:tcPr>
            <w:tcW w:w="0" w:type="dxa"/>
            <w:tcBorders>
              <w:tl2br w:val="nil"/>
              <w:tr2bl w:val="nil"/>
            </w:tcBorders>
            <w:vAlign w:val="center"/>
          </w:tcPr>
          <w:p w14:paraId="538190C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0.0093</w:t>
            </w:r>
          </w:p>
        </w:tc>
        <w:tc>
          <w:tcPr>
            <w:tcW w:w="0" w:type="dxa"/>
            <w:tcBorders>
              <w:tl2br w:val="nil"/>
              <w:tr2bl w:val="nil"/>
            </w:tcBorders>
            <w:vAlign w:val="center"/>
          </w:tcPr>
          <w:p w14:paraId="5F6CB55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7B45835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4E430C6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0.0093</w:t>
            </w:r>
          </w:p>
        </w:tc>
        <w:tc>
          <w:tcPr>
            <w:tcW w:w="0" w:type="dxa"/>
            <w:tcBorders>
              <w:tl2br w:val="nil"/>
              <w:tr2bl w:val="nil"/>
            </w:tcBorders>
            <w:vAlign w:val="center"/>
          </w:tcPr>
          <w:p w14:paraId="5430AFC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lang w:val="en-US" w:eastAsia="zh-CN"/>
              </w:rPr>
            </w:pPr>
            <w:r>
              <w:rPr>
                <w:rFonts w:hint="default" w:ascii="Times New Roman" w:hAnsi="Times New Roman" w:eastAsia="宋体" w:cs="Times New Roman"/>
                <w:b w:val="0"/>
                <w:sz w:val="21"/>
                <w:szCs w:val="21"/>
                <w:u w:val="single"/>
              </w:rPr>
              <w:t>0.00</w:t>
            </w:r>
            <w:r>
              <w:rPr>
                <w:rFonts w:hint="default" w:ascii="Times New Roman" w:hAnsi="Times New Roman" w:eastAsia="宋体" w:cs="Times New Roman"/>
                <w:b w:val="0"/>
                <w:sz w:val="21"/>
                <w:szCs w:val="21"/>
                <w:u w:val="single"/>
                <w:lang w:val="en-US" w:eastAsia="zh-CN"/>
              </w:rPr>
              <w:t>22</w:t>
            </w:r>
          </w:p>
        </w:tc>
        <w:tc>
          <w:tcPr>
            <w:tcW w:w="0" w:type="dxa"/>
            <w:tcBorders>
              <w:tl2br w:val="nil"/>
              <w:tr2bl w:val="nil"/>
            </w:tcBorders>
            <w:vAlign w:val="center"/>
          </w:tcPr>
          <w:p w14:paraId="0B267B3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0.2120</w:t>
            </w:r>
          </w:p>
        </w:tc>
      </w:tr>
      <w:tr w14:paraId="1B436E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tcBorders>
              <w:tl2br w:val="nil"/>
              <w:tr2bl w:val="nil"/>
            </w:tcBorders>
            <w:vAlign w:val="center"/>
          </w:tcPr>
          <w:p w14:paraId="5E225E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污水处理站</w:t>
            </w:r>
          </w:p>
        </w:tc>
        <w:tc>
          <w:tcPr>
            <w:tcW w:w="0" w:type="dxa"/>
            <w:tcBorders>
              <w:tl2br w:val="nil"/>
              <w:tr2bl w:val="nil"/>
            </w:tcBorders>
            <w:vAlign w:val="center"/>
          </w:tcPr>
          <w:p w14:paraId="1F318E2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112.628258</w:t>
            </w:r>
          </w:p>
        </w:tc>
        <w:tc>
          <w:tcPr>
            <w:tcW w:w="0" w:type="dxa"/>
            <w:tcBorders>
              <w:tl2br w:val="nil"/>
              <w:tr2bl w:val="nil"/>
            </w:tcBorders>
            <w:vAlign w:val="center"/>
          </w:tcPr>
          <w:p w14:paraId="49B6FC1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26.97289</w:t>
            </w:r>
          </w:p>
        </w:tc>
        <w:tc>
          <w:tcPr>
            <w:tcW w:w="0" w:type="dxa"/>
            <w:tcBorders>
              <w:tl2br w:val="nil"/>
              <w:tr2bl w:val="nil"/>
            </w:tcBorders>
            <w:vAlign w:val="center"/>
          </w:tcPr>
          <w:p w14:paraId="35CCF28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65.00</w:t>
            </w:r>
          </w:p>
        </w:tc>
        <w:tc>
          <w:tcPr>
            <w:tcW w:w="0" w:type="dxa"/>
            <w:tcBorders>
              <w:tl2br w:val="nil"/>
              <w:tr2bl w:val="nil"/>
            </w:tcBorders>
            <w:vAlign w:val="center"/>
          </w:tcPr>
          <w:p w14:paraId="60E7E36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10.64</w:t>
            </w:r>
          </w:p>
        </w:tc>
        <w:tc>
          <w:tcPr>
            <w:tcW w:w="0" w:type="dxa"/>
            <w:tcBorders>
              <w:tl2br w:val="nil"/>
              <w:tr2bl w:val="nil"/>
            </w:tcBorders>
            <w:vAlign w:val="center"/>
          </w:tcPr>
          <w:p w14:paraId="4203814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10.08</w:t>
            </w:r>
          </w:p>
        </w:tc>
        <w:tc>
          <w:tcPr>
            <w:tcW w:w="0" w:type="dxa"/>
            <w:tcBorders>
              <w:tl2br w:val="nil"/>
              <w:tr2bl w:val="nil"/>
            </w:tcBorders>
            <w:vAlign w:val="center"/>
          </w:tcPr>
          <w:p w14:paraId="3D747AA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3.00</w:t>
            </w:r>
          </w:p>
        </w:tc>
        <w:tc>
          <w:tcPr>
            <w:tcW w:w="0" w:type="dxa"/>
            <w:tcBorders>
              <w:tl2br w:val="nil"/>
              <w:tr2bl w:val="nil"/>
            </w:tcBorders>
            <w:vAlign w:val="center"/>
          </w:tcPr>
          <w:p w14:paraId="6B4BCE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7016423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722DE94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0.0000</w:t>
            </w:r>
          </w:p>
        </w:tc>
        <w:tc>
          <w:tcPr>
            <w:tcW w:w="0" w:type="dxa"/>
            <w:tcBorders>
              <w:tl2br w:val="nil"/>
              <w:tr2bl w:val="nil"/>
            </w:tcBorders>
            <w:vAlign w:val="center"/>
          </w:tcPr>
          <w:p w14:paraId="2E02131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0.0007</w:t>
            </w:r>
          </w:p>
        </w:tc>
        <w:tc>
          <w:tcPr>
            <w:tcW w:w="0" w:type="dxa"/>
            <w:tcBorders>
              <w:tl2br w:val="nil"/>
              <w:tr2bl w:val="nil"/>
            </w:tcBorders>
            <w:vAlign w:val="center"/>
          </w:tcPr>
          <w:p w14:paraId="7F54048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526AC9C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c>
          <w:tcPr>
            <w:tcW w:w="0" w:type="dxa"/>
            <w:tcBorders>
              <w:tl2br w:val="nil"/>
              <w:tr2bl w:val="nil"/>
            </w:tcBorders>
            <w:vAlign w:val="center"/>
          </w:tcPr>
          <w:p w14:paraId="745C120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u w:val="single"/>
              </w:rPr>
            </w:pPr>
            <w:r>
              <w:rPr>
                <w:rFonts w:hint="default" w:ascii="Times New Roman" w:hAnsi="Times New Roman" w:eastAsia="宋体" w:cs="Times New Roman"/>
                <w:b w:val="0"/>
                <w:sz w:val="21"/>
                <w:szCs w:val="21"/>
                <w:u w:val="single"/>
              </w:rPr>
              <w:t>-</w:t>
            </w:r>
          </w:p>
        </w:tc>
      </w:tr>
    </w:tbl>
    <w:p w14:paraId="5AA3CB81">
      <w:pPr>
        <w:pStyle w:val="4"/>
        <w:spacing w:before="0" w:after="0" w:line="360" w:lineRule="auto"/>
        <w:jc w:val="left"/>
        <w:rPr>
          <w:rFonts w:hint="default" w:ascii="Times New Roman" w:hAnsi="Times New Roman" w:eastAsia="宋体" w:cs="Times New Roman"/>
          <w:sz w:val="24"/>
          <w:u w:val="single"/>
        </w:rPr>
      </w:pPr>
      <w:bookmarkStart w:id="323" w:name="_Toc96548602"/>
      <w:r>
        <w:rPr>
          <w:rFonts w:hint="default" w:ascii="Times New Roman" w:hAnsi="Times New Roman" w:eastAsia="宋体" w:cs="Times New Roman"/>
          <w:sz w:val="24"/>
          <w:u w:val="single"/>
        </w:rPr>
        <w:t>7.2.2估算模式参数</w:t>
      </w:r>
    </w:p>
    <w:bookmarkEnd w:id="323"/>
    <w:p w14:paraId="00666B0E">
      <w:pPr>
        <w:ind w:right="120" w:firstLine="369" w:firstLineChars="176"/>
        <w:jc w:val="left"/>
        <w:rPr>
          <w:rFonts w:hint="default" w:ascii="Times New Roman" w:hAnsi="Times New Roman" w:eastAsia="宋体" w:cs="Times New Roman"/>
          <w:color w:val="000000"/>
          <w:u w:val="single"/>
        </w:rPr>
      </w:pPr>
      <w:r>
        <w:rPr>
          <w:rFonts w:hint="default" w:ascii="Times New Roman" w:hAnsi="Times New Roman" w:eastAsia="宋体" w:cs="Times New Roman"/>
          <w:color w:val="000000"/>
          <w:u w:val="single"/>
        </w:rPr>
        <w:t>估算模式所用参数见表。</w:t>
      </w:r>
    </w:p>
    <w:p w14:paraId="6C4F1B46">
      <w:pPr>
        <w:pStyle w:val="30"/>
        <w:tabs>
          <w:tab w:val="left" w:pos="1080"/>
        </w:tabs>
        <w:spacing w:after="0"/>
        <w:ind w:firstLine="0" w:firstLineChars="0"/>
        <w:rPr>
          <w:rFonts w:hint="default" w:ascii="Times New Roman" w:hAnsi="Times New Roman" w:eastAsia="宋体" w:cs="Times New Roman"/>
          <w:b/>
          <w:bCs/>
          <w:color w:val="000000"/>
          <w:szCs w:val="21"/>
          <w:u w:val="single"/>
        </w:rPr>
      </w:pPr>
      <w:r>
        <w:rPr>
          <w:rFonts w:hint="default" w:ascii="Times New Roman" w:hAnsi="Times New Roman" w:eastAsia="宋体" w:cs="Times New Roman"/>
          <w:b/>
          <w:bCs/>
          <w:color w:val="000000"/>
          <w:szCs w:val="21"/>
          <w:u w:val="single"/>
        </w:rPr>
        <w:t>表7.2-4  估算模型参数表</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04"/>
        <w:gridCol w:w="2524"/>
        <w:gridCol w:w="4590"/>
      </w:tblGrid>
      <w:tr w14:paraId="45F119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83" w:type="pct"/>
            <w:gridSpan w:val="2"/>
            <w:vAlign w:val="center"/>
          </w:tcPr>
          <w:p w14:paraId="0D11D6E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参数</w:t>
            </w:r>
          </w:p>
        </w:tc>
        <w:tc>
          <w:tcPr>
            <w:tcW w:w="2517" w:type="pct"/>
            <w:vAlign w:val="center"/>
          </w:tcPr>
          <w:p w14:paraId="5D3AD31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取值</w:t>
            </w:r>
          </w:p>
        </w:tc>
      </w:tr>
      <w:tr w14:paraId="006224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5" w:hRule="atLeast"/>
        </w:trPr>
        <w:tc>
          <w:tcPr>
            <w:tcW w:w="1099" w:type="pct"/>
            <w:vMerge w:val="restart"/>
            <w:vAlign w:val="center"/>
          </w:tcPr>
          <w:p w14:paraId="3FB7C9C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城市/农村选项</w:t>
            </w:r>
          </w:p>
        </w:tc>
        <w:tc>
          <w:tcPr>
            <w:tcW w:w="1383" w:type="pct"/>
            <w:vAlign w:val="center"/>
          </w:tcPr>
          <w:p w14:paraId="66A582D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城市/农村</w:t>
            </w:r>
          </w:p>
        </w:tc>
        <w:tc>
          <w:tcPr>
            <w:tcW w:w="2517" w:type="pct"/>
            <w:vAlign w:val="center"/>
          </w:tcPr>
          <w:p w14:paraId="4FD3E7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城市</w:t>
            </w:r>
          </w:p>
        </w:tc>
      </w:tr>
      <w:tr w14:paraId="68389C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9" w:type="pct"/>
            <w:vMerge w:val="continue"/>
            <w:vAlign w:val="center"/>
          </w:tcPr>
          <w:p w14:paraId="3786E50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p>
        </w:tc>
        <w:tc>
          <w:tcPr>
            <w:tcW w:w="1383" w:type="pct"/>
            <w:vAlign w:val="center"/>
          </w:tcPr>
          <w:p w14:paraId="63F99B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人口数(城市人口数)</w:t>
            </w:r>
          </w:p>
        </w:tc>
        <w:tc>
          <w:tcPr>
            <w:tcW w:w="2517" w:type="pct"/>
            <w:vAlign w:val="center"/>
          </w:tcPr>
          <w:p w14:paraId="16FA34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6570000</w:t>
            </w:r>
          </w:p>
        </w:tc>
      </w:tr>
      <w:tr w14:paraId="03DB3D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83" w:type="pct"/>
            <w:gridSpan w:val="2"/>
            <w:vAlign w:val="center"/>
          </w:tcPr>
          <w:p w14:paraId="320729B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最高环境温度</w:t>
            </w:r>
          </w:p>
        </w:tc>
        <w:tc>
          <w:tcPr>
            <w:tcW w:w="2517" w:type="pct"/>
            <w:vAlign w:val="center"/>
          </w:tcPr>
          <w:p w14:paraId="4745489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41.3</w:t>
            </w:r>
          </w:p>
        </w:tc>
      </w:tr>
      <w:tr w14:paraId="44EB06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83" w:type="pct"/>
            <w:gridSpan w:val="2"/>
            <w:vAlign w:val="center"/>
          </w:tcPr>
          <w:p w14:paraId="7248670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最低环境温度</w:t>
            </w:r>
          </w:p>
        </w:tc>
        <w:tc>
          <w:tcPr>
            <w:tcW w:w="2517" w:type="pct"/>
            <w:vAlign w:val="center"/>
          </w:tcPr>
          <w:p w14:paraId="18B9925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-7.9</w:t>
            </w:r>
          </w:p>
        </w:tc>
      </w:tr>
      <w:tr w14:paraId="16658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83" w:type="pct"/>
            <w:gridSpan w:val="2"/>
            <w:vAlign w:val="center"/>
          </w:tcPr>
          <w:p w14:paraId="2F18F2E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土地利用类型</w:t>
            </w:r>
          </w:p>
        </w:tc>
        <w:tc>
          <w:tcPr>
            <w:tcW w:w="2517" w:type="pct"/>
            <w:vAlign w:val="center"/>
          </w:tcPr>
          <w:p w14:paraId="7CDE93E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城市</w:t>
            </w:r>
          </w:p>
        </w:tc>
      </w:tr>
      <w:tr w14:paraId="21AF0DC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483" w:type="pct"/>
            <w:gridSpan w:val="2"/>
            <w:vAlign w:val="center"/>
          </w:tcPr>
          <w:p w14:paraId="6EBB6EF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区域湿度条件</w:t>
            </w:r>
          </w:p>
        </w:tc>
        <w:tc>
          <w:tcPr>
            <w:tcW w:w="2517" w:type="pct"/>
            <w:vAlign w:val="center"/>
          </w:tcPr>
          <w:p w14:paraId="7858FE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潮湿</w:t>
            </w:r>
          </w:p>
        </w:tc>
      </w:tr>
      <w:tr w14:paraId="0966C9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9" w:type="pct"/>
            <w:vMerge w:val="restart"/>
            <w:vAlign w:val="center"/>
          </w:tcPr>
          <w:p w14:paraId="13FB703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是否考虑地形</w:t>
            </w:r>
          </w:p>
        </w:tc>
        <w:tc>
          <w:tcPr>
            <w:tcW w:w="1383" w:type="pct"/>
            <w:vAlign w:val="center"/>
          </w:tcPr>
          <w:p w14:paraId="397104C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考虑地形</w:t>
            </w:r>
          </w:p>
        </w:tc>
        <w:tc>
          <w:tcPr>
            <w:tcW w:w="2517" w:type="pct"/>
            <w:vAlign w:val="center"/>
          </w:tcPr>
          <w:p w14:paraId="32D723F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是</w:t>
            </w:r>
          </w:p>
        </w:tc>
      </w:tr>
      <w:tr w14:paraId="531C84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9" w:type="pct"/>
            <w:vMerge w:val="continue"/>
            <w:vAlign w:val="center"/>
          </w:tcPr>
          <w:p w14:paraId="426FA37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p>
        </w:tc>
        <w:tc>
          <w:tcPr>
            <w:tcW w:w="1383" w:type="pct"/>
            <w:vAlign w:val="center"/>
          </w:tcPr>
          <w:p w14:paraId="3F5E28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地形数据分辨率(m)</w:t>
            </w:r>
          </w:p>
        </w:tc>
        <w:tc>
          <w:tcPr>
            <w:tcW w:w="2517" w:type="pct"/>
            <w:vAlign w:val="center"/>
          </w:tcPr>
          <w:p w14:paraId="0D41FE6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90</w:t>
            </w:r>
          </w:p>
        </w:tc>
      </w:tr>
      <w:tr w14:paraId="161CE3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9" w:type="pct"/>
            <w:vMerge w:val="restart"/>
            <w:vAlign w:val="center"/>
          </w:tcPr>
          <w:p w14:paraId="61E52E1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是否考虑岸线熏烟</w:t>
            </w:r>
          </w:p>
        </w:tc>
        <w:tc>
          <w:tcPr>
            <w:tcW w:w="1383" w:type="pct"/>
            <w:vAlign w:val="center"/>
          </w:tcPr>
          <w:p w14:paraId="76AC905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考虑岸线熏烟</w:t>
            </w:r>
          </w:p>
        </w:tc>
        <w:tc>
          <w:tcPr>
            <w:tcW w:w="2517" w:type="pct"/>
            <w:vAlign w:val="center"/>
          </w:tcPr>
          <w:p w14:paraId="354FAFC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否</w:t>
            </w:r>
          </w:p>
        </w:tc>
      </w:tr>
      <w:tr w14:paraId="70BBE3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9" w:type="pct"/>
            <w:vMerge w:val="continue"/>
            <w:vAlign w:val="center"/>
          </w:tcPr>
          <w:p w14:paraId="6AADCC2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p>
        </w:tc>
        <w:tc>
          <w:tcPr>
            <w:tcW w:w="1383" w:type="pct"/>
            <w:vAlign w:val="center"/>
          </w:tcPr>
          <w:p w14:paraId="258418A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岸线距离/m</w:t>
            </w:r>
          </w:p>
        </w:tc>
        <w:tc>
          <w:tcPr>
            <w:tcW w:w="2517" w:type="pct"/>
            <w:vAlign w:val="center"/>
          </w:tcPr>
          <w:p w14:paraId="2542A70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r w14:paraId="700F7F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99" w:type="pct"/>
            <w:vMerge w:val="continue"/>
            <w:vAlign w:val="center"/>
          </w:tcPr>
          <w:p w14:paraId="52F04A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p>
        </w:tc>
        <w:tc>
          <w:tcPr>
            <w:tcW w:w="1383" w:type="pct"/>
            <w:vAlign w:val="center"/>
          </w:tcPr>
          <w:p w14:paraId="60CDFD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岸线方向/°</w:t>
            </w:r>
          </w:p>
        </w:tc>
        <w:tc>
          <w:tcPr>
            <w:tcW w:w="2517" w:type="pct"/>
            <w:vAlign w:val="center"/>
          </w:tcPr>
          <w:p w14:paraId="2ED5755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w:t>
            </w:r>
          </w:p>
        </w:tc>
      </w:tr>
    </w:tbl>
    <w:p w14:paraId="15820E8C">
      <w:pPr>
        <w:pStyle w:val="4"/>
        <w:pageBreakBefore w:val="0"/>
        <w:widowControl w:val="0"/>
        <w:kinsoku/>
        <w:wordWrap/>
        <w:overflowPunct/>
        <w:topLinePunct w:val="0"/>
        <w:autoSpaceDE/>
        <w:autoSpaceDN/>
        <w:bidi w:val="0"/>
        <w:adjustRightInd/>
        <w:snapToGrid/>
        <w:spacing w:before="0" w:after="0" w:line="360" w:lineRule="auto"/>
        <w:jc w:val="left"/>
        <w:textAlignment w:val="auto"/>
        <w:rPr>
          <w:rFonts w:hint="default" w:ascii="Times New Roman" w:hAnsi="Times New Roman" w:eastAsia="宋体" w:cs="Times New Roman"/>
          <w:sz w:val="24"/>
          <w:szCs w:val="24"/>
          <w:u w:val="single"/>
        </w:rPr>
      </w:pPr>
      <w:bookmarkStart w:id="324" w:name="_Toc96548603"/>
      <w:r>
        <w:rPr>
          <w:rFonts w:hint="default" w:ascii="Times New Roman" w:hAnsi="Times New Roman" w:eastAsia="宋体" w:cs="Times New Roman"/>
          <w:sz w:val="24"/>
          <w:szCs w:val="24"/>
          <w:u w:val="single"/>
        </w:rPr>
        <w:t>7.2.3评价工作等级确定</w:t>
      </w:r>
    </w:p>
    <w:bookmarkEnd w:id="324"/>
    <w:p w14:paraId="12603954">
      <w:pPr>
        <w:pageBreakBefore w:val="0"/>
        <w:widowControl w:val="0"/>
        <w:kinsoku/>
        <w:wordWrap/>
        <w:overflowPunct/>
        <w:topLinePunct w:val="0"/>
        <w:autoSpaceDE/>
        <w:autoSpaceDN/>
        <w:bidi w:val="0"/>
        <w:adjustRightInd/>
        <w:snapToGrid/>
        <w:spacing w:line="360" w:lineRule="auto"/>
        <w:ind w:right="120" w:firstLine="422" w:firstLineChars="176"/>
        <w:jc w:val="left"/>
        <w:textAlignment w:val="auto"/>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本项目所有污染源的正常排放的污染物的P</w:t>
      </w:r>
      <w:r>
        <w:rPr>
          <w:rFonts w:hint="default" w:ascii="Times New Roman" w:hAnsi="Times New Roman" w:eastAsia="宋体" w:cs="Times New Roman"/>
          <w:color w:val="000000"/>
          <w:sz w:val="24"/>
          <w:szCs w:val="24"/>
          <w:u w:val="single"/>
          <w:vertAlign w:val="subscript"/>
        </w:rPr>
        <w:t>max</w:t>
      </w:r>
      <w:r>
        <w:rPr>
          <w:rFonts w:hint="default" w:ascii="Times New Roman" w:hAnsi="Times New Roman" w:eastAsia="宋体" w:cs="Times New Roman"/>
          <w:color w:val="000000"/>
          <w:sz w:val="24"/>
          <w:szCs w:val="24"/>
          <w:u w:val="single"/>
        </w:rPr>
        <w:t>和D</w:t>
      </w:r>
      <w:r>
        <w:rPr>
          <w:rFonts w:hint="default" w:ascii="Times New Roman" w:hAnsi="Times New Roman" w:eastAsia="宋体" w:cs="Times New Roman"/>
          <w:color w:val="000000"/>
          <w:sz w:val="24"/>
          <w:szCs w:val="24"/>
          <w:u w:val="single"/>
          <w:vertAlign w:val="subscript"/>
        </w:rPr>
        <w:t>10%</w:t>
      </w:r>
      <w:r>
        <w:rPr>
          <w:rFonts w:hint="default" w:ascii="Times New Roman" w:hAnsi="Times New Roman" w:eastAsia="宋体" w:cs="Times New Roman"/>
          <w:color w:val="000000"/>
          <w:sz w:val="24"/>
          <w:szCs w:val="24"/>
          <w:u w:val="single"/>
        </w:rPr>
        <w:t>预测结果如下：</w:t>
      </w:r>
    </w:p>
    <w:p w14:paraId="7FE0C133">
      <w:pPr>
        <w:pStyle w:val="30"/>
        <w:pageBreakBefore w:val="0"/>
        <w:widowControl w:val="0"/>
        <w:tabs>
          <w:tab w:val="left" w:pos="1080"/>
        </w:tabs>
        <w:kinsoku/>
        <w:wordWrap/>
        <w:overflowPunct/>
        <w:topLinePunct w:val="0"/>
        <w:autoSpaceDE/>
        <w:autoSpaceDN/>
        <w:bidi w:val="0"/>
        <w:adjustRightInd/>
        <w:snapToGrid/>
        <w:spacing w:after="0" w:line="360" w:lineRule="auto"/>
        <w:ind w:firstLine="0" w:firstLineChars="0"/>
        <w:textAlignment w:val="auto"/>
        <w:rPr>
          <w:rFonts w:hint="default" w:ascii="Times New Roman" w:hAnsi="Times New Roman" w:eastAsia="宋体" w:cs="Times New Roman"/>
          <w:b/>
          <w:bCs/>
          <w:color w:val="000000"/>
          <w:szCs w:val="21"/>
          <w:u w:val="single"/>
        </w:rPr>
      </w:pPr>
    </w:p>
    <w:p w14:paraId="207FB689">
      <w:pPr>
        <w:pStyle w:val="30"/>
        <w:pageBreakBefore w:val="0"/>
        <w:widowControl w:val="0"/>
        <w:tabs>
          <w:tab w:val="left" w:pos="1080"/>
        </w:tabs>
        <w:kinsoku/>
        <w:wordWrap/>
        <w:overflowPunct/>
        <w:topLinePunct w:val="0"/>
        <w:autoSpaceDE/>
        <w:autoSpaceDN/>
        <w:bidi w:val="0"/>
        <w:adjustRightInd/>
        <w:snapToGrid/>
        <w:spacing w:after="0" w:line="360" w:lineRule="auto"/>
        <w:ind w:firstLine="0" w:firstLineChars="0"/>
        <w:textAlignment w:val="auto"/>
        <w:rPr>
          <w:rFonts w:hint="default" w:ascii="Times New Roman" w:hAnsi="Times New Roman" w:eastAsia="宋体" w:cs="Times New Roman"/>
          <w:b/>
          <w:bCs/>
          <w:color w:val="000000"/>
          <w:szCs w:val="21"/>
          <w:u w:val="single"/>
        </w:rPr>
      </w:pPr>
      <w:r>
        <w:rPr>
          <w:rFonts w:hint="default" w:ascii="Times New Roman" w:hAnsi="Times New Roman" w:eastAsia="宋体" w:cs="Times New Roman"/>
          <w:b/>
          <w:bCs/>
          <w:color w:val="000000"/>
          <w:szCs w:val="21"/>
          <w:u w:val="single"/>
        </w:rPr>
        <w:t>表7.2-5  Pmax和D</w:t>
      </w:r>
      <w:r>
        <w:rPr>
          <w:rFonts w:hint="default" w:ascii="Times New Roman" w:hAnsi="Times New Roman" w:eastAsia="宋体" w:cs="Times New Roman"/>
          <w:b/>
          <w:bCs/>
          <w:color w:val="000000"/>
          <w:szCs w:val="21"/>
          <w:u w:val="single"/>
          <w:vertAlign w:val="subscript"/>
        </w:rPr>
        <w:t>10%</w:t>
      </w:r>
      <w:r>
        <w:rPr>
          <w:rFonts w:hint="default" w:ascii="Times New Roman" w:hAnsi="Times New Roman" w:eastAsia="宋体" w:cs="Times New Roman"/>
          <w:b/>
          <w:bCs/>
          <w:color w:val="000000"/>
          <w:szCs w:val="21"/>
          <w:u w:val="single"/>
        </w:rPr>
        <w:t>预测和计算结果一览表</w:t>
      </w:r>
    </w:p>
    <w:tbl>
      <w:tblPr>
        <w:tblStyle w:val="32"/>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1418"/>
        <w:gridCol w:w="1367"/>
        <w:gridCol w:w="1952"/>
        <w:gridCol w:w="1436"/>
        <w:gridCol w:w="1188"/>
      </w:tblGrid>
      <w:tr w14:paraId="0D4772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tcBorders>
              <w:tl2br w:val="nil"/>
              <w:tr2bl w:val="nil"/>
            </w:tcBorders>
            <w:vAlign w:val="center"/>
          </w:tcPr>
          <w:p w14:paraId="4414048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污染源名称</w:t>
            </w:r>
          </w:p>
        </w:tc>
        <w:tc>
          <w:tcPr>
            <w:tcW w:w="780" w:type="pct"/>
            <w:tcBorders>
              <w:tl2br w:val="nil"/>
              <w:tr2bl w:val="nil"/>
            </w:tcBorders>
            <w:vAlign w:val="center"/>
          </w:tcPr>
          <w:p w14:paraId="72EAE7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评价因子</w:t>
            </w:r>
          </w:p>
        </w:tc>
        <w:tc>
          <w:tcPr>
            <w:tcW w:w="752" w:type="pct"/>
            <w:tcBorders>
              <w:tl2br w:val="nil"/>
              <w:tr2bl w:val="nil"/>
            </w:tcBorders>
            <w:vAlign w:val="center"/>
          </w:tcPr>
          <w:p w14:paraId="119FBB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评价标准(μg/m³)</w:t>
            </w:r>
          </w:p>
        </w:tc>
        <w:tc>
          <w:tcPr>
            <w:tcW w:w="1072" w:type="pct"/>
            <w:tcBorders>
              <w:tl2br w:val="nil"/>
              <w:tr2bl w:val="nil"/>
            </w:tcBorders>
            <w:vAlign w:val="center"/>
          </w:tcPr>
          <w:p w14:paraId="46E5E8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Cmax(μg/m³)</w:t>
            </w:r>
          </w:p>
        </w:tc>
        <w:tc>
          <w:tcPr>
            <w:tcW w:w="789" w:type="pct"/>
            <w:tcBorders>
              <w:tl2br w:val="nil"/>
              <w:tr2bl w:val="nil"/>
            </w:tcBorders>
            <w:vAlign w:val="center"/>
          </w:tcPr>
          <w:p w14:paraId="237DE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Pmax(%)</w:t>
            </w:r>
          </w:p>
        </w:tc>
        <w:tc>
          <w:tcPr>
            <w:tcW w:w="641" w:type="pct"/>
            <w:tcBorders>
              <w:tl2br w:val="nil"/>
              <w:tr2bl w:val="nil"/>
            </w:tcBorders>
            <w:vAlign w:val="center"/>
          </w:tcPr>
          <w:p w14:paraId="19F796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u w:val="single"/>
              </w:rPr>
            </w:pPr>
            <w:r>
              <w:rPr>
                <w:rFonts w:hint="default" w:ascii="Times New Roman" w:hAnsi="Times New Roman" w:eastAsia="宋体" w:cs="Times New Roman"/>
                <w:b/>
                <w:bCs/>
                <w:sz w:val="23"/>
                <w:szCs w:val="23"/>
                <w:u w:val="single"/>
              </w:rPr>
              <w:t>D10%(m)</w:t>
            </w:r>
          </w:p>
        </w:tc>
      </w:tr>
      <w:tr w14:paraId="41E903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restart"/>
            <w:tcBorders>
              <w:tl2br w:val="nil"/>
              <w:tr2bl w:val="nil"/>
            </w:tcBorders>
            <w:vAlign w:val="center"/>
          </w:tcPr>
          <w:p w14:paraId="6B20215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污水处理站</w:t>
            </w:r>
          </w:p>
        </w:tc>
        <w:tc>
          <w:tcPr>
            <w:tcW w:w="780" w:type="pct"/>
            <w:tcBorders>
              <w:tl2br w:val="nil"/>
              <w:tr2bl w:val="nil"/>
            </w:tcBorders>
            <w:vAlign w:val="center"/>
          </w:tcPr>
          <w:p w14:paraId="2F9F86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NH</w:t>
            </w:r>
            <w:r>
              <w:rPr>
                <w:rFonts w:hint="default" w:ascii="Times New Roman" w:hAnsi="Times New Roman" w:eastAsia="宋体" w:cs="Times New Roman"/>
                <w:b w:val="0"/>
                <w:sz w:val="23"/>
                <w:szCs w:val="23"/>
                <w:u w:val="single"/>
                <w:vertAlign w:val="subscript"/>
              </w:rPr>
              <w:t>3</w:t>
            </w:r>
          </w:p>
        </w:tc>
        <w:tc>
          <w:tcPr>
            <w:tcW w:w="752" w:type="pct"/>
            <w:tcBorders>
              <w:tl2br w:val="nil"/>
              <w:tr2bl w:val="nil"/>
            </w:tcBorders>
            <w:vAlign w:val="center"/>
          </w:tcPr>
          <w:p w14:paraId="659665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72" w:type="pct"/>
            <w:tcBorders>
              <w:tl2br w:val="nil"/>
              <w:tr2bl w:val="nil"/>
            </w:tcBorders>
            <w:vAlign w:val="center"/>
          </w:tcPr>
          <w:p w14:paraId="2D61D4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8.6543</w:t>
            </w:r>
          </w:p>
        </w:tc>
        <w:tc>
          <w:tcPr>
            <w:tcW w:w="789" w:type="pct"/>
            <w:tcBorders>
              <w:tl2br w:val="nil"/>
              <w:tr2bl w:val="nil"/>
            </w:tcBorders>
            <w:vAlign w:val="center"/>
          </w:tcPr>
          <w:p w14:paraId="5240B6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4.3271</w:t>
            </w:r>
          </w:p>
        </w:tc>
        <w:tc>
          <w:tcPr>
            <w:tcW w:w="641" w:type="pct"/>
            <w:tcBorders>
              <w:tl2br w:val="nil"/>
              <w:tr2bl w:val="nil"/>
            </w:tcBorders>
            <w:vAlign w:val="center"/>
          </w:tcPr>
          <w:p w14:paraId="3FB14B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4AE63A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4A71FC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80" w:type="pct"/>
            <w:tcBorders>
              <w:tl2br w:val="nil"/>
              <w:tr2bl w:val="nil"/>
            </w:tcBorders>
            <w:vAlign w:val="center"/>
          </w:tcPr>
          <w:p w14:paraId="57CBB50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H</w:t>
            </w:r>
            <w:r>
              <w:rPr>
                <w:rFonts w:hint="default" w:ascii="Times New Roman" w:hAnsi="Times New Roman" w:eastAsia="宋体" w:cs="Times New Roman"/>
                <w:b w:val="0"/>
                <w:sz w:val="23"/>
                <w:szCs w:val="23"/>
                <w:u w:val="single"/>
                <w:vertAlign w:val="subscript"/>
              </w:rPr>
              <w:t>2</w:t>
            </w:r>
            <w:r>
              <w:rPr>
                <w:rFonts w:hint="default" w:ascii="Times New Roman" w:hAnsi="Times New Roman" w:eastAsia="宋体" w:cs="Times New Roman"/>
                <w:b w:val="0"/>
                <w:sz w:val="23"/>
                <w:szCs w:val="23"/>
                <w:u w:val="single"/>
              </w:rPr>
              <w:t>S</w:t>
            </w:r>
          </w:p>
        </w:tc>
        <w:tc>
          <w:tcPr>
            <w:tcW w:w="752" w:type="pct"/>
            <w:tcBorders>
              <w:tl2br w:val="nil"/>
              <w:tr2bl w:val="nil"/>
            </w:tcBorders>
            <w:vAlign w:val="center"/>
          </w:tcPr>
          <w:p w14:paraId="510798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10.0</w:t>
            </w:r>
          </w:p>
        </w:tc>
        <w:tc>
          <w:tcPr>
            <w:tcW w:w="1072" w:type="pct"/>
            <w:tcBorders>
              <w:tl2br w:val="nil"/>
              <w:tr2bl w:val="nil"/>
            </w:tcBorders>
            <w:vAlign w:val="center"/>
          </w:tcPr>
          <w:p w14:paraId="7987A3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0.2623</w:t>
            </w:r>
          </w:p>
        </w:tc>
        <w:tc>
          <w:tcPr>
            <w:tcW w:w="789" w:type="pct"/>
            <w:tcBorders>
              <w:tl2br w:val="nil"/>
              <w:tr2bl w:val="nil"/>
            </w:tcBorders>
            <w:vAlign w:val="center"/>
          </w:tcPr>
          <w:p w14:paraId="0ED159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2.6225</w:t>
            </w:r>
          </w:p>
        </w:tc>
        <w:tc>
          <w:tcPr>
            <w:tcW w:w="641" w:type="pct"/>
            <w:tcBorders>
              <w:tl2br w:val="nil"/>
              <w:tr2bl w:val="nil"/>
            </w:tcBorders>
            <w:vAlign w:val="center"/>
          </w:tcPr>
          <w:p w14:paraId="3B8FF2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23F9F8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restart"/>
            <w:tcBorders>
              <w:tl2br w:val="nil"/>
              <w:tr2bl w:val="nil"/>
            </w:tcBorders>
            <w:vAlign w:val="center"/>
          </w:tcPr>
          <w:p w14:paraId="20C75E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lang w:eastAsia="zh-CN"/>
              </w:rPr>
            </w:pPr>
            <w:r>
              <w:rPr>
                <w:rFonts w:hint="default" w:ascii="Times New Roman" w:hAnsi="Times New Roman" w:eastAsia="宋体" w:cs="Times New Roman"/>
                <w:b w:val="0"/>
                <w:sz w:val="23"/>
                <w:szCs w:val="23"/>
                <w:u w:val="single"/>
              </w:rPr>
              <w:t>A栋</w:t>
            </w:r>
            <w:r>
              <w:rPr>
                <w:rFonts w:hint="default" w:ascii="Times New Roman" w:hAnsi="Times New Roman" w:eastAsia="宋体" w:cs="Times New Roman"/>
                <w:b w:val="0"/>
                <w:sz w:val="23"/>
                <w:szCs w:val="23"/>
                <w:u w:val="single"/>
                <w:lang w:eastAsia="zh-CN"/>
              </w:rPr>
              <w:t>危险废物综合处置车间</w:t>
            </w:r>
          </w:p>
        </w:tc>
        <w:tc>
          <w:tcPr>
            <w:tcW w:w="780" w:type="pct"/>
            <w:tcBorders>
              <w:tl2br w:val="nil"/>
              <w:tr2bl w:val="nil"/>
            </w:tcBorders>
            <w:vAlign w:val="center"/>
          </w:tcPr>
          <w:p w14:paraId="7DAADD9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TVOC</w:t>
            </w:r>
          </w:p>
        </w:tc>
        <w:tc>
          <w:tcPr>
            <w:tcW w:w="752" w:type="pct"/>
            <w:tcBorders>
              <w:tl2br w:val="nil"/>
              <w:tr2bl w:val="nil"/>
            </w:tcBorders>
            <w:vAlign w:val="center"/>
          </w:tcPr>
          <w:p w14:paraId="623B0B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1200.0</w:t>
            </w:r>
          </w:p>
        </w:tc>
        <w:tc>
          <w:tcPr>
            <w:tcW w:w="1072" w:type="pct"/>
            <w:tcBorders>
              <w:tl2br w:val="nil"/>
              <w:tr2bl w:val="nil"/>
            </w:tcBorders>
            <w:vAlign w:val="center"/>
          </w:tcPr>
          <w:p w14:paraId="036300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90.7270</w:t>
            </w:r>
          </w:p>
        </w:tc>
        <w:tc>
          <w:tcPr>
            <w:tcW w:w="789" w:type="pct"/>
            <w:tcBorders>
              <w:tl2br w:val="nil"/>
              <w:tr2bl w:val="nil"/>
            </w:tcBorders>
            <w:vAlign w:val="center"/>
          </w:tcPr>
          <w:p w14:paraId="1672F25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7.5606</w:t>
            </w:r>
          </w:p>
        </w:tc>
        <w:tc>
          <w:tcPr>
            <w:tcW w:w="641" w:type="pct"/>
            <w:tcBorders>
              <w:tl2br w:val="nil"/>
              <w:tr2bl w:val="nil"/>
            </w:tcBorders>
            <w:vAlign w:val="center"/>
          </w:tcPr>
          <w:p w14:paraId="4967BB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21084C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2E46AE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80" w:type="pct"/>
            <w:tcBorders>
              <w:tl2br w:val="nil"/>
              <w:tr2bl w:val="nil"/>
            </w:tcBorders>
            <w:vAlign w:val="center"/>
          </w:tcPr>
          <w:p w14:paraId="38E5D7D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苯</w:t>
            </w:r>
          </w:p>
        </w:tc>
        <w:tc>
          <w:tcPr>
            <w:tcW w:w="752" w:type="pct"/>
            <w:tcBorders>
              <w:tl2br w:val="nil"/>
              <w:tr2bl w:val="nil"/>
            </w:tcBorders>
            <w:vAlign w:val="center"/>
          </w:tcPr>
          <w:p w14:paraId="70F3776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110.0</w:t>
            </w:r>
          </w:p>
        </w:tc>
        <w:tc>
          <w:tcPr>
            <w:tcW w:w="1072" w:type="pct"/>
            <w:tcBorders>
              <w:tl2br w:val="nil"/>
              <w:tr2bl w:val="nil"/>
            </w:tcBorders>
            <w:vAlign w:val="center"/>
          </w:tcPr>
          <w:p w14:paraId="50F9A4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3.9800</w:t>
            </w:r>
          </w:p>
        </w:tc>
        <w:tc>
          <w:tcPr>
            <w:tcW w:w="789" w:type="pct"/>
            <w:tcBorders>
              <w:tl2br w:val="nil"/>
              <w:tr2bl w:val="nil"/>
            </w:tcBorders>
            <w:vAlign w:val="center"/>
          </w:tcPr>
          <w:p w14:paraId="04F313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3.6182</w:t>
            </w:r>
          </w:p>
        </w:tc>
        <w:tc>
          <w:tcPr>
            <w:tcW w:w="641" w:type="pct"/>
            <w:tcBorders>
              <w:tl2br w:val="nil"/>
              <w:tr2bl w:val="nil"/>
            </w:tcBorders>
            <w:vAlign w:val="center"/>
          </w:tcPr>
          <w:p w14:paraId="5D3E39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29BBBC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7776A3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80" w:type="pct"/>
            <w:tcBorders>
              <w:tl2br w:val="nil"/>
              <w:tr2bl w:val="nil"/>
            </w:tcBorders>
            <w:vAlign w:val="center"/>
          </w:tcPr>
          <w:p w14:paraId="612D713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甲苯</w:t>
            </w:r>
          </w:p>
        </w:tc>
        <w:tc>
          <w:tcPr>
            <w:tcW w:w="752" w:type="pct"/>
            <w:tcBorders>
              <w:tl2br w:val="nil"/>
              <w:tr2bl w:val="nil"/>
            </w:tcBorders>
            <w:vAlign w:val="center"/>
          </w:tcPr>
          <w:p w14:paraId="5A44EC1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72" w:type="pct"/>
            <w:tcBorders>
              <w:tl2br w:val="nil"/>
              <w:tr2bl w:val="nil"/>
            </w:tcBorders>
            <w:vAlign w:val="center"/>
          </w:tcPr>
          <w:p w14:paraId="0AAD85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3.9800</w:t>
            </w:r>
          </w:p>
        </w:tc>
        <w:tc>
          <w:tcPr>
            <w:tcW w:w="789" w:type="pct"/>
            <w:tcBorders>
              <w:tl2br w:val="nil"/>
              <w:tr2bl w:val="nil"/>
            </w:tcBorders>
            <w:vAlign w:val="center"/>
          </w:tcPr>
          <w:p w14:paraId="27065C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1.9900</w:t>
            </w:r>
          </w:p>
        </w:tc>
        <w:tc>
          <w:tcPr>
            <w:tcW w:w="641" w:type="pct"/>
            <w:tcBorders>
              <w:tl2br w:val="nil"/>
              <w:tr2bl w:val="nil"/>
            </w:tcBorders>
            <w:vAlign w:val="center"/>
          </w:tcPr>
          <w:p w14:paraId="00B4D1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7879C2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3699C3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80" w:type="pct"/>
            <w:tcBorders>
              <w:tl2br w:val="nil"/>
              <w:tr2bl w:val="nil"/>
            </w:tcBorders>
            <w:vAlign w:val="center"/>
          </w:tcPr>
          <w:p w14:paraId="7B62C5A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二甲苯</w:t>
            </w:r>
          </w:p>
        </w:tc>
        <w:tc>
          <w:tcPr>
            <w:tcW w:w="752" w:type="pct"/>
            <w:tcBorders>
              <w:tl2br w:val="nil"/>
              <w:tr2bl w:val="nil"/>
            </w:tcBorders>
            <w:vAlign w:val="center"/>
          </w:tcPr>
          <w:p w14:paraId="00D809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72" w:type="pct"/>
            <w:tcBorders>
              <w:tl2br w:val="nil"/>
              <w:tr2bl w:val="nil"/>
            </w:tcBorders>
            <w:vAlign w:val="center"/>
          </w:tcPr>
          <w:p w14:paraId="32D176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3.9800</w:t>
            </w:r>
          </w:p>
        </w:tc>
        <w:tc>
          <w:tcPr>
            <w:tcW w:w="789" w:type="pct"/>
            <w:tcBorders>
              <w:tl2br w:val="nil"/>
              <w:tr2bl w:val="nil"/>
            </w:tcBorders>
            <w:vAlign w:val="center"/>
          </w:tcPr>
          <w:p w14:paraId="27E0244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1.9900</w:t>
            </w:r>
          </w:p>
        </w:tc>
        <w:tc>
          <w:tcPr>
            <w:tcW w:w="641" w:type="pct"/>
            <w:tcBorders>
              <w:tl2br w:val="nil"/>
              <w:tr2bl w:val="nil"/>
            </w:tcBorders>
            <w:vAlign w:val="center"/>
          </w:tcPr>
          <w:p w14:paraId="525ECB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3E59F22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245506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80" w:type="pct"/>
            <w:tcBorders>
              <w:tl2br w:val="nil"/>
              <w:tr2bl w:val="nil"/>
            </w:tcBorders>
            <w:vAlign w:val="center"/>
          </w:tcPr>
          <w:p w14:paraId="0BFE91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硫酸</w:t>
            </w:r>
          </w:p>
        </w:tc>
        <w:tc>
          <w:tcPr>
            <w:tcW w:w="752" w:type="pct"/>
            <w:tcBorders>
              <w:tl2br w:val="nil"/>
              <w:tr2bl w:val="nil"/>
            </w:tcBorders>
            <w:vAlign w:val="center"/>
          </w:tcPr>
          <w:p w14:paraId="18C75D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300.0</w:t>
            </w:r>
          </w:p>
        </w:tc>
        <w:tc>
          <w:tcPr>
            <w:tcW w:w="1072" w:type="pct"/>
            <w:tcBorders>
              <w:tl2br w:val="nil"/>
              <w:tr2bl w:val="nil"/>
            </w:tcBorders>
            <w:vAlign w:val="center"/>
          </w:tcPr>
          <w:p w14:paraId="5AFA699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0.7703</w:t>
            </w:r>
          </w:p>
        </w:tc>
        <w:tc>
          <w:tcPr>
            <w:tcW w:w="789" w:type="pct"/>
            <w:tcBorders>
              <w:tl2br w:val="nil"/>
              <w:tr2bl w:val="nil"/>
            </w:tcBorders>
            <w:vAlign w:val="center"/>
          </w:tcPr>
          <w:p w14:paraId="31A7AB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0.2568</w:t>
            </w:r>
          </w:p>
        </w:tc>
        <w:tc>
          <w:tcPr>
            <w:tcW w:w="641" w:type="pct"/>
            <w:tcBorders>
              <w:tl2br w:val="nil"/>
              <w:tr2bl w:val="nil"/>
            </w:tcBorders>
            <w:vAlign w:val="center"/>
          </w:tcPr>
          <w:p w14:paraId="53C5DD0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0BCB5CF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restart"/>
            <w:tcBorders>
              <w:tl2br w:val="nil"/>
              <w:tr2bl w:val="nil"/>
            </w:tcBorders>
            <w:vAlign w:val="center"/>
          </w:tcPr>
          <w:p w14:paraId="5FC5C23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DA001</w:t>
            </w:r>
          </w:p>
        </w:tc>
        <w:tc>
          <w:tcPr>
            <w:tcW w:w="780" w:type="pct"/>
            <w:tcBorders>
              <w:tl2br w:val="nil"/>
              <w:tr2bl w:val="nil"/>
            </w:tcBorders>
            <w:vAlign w:val="center"/>
          </w:tcPr>
          <w:p w14:paraId="31E5A52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TVOC</w:t>
            </w:r>
          </w:p>
        </w:tc>
        <w:tc>
          <w:tcPr>
            <w:tcW w:w="752" w:type="pct"/>
            <w:tcBorders>
              <w:tl2br w:val="nil"/>
              <w:tr2bl w:val="nil"/>
            </w:tcBorders>
            <w:vAlign w:val="center"/>
          </w:tcPr>
          <w:p w14:paraId="16438D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1200.0</w:t>
            </w:r>
          </w:p>
        </w:tc>
        <w:tc>
          <w:tcPr>
            <w:tcW w:w="1072" w:type="pct"/>
            <w:tcBorders>
              <w:tl2br w:val="nil"/>
              <w:tr2bl w:val="nil"/>
            </w:tcBorders>
            <w:vAlign w:val="center"/>
          </w:tcPr>
          <w:p w14:paraId="2C77F3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5.8749</w:t>
            </w:r>
          </w:p>
        </w:tc>
        <w:tc>
          <w:tcPr>
            <w:tcW w:w="789" w:type="pct"/>
            <w:tcBorders>
              <w:tl2br w:val="nil"/>
              <w:tr2bl w:val="nil"/>
            </w:tcBorders>
            <w:vAlign w:val="center"/>
          </w:tcPr>
          <w:p w14:paraId="7CF015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0.4896</w:t>
            </w:r>
          </w:p>
        </w:tc>
        <w:tc>
          <w:tcPr>
            <w:tcW w:w="641" w:type="pct"/>
            <w:tcBorders>
              <w:tl2br w:val="nil"/>
              <w:tr2bl w:val="nil"/>
            </w:tcBorders>
            <w:vAlign w:val="center"/>
          </w:tcPr>
          <w:p w14:paraId="16721A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1738E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12618BE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80" w:type="pct"/>
            <w:tcBorders>
              <w:tl2br w:val="nil"/>
              <w:tr2bl w:val="nil"/>
            </w:tcBorders>
            <w:vAlign w:val="center"/>
          </w:tcPr>
          <w:p w14:paraId="70DA0C2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苯</w:t>
            </w:r>
          </w:p>
        </w:tc>
        <w:tc>
          <w:tcPr>
            <w:tcW w:w="752" w:type="pct"/>
            <w:tcBorders>
              <w:tl2br w:val="nil"/>
              <w:tr2bl w:val="nil"/>
            </w:tcBorders>
            <w:vAlign w:val="center"/>
          </w:tcPr>
          <w:p w14:paraId="340ADA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110.0</w:t>
            </w:r>
          </w:p>
        </w:tc>
        <w:tc>
          <w:tcPr>
            <w:tcW w:w="1072" w:type="pct"/>
            <w:tcBorders>
              <w:tl2br w:val="nil"/>
              <w:tr2bl w:val="nil"/>
            </w:tcBorders>
            <w:vAlign w:val="center"/>
          </w:tcPr>
          <w:p w14:paraId="74EA02D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0.1762</w:t>
            </w:r>
          </w:p>
        </w:tc>
        <w:tc>
          <w:tcPr>
            <w:tcW w:w="789" w:type="pct"/>
            <w:tcBorders>
              <w:tl2br w:val="nil"/>
              <w:tr2bl w:val="nil"/>
            </w:tcBorders>
            <w:vAlign w:val="center"/>
          </w:tcPr>
          <w:p w14:paraId="619719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0.1602</w:t>
            </w:r>
          </w:p>
        </w:tc>
        <w:tc>
          <w:tcPr>
            <w:tcW w:w="641" w:type="pct"/>
            <w:tcBorders>
              <w:tl2br w:val="nil"/>
              <w:tr2bl w:val="nil"/>
            </w:tcBorders>
            <w:vAlign w:val="center"/>
          </w:tcPr>
          <w:p w14:paraId="7701752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4C10CB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6ABD1A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80" w:type="pct"/>
            <w:tcBorders>
              <w:tl2br w:val="nil"/>
              <w:tr2bl w:val="nil"/>
            </w:tcBorders>
            <w:vAlign w:val="center"/>
          </w:tcPr>
          <w:p w14:paraId="6CFCE9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甲苯</w:t>
            </w:r>
          </w:p>
        </w:tc>
        <w:tc>
          <w:tcPr>
            <w:tcW w:w="752" w:type="pct"/>
            <w:tcBorders>
              <w:tl2br w:val="nil"/>
              <w:tr2bl w:val="nil"/>
            </w:tcBorders>
            <w:vAlign w:val="center"/>
          </w:tcPr>
          <w:p w14:paraId="0C49BD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72" w:type="pct"/>
            <w:tcBorders>
              <w:tl2br w:val="nil"/>
              <w:tr2bl w:val="nil"/>
            </w:tcBorders>
            <w:vAlign w:val="center"/>
          </w:tcPr>
          <w:p w14:paraId="274E35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0.1762</w:t>
            </w:r>
          </w:p>
        </w:tc>
        <w:tc>
          <w:tcPr>
            <w:tcW w:w="789" w:type="pct"/>
            <w:tcBorders>
              <w:tl2br w:val="nil"/>
              <w:tr2bl w:val="nil"/>
            </w:tcBorders>
            <w:vAlign w:val="center"/>
          </w:tcPr>
          <w:p w14:paraId="2AC19C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0.0881</w:t>
            </w:r>
          </w:p>
        </w:tc>
        <w:tc>
          <w:tcPr>
            <w:tcW w:w="641" w:type="pct"/>
            <w:tcBorders>
              <w:tl2br w:val="nil"/>
              <w:tr2bl w:val="nil"/>
            </w:tcBorders>
            <w:vAlign w:val="center"/>
          </w:tcPr>
          <w:p w14:paraId="46697A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05FD1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326A4B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80" w:type="pct"/>
            <w:tcBorders>
              <w:tl2br w:val="nil"/>
              <w:tr2bl w:val="nil"/>
            </w:tcBorders>
            <w:vAlign w:val="center"/>
          </w:tcPr>
          <w:p w14:paraId="2D5368D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二甲苯</w:t>
            </w:r>
          </w:p>
        </w:tc>
        <w:tc>
          <w:tcPr>
            <w:tcW w:w="752" w:type="pct"/>
            <w:tcBorders>
              <w:tl2br w:val="nil"/>
              <w:tr2bl w:val="nil"/>
            </w:tcBorders>
            <w:vAlign w:val="center"/>
          </w:tcPr>
          <w:p w14:paraId="3A2E0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200.0</w:t>
            </w:r>
          </w:p>
        </w:tc>
        <w:tc>
          <w:tcPr>
            <w:tcW w:w="1072" w:type="pct"/>
            <w:tcBorders>
              <w:tl2br w:val="nil"/>
              <w:tr2bl w:val="nil"/>
            </w:tcBorders>
            <w:vAlign w:val="center"/>
          </w:tcPr>
          <w:p w14:paraId="38EB86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0.1762</w:t>
            </w:r>
          </w:p>
        </w:tc>
        <w:tc>
          <w:tcPr>
            <w:tcW w:w="789" w:type="pct"/>
            <w:tcBorders>
              <w:tl2br w:val="nil"/>
              <w:tr2bl w:val="nil"/>
            </w:tcBorders>
            <w:vAlign w:val="center"/>
          </w:tcPr>
          <w:p w14:paraId="01CE0C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0.0881</w:t>
            </w:r>
          </w:p>
        </w:tc>
        <w:tc>
          <w:tcPr>
            <w:tcW w:w="641" w:type="pct"/>
            <w:tcBorders>
              <w:tl2br w:val="nil"/>
              <w:tr2bl w:val="nil"/>
            </w:tcBorders>
            <w:vAlign w:val="center"/>
          </w:tcPr>
          <w:p w14:paraId="3D38E2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7700A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restart"/>
            <w:tcBorders>
              <w:tl2br w:val="nil"/>
              <w:tr2bl w:val="nil"/>
            </w:tcBorders>
            <w:vAlign w:val="center"/>
          </w:tcPr>
          <w:p w14:paraId="480619C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DA002</w:t>
            </w:r>
          </w:p>
        </w:tc>
        <w:tc>
          <w:tcPr>
            <w:tcW w:w="780" w:type="pct"/>
            <w:tcBorders>
              <w:tl2br w:val="nil"/>
              <w:tr2bl w:val="nil"/>
            </w:tcBorders>
            <w:vAlign w:val="center"/>
          </w:tcPr>
          <w:p w14:paraId="71C519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TVOC</w:t>
            </w:r>
          </w:p>
        </w:tc>
        <w:tc>
          <w:tcPr>
            <w:tcW w:w="752" w:type="pct"/>
            <w:tcBorders>
              <w:tl2br w:val="nil"/>
              <w:tr2bl w:val="nil"/>
            </w:tcBorders>
            <w:vAlign w:val="center"/>
          </w:tcPr>
          <w:p w14:paraId="35DAA5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1200.0</w:t>
            </w:r>
          </w:p>
        </w:tc>
        <w:tc>
          <w:tcPr>
            <w:tcW w:w="1072" w:type="pct"/>
            <w:tcBorders>
              <w:tl2br w:val="nil"/>
              <w:tr2bl w:val="nil"/>
            </w:tcBorders>
            <w:vAlign w:val="center"/>
          </w:tcPr>
          <w:p w14:paraId="07425A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0.7621</w:t>
            </w:r>
          </w:p>
        </w:tc>
        <w:tc>
          <w:tcPr>
            <w:tcW w:w="789" w:type="pct"/>
            <w:tcBorders>
              <w:tl2br w:val="nil"/>
              <w:tr2bl w:val="nil"/>
            </w:tcBorders>
            <w:vAlign w:val="center"/>
          </w:tcPr>
          <w:p w14:paraId="4B073B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0.0635</w:t>
            </w:r>
          </w:p>
        </w:tc>
        <w:tc>
          <w:tcPr>
            <w:tcW w:w="641" w:type="pct"/>
            <w:tcBorders>
              <w:tl2br w:val="nil"/>
              <w:tr2bl w:val="nil"/>
            </w:tcBorders>
            <w:vAlign w:val="center"/>
          </w:tcPr>
          <w:p w14:paraId="20A132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r w14:paraId="435DE1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743905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p>
        </w:tc>
        <w:tc>
          <w:tcPr>
            <w:tcW w:w="780" w:type="pct"/>
            <w:tcBorders>
              <w:tl2br w:val="nil"/>
              <w:tr2bl w:val="nil"/>
            </w:tcBorders>
            <w:vAlign w:val="center"/>
          </w:tcPr>
          <w:p w14:paraId="1DAE95B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硫酸</w:t>
            </w:r>
          </w:p>
        </w:tc>
        <w:tc>
          <w:tcPr>
            <w:tcW w:w="752" w:type="pct"/>
            <w:tcBorders>
              <w:tl2br w:val="nil"/>
              <w:tr2bl w:val="nil"/>
            </w:tcBorders>
            <w:vAlign w:val="center"/>
          </w:tcPr>
          <w:p w14:paraId="18488B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300.0</w:t>
            </w:r>
          </w:p>
        </w:tc>
        <w:tc>
          <w:tcPr>
            <w:tcW w:w="1072" w:type="pct"/>
            <w:tcBorders>
              <w:tl2br w:val="nil"/>
              <w:tr2bl w:val="nil"/>
            </w:tcBorders>
            <w:vAlign w:val="center"/>
          </w:tcPr>
          <w:p w14:paraId="53F81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b w:val="0"/>
                <w:sz w:val="23"/>
                <w:szCs w:val="23"/>
                <w:u w:val="single"/>
              </w:rPr>
              <w:t>0.661</w:t>
            </w:r>
            <w:r>
              <w:rPr>
                <w:rFonts w:hint="default" w:ascii="Times New Roman" w:hAnsi="Times New Roman" w:eastAsia="宋体" w:cs="Times New Roman"/>
                <w:b w:val="0"/>
                <w:sz w:val="23"/>
                <w:szCs w:val="23"/>
                <w:u w:val="single"/>
                <w:lang w:val="en-US" w:eastAsia="zh-CN"/>
              </w:rPr>
              <w:t>0</w:t>
            </w:r>
          </w:p>
        </w:tc>
        <w:tc>
          <w:tcPr>
            <w:tcW w:w="789" w:type="pct"/>
            <w:tcBorders>
              <w:tl2br w:val="nil"/>
              <w:tr2bl w:val="nil"/>
            </w:tcBorders>
            <w:vAlign w:val="center"/>
          </w:tcPr>
          <w:p w14:paraId="4B5C29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lang w:val="en-US" w:eastAsia="zh-CN"/>
              </w:rPr>
            </w:pPr>
            <w:r>
              <w:rPr>
                <w:rFonts w:hint="default" w:ascii="Times New Roman" w:hAnsi="Times New Roman" w:eastAsia="宋体" w:cs="Times New Roman"/>
                <w:b w:val="0"/>
                <w:sz w:val="23"/>
                <w:szCs w:val="23"/>
                <w:u w:val="single"/>
              </w:rPr>
              <w:t>0.220</w:t>
            </w:r>
            <w:r>
              <w:rPr>
                <w:rFonts w:hint="default" w:ascii="Times New Roman" w:hAnsi="Times New Roman" w:eastAsia="宋体" w:cs="Times New Roman"/>
                <w:b w:val="0"/>
                <w:sz w:val="23"/>
                <w:szCs w:val="23"/>
                <w:u w:val="single"/>
                <w:lang w:val="en-US" w:eastAsia="zh-CN"/>
              </w:rPr>
              <w:t>0</w:t>
            </w:r>
          </w:p>
        </w:tc>
        <w:tc>
          <w:tcPr>
            <w:tcW w:w="641" w:type="pct"/>
            <w:tcBorders>
              <w:tl2br w:val="nil"/>
              <w:tr2bl w:val="nil"/>
            </w:tcBorders>
            <w:vAlign w:val="center"/>
          </w:tcPr>
          <w:p w14:paraId="607BB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u w:val="single"/>
              </w:rPr>
            </w:pPr>
            <w:r>
              <w:rPr>
                <w:rFonts w:hint="default" w:ascii="Times New Roman" w:hAnsi="Times New Roman" w:eastAsia="宋体" w:cs="Times New Roman"/>
                <w:b w:val="0"/>
                <w:sz w:val="23"/>
                <w:szCs w:val="23"/>
                <w:u w:val="single"/>
              </w:rPr>
              <w:t>/</w:t>
            </w:r>
          </w:p>
        </w:tc>
      </w:tr>
    </w:tbl>
    <w:p w14:paraId="301EDAA3">
      <w:pPr>
        <w:spacing w:line="360" w:lineRule="auto"/>
        <w:ind w:firstLine="480" w:firstLineChars="200"/>
        <w:rPr>
          <w:rFonts w:hint="default" w:ascii="Times New Roman" w:hAnsi="Times New Roman" w:eastAsia="宋体" w:cs="Times New Roman"/>
          <w:kern w:val="0"/>
          <w:sz w:val="24"/>
          <w:szCs w:val="24"/>
          <w:u w:val="single"/>
        </w:rPr>
      </w:pPr>
      <w:bookmarkStart w:id="325" w:name="_Hlk129559261"/>
      <w:r>
        <w:rPr>
          <w:rFonts w:hint="default" w:ascii="Times New Roman" w:hAnsi="Times New Roman" w:eastAsia="宋体" w:cs="Times New Roman"/>
          <w:sz w:val="24"/>
          <w:szCs w:val="24"/>
          <w:u w:val="single"/>
        </w:rPr>
        <w:t>本项目Pmax最大值出现为A栋</w:t>
      </w:r>
      <w:r>
        <w:rPr>
          <w:rFonts w:hint="default" w:ascii="Times New Roman" w:hAnsi="Times New Roman" w:eastAsia="宋体" w:cs="Times New Roman"/>
          <w:sz w:val="24"/>
          <w:szCs w:val="24"/>
          <w:u w:val="single"/>
          <w:lang w:eastAsia="zh-CN"/>
        </w:rPr>
        <w:t>危险废物综合处置车间</w:t>
      </w:r>
      <w:r>
        <w:rPr>
          <w:rFonts w:hint="default" w:ascii="Times New Roman" w:hAnsi="Times New Roman" w:eastAsia="宋体" w:cs="Times New Roman"/>
          <w:sz w:val="24"/>
          <w:szCs w:val="24"/>
          <w:u w:val="single"/>
        </w:rPr>
        <w:t>排放的TVOCPmax值为7.5606%，Cmax为90.727μg/m</w:t>
      </w:r>
      <w:r>
        <w:rPr>
          <w:rFonts w:hint="default" w:ascii="Times New Roman" w:hAnsi="Times New Roman" w:eastAsia="宋体" w:cs="Times New Roman"/>
          <w:sz w:val="24"/>
          <w:szCs w:val="24"/>
          <w:u w:val="single"/>
          <w:vertAlign w:val="superscript"/>
          <w:lang w:val="en-US" w:eastAsia="zh-CN"/>
        </w:rPr>
        <w:t>3</w:t>
      </w:r>
      <w:r>
        <w:rPr>
          <w:rFonts w:hint="default" w:ascii="Times New Roman" w:hAnsi="Times New Roman" w:eastAsia="宋体" w:cs="Times New Roman"/>
          <w:sz w:val="24"/>
          <w:szCs w:val="24"/>
          <w:u w:val="single"/>
        </w:rPr>
        <w:t>，根据《环境影响评价技术导则 大气环境》（HJ2.2-2018）分级判据，确定本项目大气环境影响评价工作等级为二级，不进行进一步预测与评价，只对污染物排放量进行核算</w:t>
      </w:r>
      <w:bookmarkEnd w:id="325"/>
      <w:r>
        <w:rPr>
          <w:rFonts w:hint="default" w:ascii="Times New Roman" w:hAnsi="Times New Roman" w:eastAsia="宋体" w:cs="Times New Roman"/>
          <w:sz w:val="24"/>
          <w:szCs w:val="24"/>
          <w:u w:val="single"/>
        </w:rPr>
        <w:t>。</w:t>
      </w:r>
    </w:p>
    <w:p w14:paraId="7D43F1F4">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7.2.4大气防护距离</w:t>
      </w:r>
    </w:p>
    <w:p w14:paraId="07B65CB8">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大气环境防护距离即为保护人群健康，减少正常排放下大气污染物对居住区的环境影响，在污染源与居住区之间设置的环境防护区域，在大气环境防护距离内不应有长期居住的人群。</w:t>
      </w:r>
    </w:p>
    <w:p w14:paraId="4253E956">
      <w:pPr>
        <w:spacing w:line="360" w:lineRule="auto"/>
        <w:ind w:firstLine="480" w:firstLineChars="200"/>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根据《环境影响评价技术导则•大气环境》（HJ2.2-2018）中关于大气防护距离计算要求说明，对于项目厂界浓度满足大气污染物厂界浓度限值，但厂界外大气污染物短期贡献浓度超过环境质量浓度限值的，可以自厂界向外设置一定范围的大气环境防护区域。而根据项目AERSCREEN预测结果，项目主要污染因子在到达厂界位置时的浓度均达到了对应环境质量标准中的短期浓度值，因此本项目无需设置大气防护距离。（AERSCREEN预测结果表见附件）。</w:t>
      </w:r>
    </w:p>
    <w:p w14:paraId="7DDDFC0F">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7.2.5非正常排放影响分析</w:t>
      </w:r>
    </w:p>
    <w:p w14:paraId="13FE51A9">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项目非正常排放是指废气收集治理措施未正常运行，导致废气按产生量排放，预计发生频次为1次/a，单次持续时间不超过1h。根据《环境影响评价技术导则 大气环境》（HJ2.2-2018）推荐的估算模式AERSCREEN模型。</w:t>
      </w:r>
    </w:p>
    <w:p w14:paraId="571505AF">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kern w:val="0"/>
          <w:sz w:val="24"/>
        </w:rPr>
        <w:t>项目运营后，在非正常工况废气处理措施失效情况下，生产过程中所排放的主要大气污染物源强参数见表7.2-6。</w:t>
      </w:r>
    </w:p>
    <w:p w14:paraId="7F2B4BCD">
      <w:pPr>
        <w:pStyle w:val="30"/>
        <w:tabs>
          <w:tab w:val="left" w:pos="1080"/>
        </w:tabs>
        <w:spacing w:after="0" w:line="360" w:lineRule="auto"/>
        <w:ind w:firstLine="0" w:firstLineChars="0"/>
        <w:rPr>
          <w:rFonts w:hint="default" w:ascii="Times New Roman" w:hAnsi="Times New Roman" w:eastAsia="宋体" w:cs="Times New Roman"/>
          <w:b/>
          <w:bCs/>
          <w:color w:val="000000"/>
          <w:szCs w:val="21"/>
        </w:rPr>
      </w:pPr>
      <w:r>
        <w:rPr>
          <w:rFonts w:hint="default" w:ascii="Times New Roman" w:hAnsi="Times New Roman" w:eastAsia="宋体" w:cs="Times New Roman"/>
          <w:b/>
          <w:bCs/>
          <w:color w:val="000000"/>
          <w:szCs w:val="21"/>
        </w:rPr>
        <w:t>表7.2-6  非正常工况主要废气污染源参数一览表（点源）</w:t>
      </w:r>
    </w:p>
    <w:tbl>
      <w:tblPr>
        <w:tblStyle w:val="32"/>
        <w:tblW w:w="85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1065"/>
        <w:gridCol w:w="981"/>
        <w:gridCol w:w="621"/>
        <w:gridCol w:w="621"/>
        <w:gridCol w:w="531"/>
        <w:gridCol w:w="711"/>
        <w:gridCol w:w="621"/>
        <w:gridCol w:w="621"/>
        <w:gridCol w:w="621"/>
        <w:gridCol w:w="621"/>
        <w:gridCol w:w="531"/>
        <w:gridCol w:w="706"/>
      </w:tblGrid>
      <w:tr w14:paraId="4FDAF2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restart"/>
            <w:tcBorders>
              <w:tl2br w:val="nil"/>
              <w:tr2bl w:val="nil"/>
            </w:tcBorders>
            <w:vAlign w:val="center"/>
          </w:tcPr>
          <w:p w14:paraId="4C3EDA0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污染源名称</w:t>
            </w:r>
          </w:p>
        </w:tc>
        <w:tc>
          <w:tcPr>
            <w:tcW w:w="0" w:type="dxa"/>
            <w:gridSpan w:val="2"/>
            <w:tcBorders>
              <w:tl2br w:val="nil"/>
              <w:tr2bl w:val="nil"/>
            </w:tcBorders>
            <w:vAlign w:val="center"/>
          </w:tcPr>
          <w:p w14:paraId="33A56D7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排气筒底部中心坐标(°)</w:t>
            </w:r>
          </w:p>
        </w:tc>
        <w:tc>
          <w:tcPr>
            <w:tcW w:w="0" w:type="dxa"/>
            <w:vMerge w:val="restart"/>
            <w:tcBorders>
              <w:tl2br w:val="nil"/>
              <w:tr2bl w:val="nil"/>
            </w:tcBorders>
            <w:vAlign w:val="center"/>
          </w:tcPr>
          <w:p w14:paraId="21F4385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排气筒底部海拔高度(m)</w:t>
            </w:r>
          </w:p>
        </w:tc>
        <w:tc>
          <w:tcPr>
            <w:tcW w:w="0" w:type="dxa"/>
            <w:gridSpan w:val="4"/>
            <w:tcBorders>
              <w:tl2br w:val="nil"/>
              <w:tr2bl w:val="nil"/>
            </w:tcBorders>
            <w:vAlign w:val="center"/>
          </w:tcPr>
          <w:p w14:paraId="4DA1AE7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排气筒参数</w:t>
            </w:r>
          </w:p>
        </w:tc>
        <w:tc>
          <w:tcPr>
            <w:tcW w:w="0" w:type="dxa"/>
            <w:gridSpan w:val="5"/>
            <w:tcBorders>
              <w:tl2br w:val="nil"/>
              <w:tr2bl w:val="nil"/>
            </w:tcBorders>
            <w:vAlign w:val="center"/>
          </w:tcPr>
          <w:p w14:paraId="3D371E2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污染物排放速率(kg/h)</w:t>
            </w:r>
          </w:p>
        </w:tc>
      </w:tr>
      <w:tr w14:paraId="0816045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continue"/>
            <w:tcBorders>
              <w:tl2br w:val="nil"/>
              <w:tr2bl w:val="nil"/>
            </w:tcBorders>
            <w:vAlign w:val="center"/>
          </w:tcPr>
          <w:p w14:paraId="2B56EA2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0" w:type="dxa"/>
            <w:tcBorders>
              <w:tl2br w:val="nil"/>
              <w:tr2bl w:val="nil"/>
            </w:tcBorders>
            <w:vAlign w:val="center"/>
          </w:tcPr>
          <w:p w14:paraId="180265A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经度</w:t>
            </w:r>
          </w:p>
        </w:tc>
        <w:tc>
          <w:tcPr>
            <w:tcW w:w="0" w:type="dxa"/>
            <w:tcBorders>
              <w:tl2br w:val="nil"/>
              <w:tr2bl w:val="nil"/>
            </w:tcBorders>
            <w:vAlign w:val="center"/>
          </w:tcPr>
          <w:p w14:paraId="292060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纬度</w:t>
            </w:r>
          </w:p>
        </w:tc>
        <w:tc>
          <w:tcPr>
            <w:tcW w:w="0" w:type="dxa"/>
            <w:vMerge w:val="continue"/>
            <w:tcBorders>
              <w:tl2br w:val="nil"/>
              <w:tr2bl w:val="nil"/>
            </w:tcBorders>
            <w:vAlign w:val="center"/>
          </w:tcPr>
          <w:p w14:paraId="092BAD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0" w:type="dxa"/>
            <w:tcBorders>
              <w:tl2br w:val="nil"/>
              <w:tr2bl w:val="nil"/>
            </w:tcBorders>
            <w:vAlign w:val="center"/>
          </w:tcPr>
          <w:p w14:paraId="67ED513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高度(m)</w:t>
            </w:r>
          </w:p>
        </w:tc>
        <w:tc>
          <w:tcPr>
            <w:tcW w:w="0" w:type="dxa"/>
            <w:tcBorders>
              <w:tl2br w:val="nil"/>
              <w:tr2bl w:val="nil"/>
            </w:tcBorders>
            <w:vAlign w:val="center"/>
          </w:tcPr>
          <w:p w14:paraId="5A3953A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内径(m)</w:t>
            </w:r>
          </w:p>
        </w:tc>
        <w:tc>
          <w:tcPr>
            <w:tcW w:w="0" w:type="dxa"/>
            <w:tcBorders>
              <w:tl2br w:val="nil"/>
              <w:tr2bl w:val="nil"/>
            </w:tcBorders>
            <w:vAlign w:val="center"/>
          </w:tcPr>
          <w:p w14:paraId="721851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温度(℃)</w:t>
            </w:r>
          </w:p>
        </w:tc>
        <w:tc>
          <w:tcPr>
            <w:tcW w:w="0" w:type="dxa"/>
            <w:tcBorders>
              <w:tl2br w:val="nil"/>
              <w:tr2bl w:val="nil"/>
            </w:tcBorders>
            <w:vAlign w:val="center"/>
          </w:tcPr>
          <w:p w14:paraId="2C60954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流速(m/s)</w:t>
            </w:r>
          </w:p>
        </w:tc>
        <w:tc>
          <w:tcPr>
            <w:tcW w:w="0" w:type="dxa"/>
            <w:tcBorders>
              <w:tl2br w:val="nil"/>
              <w:tr2bl w:val="nil"/>
            </w:tcBorders>
            <w:vAlign w:val="center"/>
          </w:tcPr>
          <w:p w14:paraId="115AE20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甲苯</w:t>
            </w:r>
          </w:p>
        </w:tc>
        <w:tc>
          <w:tcPr>
            <w:tcW w:w="0" w:type="dxa"/>
            <w:tcBorders>
              <w:tl2br w:val="nil"/>
              <w:tr2bl w:val="nil"/>
            </w:tcBorders>
            <w:vAlign w:val="center"/>
          </w:tcPr>
          <w:p w14:paraId="6E65DA1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二甲苯</w:t>
            </w:r>
          </w:p>
        </w:tc>
        <w:tc>
          <w:tcPr>
            <w:tcW w:w="0" w:type="dxa"/>
            <w:tcBorders>
              <w:tl2br w:val="nil"/>
              <w:tr2bl w:val="nil"/>
            </w:tcBorders>
            <w:vAlign w:val="center"/>
          </w:tcPr>
          <w:p w14:paraId="5DF6C14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苯</w:t>
            </w:r>
          </w:p>
        </w:tc>
        <w:tc>
          <w:tcPr>
            <w:tcW w:w="0" w:type="dxa"/>
            <w:tcBorders>
              <w:tl2br w:val="nil"/>
              <w:tr2bl w:val="nil"/>
            </w:tcBorders>
            <w:vAlign w:val="center"/>
          </w:tcPr>
          <w:p w14:paraId="7F14CF5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硫酸</w:t>
            </w:r>
          </w:p>
        </w:tc>
        <w:tc>
          <w:tcPr>
            <w:tcW w:w="0" w:type="dxa"/>
            <w:tcBorders>
              <w:tl2br w:val="nil"/>
              <w:tr2bl w:val="nil"/>
            </w:tcBorders>
            <w:vAlign w:val="center"/>
          </w:tcPr>
          <w:p w14:paraId="6E0C0D8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TVOC</w:t>
            </w:r>
          </w:p>
        </w:tc>
      </w:tr>
      <w:tr w14:paraId="733B18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tcBorders>
              <w:tl2br w:val="nil"/>
              <w:tr2bl w:val="nil"/>
            </w:tcBorders>
            <w:vAlign w:val="center"/>
          </w:tcPr>
          <w:p w14:paraId="70246A4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DA001</w:t>
            </w:r>
          </w:p>
        </w:tc>
        <w:tc>
          <w:tcPr>
            <w:tcW w:w="0" w:type="dxa"/>
            <w:tcBorders>
              <w:tl2br w:val="nil"/>
              <w:tr2bl w:val="nil"/>
            </w:tcBorders>
            <w:vAlign w:val="center"/>
          </w:tcPr>
          <w:p w14:paraId="2D53A52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112.627209</w:t>
            </w:r>
          </w:p>
        </w:tc>
        <w:tc>
          <w:tcPr>
            <w:tcW w:w="0" w:type="dxa"/>
            <w:tcBorders>
              <w:tl2br w:val="nil"/>
              <w:tr2bl w:val="nil"/>
            </w:tcBorders>
            <w:vAlign w:val="center"/>
          </w:tcPr>
          <w:p w14:paraId="7C8E345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26.973766</w:t>
            </w:r>
          </w:p>
        </w:tc>
        <w:tc>
          <w:tcPr>
            <w:tcW w:w="0" w:type="dxa"/>
            <w:tcBorders>
              <w:tl2br w:val="nil"/>
              <w:tr2bl w:val="nil"/>
            </w:tcBorders>
            <w:vAlign w:val="center"/>
          </w:tcPr>
          <w:p w14:paraId="5F20569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66.00</w:t>
            </w:r>
          </w:p>
        </w:tc>
        <w:tc>
          <w:tcPr>
            <w:tcW w:w="0" w:type="dxa"/>
            <w:tcBorders>
              <w:tl2br w:val="nil"/>
              <w:tr2bl w:val="nil"/>
            </w:tcBorders>
            <w:vAlign w:val="center"/>
          </w:tcPr>
          <w:p w14:paraId="7C346FA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15.00</w:t>
            </w:r>
          </w:p>
        </w:tc>
        <w:tc>
          <w:tcPr>
            <w:tcW w:w="0" w:type="dxa"/>
            <w:tcBorders>
              <w:tl2br w:val="nil"/>
              <w:tr2bl w:val="nil"/>
            </w:tcBorders>
            <w:vAlign w:val="center"/>
          </w:tcPr>
          <w:p w14:paraId="7D853D6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0.40</w:t>
            </w:r>
          </w:p>
        </w:tc>
        <w:tc>
          <w:tcPr>
            <w:tcW w:w="0" w:type="dxa"/>
            <w:tcBorders>
              <w:tl2br w:val="nil"/>
              <w:tr2bl w:val="nil"/>
            </w:tcBorders>
            <w:vAlign w:val="center"/>
          </w:tcPr>
          <w:p w14:paraId="3CB80B6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141.85</w:t>
            </w:r>
          </w:p>
        </w:tc>
        <w:tc>
          <w:tcPr>
            <w:tcW w:w="0" w:type="dxa"/>
            <w:tcBorders>
              <w:tl2br w:val="nil"/>
              <w:tr2bl w:val="nil"/>
            </w:tcBorders>
            <w:vAlign w:val="center"/>
          </w:tcPr>
          <w:p w14:paraId="1787E1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44.00</w:t>
            </w:r>
          </w:p>
        </w:tc>
        <w:tc>
          <w:tcPr>
            <w:tcW w:w="0" w:type="dxa"/>
            <w:tcBorders>
              <w:tl2br w:val="nil"/>
              <w:tr2bl w:val="nil"/>
            </w:tcBorders>
            <w:vAlign w:val="center"/>
          </w:tcPr>
          <w:p w14:paraId="6C09822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0.087</w:t>
            </w:r>
          </w:p>
        </w:tc>
        <w:tc>
          <w:tcPr>
            <w:tcW w:w="0" w:type="dxa"/>
            <w:tcBorders>
              <w:tl2br w:val="nil"/>
              <w:tr2bl w:val="nil"/>
            </w:tcBorders>
            <w:vAlign w:val="center"/>
          </w:tcPr>
          <w:p w14:paraId="5ABFCA4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0.087</w:t>
            </w:r>
          </w:p>
        </w:tc>
        <w:tc>
          <w:tcPr>
            <w:tcW w:w="0" w:type="dxa"/>
            <w:tcBorders>
              <w:tl2br w:val="nil"/>
              <w:tr2bl w:val="nil"/>
            </w:tcBorders>
            <w:vAlign w:val="center"/>
          </w:tcPr>
          <w:p w14:paraId="07684E6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0.087</w:t>
            </w:r>
          </w:p>
        </w:tc>
        <w:tc>
          <w:tcPr>
            <w:tcW w:w="0" w:type="dxa"/>
            <w:tcBorders>
              <w:tl2br w:val="nil"/>
              <w:tr2bl w:val="nil"/>
            </w:tcBorders>
            <w:vAlign w:val="center"/>
          </w:tcPr>
          <w:p w14:paraId="1B0C051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b w:val="0"/>
                <w:sz w:val="18"/>
                <w:szCs w:val="18"/>
                <w:lang w:val="en-US" w:eastAsia="zh-CN"/>
              </w:rPr>
              <w:t>-</w:t>
            </w:r>
          </w:p>
        </w:tc>
        <w:tc>
          <w:tcPr>
            <w:tcW w:w="0" w:type="dxa"/>
            <w:tcBorders>
              <w:tl2br w:val="nil"/>
              <w:tr2bl w:val="nil"/>
            </w:tcBorders>
            <w:vAlign w:val="center"/>
          </w:tcPr>
          <w:p w14:paraId="1833F77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2.90</w:t>
            </w:r>
          </w:p>
        </w:tc>
      </w:tr>
      <w:tr w14:paraId="54F985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tcBorders>
              <w:tl2br w:val="nil"/>
              <w:tr2bl w:val="nil"/>
            </w:tcBorders>
            <w:vAlign w:val="center"/>
          </w:tcPr>
          <w:p w14:paraId="29FB3D8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DA002</w:t>
            </w:r>
          </w:p>
        </w:tc>
        <w:tc>
          <w:tcPr>
            <w:tcW w:w="0" w:type="dxa"/>
            <w:tcBorders>
              <w:tl2br w:val="nil"/>
              <w:tr2bl w:val="nil"/>
            </w:tcBorders>
            <w:vAlign w:val="center"/>
          </w:tcPr>
          <w:p w14:paraId="01960E7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112.627212</w:t>
            </w:r>
          </w:p>
        </w:tc>
        <w:tc>
          <w:tcPr>
            <w:tcW w:w="0" w:type="dxa"/>
            <w:tcBorders>
              <w:tl2br w:val="nil"/>
              <w:tr2bl w:val="nil"/>
            </w:tcBorders>
            <w:vAlign w:val="center"/>
          </w:tcPr>
          <w:p w14:paraId="0FC514C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26.973537</w:t>
            </w:r>
          </w:p>
        </w:tc>
        <w:tc>
          <w:tcPr>
            <w:tcW w:w="0" w:type="dxa"/>
            <w:tcBorders>
              <w:tl2br w:val="nil"/>
              <w:tr2bl w:val="nil"/>
            </w:tcBorders>
            <w:vAlign w:val="center"/>
          </w:tcPr>
          <w:p w14:paraId="67C0470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66.00</w:t>
            </w:r>
          </w:p>
        </w:tc>
        <w:tc>
          <w:tcPr>
            <w:tcW w:w="0" w:type="dxa"/>
            <w:tcBorders>
              <w:tl2br w:val="nil"/>
              <w:tr2bl w:val="nil"/>
            </w:tcBorders>
            <w:vAlign w:val="center"/>
          </w:tcPr>
          <w:p w14:paraId="75A2CC1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15.00</w:t>
            </w:r>
          </w:p>
        </w:tc>
        <w:tc>
          <w:tcPr>
            <w:tcW w:w="0" w:type="dxa"/>
            <w:tcBorders>
              <w:tl2br w:val="nil"/>
              <w:tr2bl w:val="nil"/>
            </w:tcBorders>
            <w:vAlign w:val="center"/>
          </w:tcPr>
          <w:p w14:paraId="7F82D3D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0.40</w:t>
            </w:r>
          </w:p>
        </w:tc>
        <w:tc>
          <w:tcPr>
            <w:tcW w:w="0" w:type="dxa"/>
            <w:tcBorders>
              <w:tl2br w:val="nil"/>
              <w:tr2bl w:val="nil"/>
            </w:tcBorders>
            <w:vAlign w:val="center"/>
          </w:tcPr>
          <w:p w14:paraId="140A9C4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141.85</w:t>
            </w:r>
          </w:p>
        </w:tc>
        <w:tc>
          <w:tcPr>
            <w:tcW w:w="0" w:type="dxa"/>
            <w:tcBorders>
              <w:tl2br w:val="nil"/>
              <w:tr2bl w:val="nil"/>
            </w:tcBorders>
            <w:vAlign w:val="center"/>
          </w:tcPr>
          <w:p w14:paraId="16CCD62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22.00</w:t>
            </w:r>
          </w:p>
        </w:tc>
        <w:tc>
          <w:tcPr>
            <w:tcW w:w="0" w:type="dxa"/>
            <w:tcBorders>
              <w:tl2br w:val="nil"/>
              <w:tr2bl w:val="nil"/>
            </w:tcBorders>
            <w:vAlign w:val="center"/>
          </w:tcPr>
          <w:p w14:paraId="15FFA43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w:t>
            </w:r>
          </w:p>
        </w:tc>
        <w:tc>
          <w:tcPr>
            <w:tcW w:w="0" w:type="dxa"/>
            <w:tcBorders>
              <w:tl2br w:val="nil"/>
              <w:tr2bl w:val="nil"/>
            </w:tcBorders>
            <w:vAlign w:val="center"/>
          </w:tcPr>
          <w:p w14:paraId="0637709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w:t>
            </w:r>
          </w:p>
        </w:tc>
        <w:tc>
          <w:tcPr>
            <w:tcW w:w="0" w:type="dxa"/>
            <w:tcBorders>
              <w:tl2br w:val="nil"/>
              <w:tr2bl w:val="nil"/>
            </w:tcBorders>
            <w:vAlign w:val="center"/>
          </w:tcPr>
          <w:p w14:paraId="64D4835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w:t>
            </w:r>
          </w:p>
        </w:tc>
        <w:tc>
          <w:tcPr>
            <w:tcW w:w="0" w:type="dxa"/>
            <w:tcBorders>
              <w:tl2br w:val="nil"/>
              <w:tr2bl w:val="nil"/>
            </w:tcBorders>
            <w:vAlign w:val="center"/>
          </w:tcPr>
          <w:p w14:paraId="4BE8684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0.02</w:t>
            </w:r>
          </w:p>
        </w:tc>
        <w:tc>
          <w:tcPr>
            <w:tcW w:w="0" w:type="dxa"/>
            <w:tcBorders>
              <w:tl2br w:val="nil"/>
              <w:tr2bl w:val="nil"/>
            </w:tcBorders>
            <w:vAlign w:val="center"/>
          </w:tcPr>
          <w:p w14:paraId="26C2E8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b w:val="0"/>
                <w:sz w:val="18"/>
                <w:szCs w:val="18"/>
              </w:rPr>
              <w:t>0.300</w:t>
            </w:r>
          </w:p>
        </w:tc>
      </w:tr>
    </w:tbl>
    <w:p w14:paraId="1EF6E886">
      <w:pPr>
        <w:widowControl/>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b/>
          <w:bCs/>
          <w:color w:val="000000"/>
          <w:szCs w:val="21"/>
        </w:rPr>
        <w:t>表7.2-7   非正常工况主要废气污染源参数一览表（矩形面源）</w:t>
      </w:r>
    </w:p>
    <w:tbl>
      <w:tblPr>
        <w:tblStyle w:val="32"/>
        <w:tblW w:w="85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73"/>
        <w:gridCol w:w="958"/>
        <w:gridCol w:w="885"/>
        <w:gridCol w:w="570"/>
        <w:gridCol w:w="649"/>
        <w:gridCol w:w="570"/>
        <w:gridCol w:w="570"/>
        <w:gridCol w:w="649"/>
        <w:gridCol w:w="649"/>
        <w:gridCol w:w="649"/>
        <w:gridCol w:w="649"/>
        <w:gridCol w:w="649"/>
        <w:gridCol w:w="649"/>
        <w:gridCol w:w="649"/>
      </w:tblGrid>
      <w:tr w14:paraId="4C03C8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restart"/>
            <w:tcBorders>
              <w:tl2br w:val="nil"/>
              <w:tr2bl w:val="nil"/>
            </w:tcBorders>
            <w:vAlign w:val="center"/>
          </w:tcPr>
          <w:p w14:paraId="645D567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污染源名称</w:t>
            </w:r>
          </w:p>
        </w:tc>
        <w:tc>
          <w:tcPr>
            <w:tcW w:w="0" w:type="dxa"/>
            <w:gridSpan w:val="2"/>
            <w:tcBorders>
              <w:tl2br w:val="nil"/>
              <w:tr2bl w:val="nil"/>
            </w:tcBorders>
            <w:vAlign w:val="center"/>
          </w:tcPr>
          <w:p w14:paraId="0AF4C18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坐标(°)</w:t>
            </w:r>
          </w:p>
        </w:tc>
        <w:tc>
          <w:tcPr>
            <w:tcW w:w="0" w:type="dxa"/>
            <w:vMerge w:val="restart"/>
            <w:tcBorders>
              <w:tl2br w:val="nil"/>
              <w:tr2bl w:val="nil"/>
            </w:tcBorders>
            <w:vAlign w:val="center"/>
          </w:tcPr>
          <w:p w14:paraId="3E2357E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海拔高度(m)</w:t>
            </w:r>
          </w:p>
        </w:tc>
        <w:tc>
          <w:tcPr>
            <w:tcW w:w="0" w:type="dxa"/>
            <w:gridSpan w:val="3"/>
            <w:tcBorders>
              <w:tl2br w:val="nil"/>
              <w:tr2bl w:val="nil"/>
            </w:tcBorders>
            <w:vAlign w:val="center"/>
          </w:tcPr>
          <w:p w14:paraId="2D9CE83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矩形面源</w:t>
            </w:r>
          </w:p>
        </w:tc>
        <w:tc>
          <w:tcPr>
            <w:tcW w:w="0" w:type="dxa"/>
            <w:gridSpan w:val="7"/>
            <w:tcBorders>
              <w:tl2br w:val="nil"/>
              <w:tr2bl w:val="nil"/>
            </w:tcBorders>
            <w:vAlign w:val="center"/>
          </w:tcPr>
          <w:p w14:paraId="1F6C6CE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污染物排放速率(kg/h)</w:t>
            </w:r>
          </w:p>
        </w:tc>
      </w:tr>
      <w:tr w14:paraId="7C75C5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vMerge w:val="continue"/>
            <w:tcBorders>
              <w:tl2br w:val="nil"/>
              <w:tr2bl w:val="nil"/>
            </w:tcBorders>
            <w:vAlign w:val="center"/>
          </w:tcPr>
          <w:p w14:paraId="254E77E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0" w:type="dxa"/>
            <w:tcBorders>
              <w:tl2br w:val="nil"/>
              <w:tr2bl w:val="nil"/>
            </w:tcBorders>
            <w:vAlign w:val="center"/>
          </w:tcPr>
          <w:p w14:paraId="5086A8F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经度</w:t>
            </w:r>
          </w:p>
        </w:tc>
        <w:tc>
          <w:tcPr>
            <w:tcW w:w="0" w:type="dxa"/>
            <w:tcBorders>
              <w:tl2br w:val="nil"/>
              <w:tr2bl w:val="nil"/>
            </w:tcBorders>
            <w:vAlign w:val="center"/>
          </w:tcPr>
          <w:p w14:paraId="25788C1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纬度</w:t>
            </w:r>
          </w:p>
        </w:tc>
        <w:tc>
          <w:tcPr>
            <w:tcW w:w="0" w:type="dxa"/>
            <w:vMerge w:val="continue"/>
            <w:tcBorders>
              <w:tl2br w:val="nil"/>
              <w:tr2bl w:val="nil"/>
            </w:tcBorders>
            <w:vAlign w:val="center"/>
          </w:tcPr>
          <w:p w14:paraId="4D1BDB7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p>
        </w:tc>
        <w:tc>
          <w:tcPr>
            <w:tcW w:w="0" w:type="dxa"/>
            <w:tcBorders>
              <w:tl2br w:val="nil"/>
              <w:tr2bl w:val="nil"/>
            </w:tcBorders>
            <w:vAlign w:val="center"/>
          </w:tcPr>
          <w:p w14:paraId="5CBF9B3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长度(m)</w:t>
            </w:r>
          </w:p>
        </w:tc>
        <w:tc>
          <w:tcPr>
            <w:tcW w:w="0" w:type="dxa"/>
            <w:tcBorders>
              <w:tl2br w:val="nil"/>
              <w:tr2bl w:val="nil"/>
            </w:tcBorders>
            <w:vAlign w:val="center"/>
          </w:tcPr>
          <w:p w14:paraId="4FBFD24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宽度(m)</w:t>
            </w:r>
          </w:p>
        </w:tc>
        <w:tc>
          <w:tcPr>
            <w:tcW w:w="0" w:type="dxa"/>
            <w:tcBorders>
              <w:tl2br w:val="nil"/>
              <w:tr2bl w:val="nil"/>
            </w:tcBorders>
            <w:vAlign w:val="center"/>
          </w:tcPr>
          <w:p w14:paraId="5E7B68D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有效高度(m)</w:t>
            </w:r>
          </w:p>
        </w:tc>
        <w:tc>
          <w:tcPr>
            <w:tcW w:w="0" w:type="dxa"/>
            <w:tcBorders>
              <w:tl2br w:val="nil"/>
              <w:tr2bl w:val="nil"/>
            </w:tcBorders>
            <w:vAlign w:val="center"/>
          </w:tcPr>
          <w:p w14:paraId="7AABC5A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甲苯</w:t>
            </w:r>
          </w:p>
        </w:tc>
        <w:tc>
          <w:tcPr>
            <w:tcW w:w="0" w:type="dxa"/>
            <w:tcBorders>
              <w:tl2br w:val="nil"/>
              <w:tr2bl w:val="nil"/>
            </w:tcBorders>
            <w:vAlign w:val="center"/>
          </w:tcPr>
          <w:p w14:paraId="1896EBE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二甲苯</w:t>
            </w:r>
          </w:p>
        </w:tc>
        <w:tc>
          <w:tcPr>
            <w:tcW w:w="0" w:type="dxa"/>
            <w:tcBorders>
              <w:tl2br w:val="nil"/>
              <w:tr2bl w:val="nil"/>
            </w:tcBorders>
            <w:vAlign w:val="center"/>
          </w:tcPr>
          <w:p w14:paraId="320A3CA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H</w:t>
            </w:r>
            <w:r>
              <w:rPr>
                <w:rFonts w:hint="default" w:ascii="Times New Roman" w:hAnsi="Times New Roman" w:eastAsia="宋体" w:cs="Times New Roman"/>
                <w:b w:val="0"/>
                <w:sz w:val="21"/>
                <w:szCs w:val="21"/>
                <w:vertAlign w:val="subscript"/>
              </w:rPr>
              <w:t>2</w:t>
            </w:r>
            <w:r>
              <w:rPr>
                <w:rFonts w:hint="default" w:ascii="Times New Roman" w:hAnsi="Times New Roman" w:eastAsia="宋体" w:cs="Times New Roman"/>
                <w:b w:val="0"/>
                <w:sz w:val="21"/>
                <w:szCs w:val="21"/>
              </w:rPr>
              <w:t>S</w:t>
            </w:r>
          </w:p>
        </w:tc>
        <w:tc>
          <w:tcPr>
            <w:tcW w:w="0" w:type="dxa"/>
            <w:tcBorders>
              <w:tl2br w:val="nil"/>
              <w:tr2bl w:val="nil"/>
            </w:tcBorders>
            <w:vAlign w:val="center"/>
          </w:tcPr>
          <w:p w14:paraId="3C3F99B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NH</w:t>
            </w:r>
            <w:r>
              <w:rPr>
                <w:rFonts w:hint="default" w:ascii="Times New Roman" w:hAnsi="Times New Roman" w:eastAsia="宋体" w:cs="Times New Roman"/>
                <w:b w:val="0"/>
                <w:sz w:val="21"/>
                <w:szCs w:val="21"/>
                <w:vertAlign w:val="subscript"/>
              </w:rPr>
              <w:t>3</w:t>
            </w:r>
          </w:p>
        </w:tc>
        <w:tc>
          <w:tcPr>
            <w:tcW w:w="0" w:type="dxa"/>
            <w:tcBorders>
              <w:tl2br w:val="nil"/>
              <w:tr2bl w:val="nil"/>
            </w:tcBorders>
            <w:vAlign w:val="center"/>
          </w:tcPr>
          <w:p w14:paraId="3BEC6A9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苯</w:t>
            </w:r>
          </w:p>
        </w:tc>
        <w:tc>
          <w:tcPr>
            <w:tcW w:w="0" w:type="dxa"/>
            <w:tcBorders>
              <w:tl2br w:val="nil"/>
              <w:tr2bl w:val="nil"/>
            </w:tcBorders>
            <w:vAlign w:val="center"/>
          </w:tcPr>
          <w:p w14:paraId="6AA1BF3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硫酸</w:t>
            </w:r>
          </w:p>
        </w:tc>
        <w:tc>
          <w:tcPr>
            <w:tcW w:w="0" w:type="dxa"/>
            <w:tcBorders>
              <w:tl2br w:val="nil"/>
              <w:tr2bl w:val="nil"/>
            </w:tcBorders>
            <w:vAlign w:val="center"/>
          </w:tcPr>
          <w:p w14:paraId="415EA30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TVOC</w:t>
            </w:r>
          </w:p>
        </w:tc>
      </w:tr>
      <w:tr w14:paraId="49574B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tcBorders>
              <w:tl2br w:val="nil"/>
              <w:tr2bl w:val="nil"/>
            </w:tcBorders>
            <w:vAlign w:val="center"/>
          </w:tcPr>
          <w:p w14:paraId="1198FBF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b w:val="0"/>
                <w:sz w:val="21"/>
                <w:szCs w:val="21"/>
              </w:rPr>
              <w:t>A栋</w:t>
            </w:r>
            <w:r>
              <w:rPr>
                <w:rFonts w:hint="default" w:ascii="Times New Roman" w:hAnsi="Times New Roman" w:eastAsia="宋体" w:cs="Times New Roman"/>
                <w:b w:val="0"/>
                <w:sz w:val="21"/>
                <w:szCs w:val="21"/>
                <w:lang w:eastAsia="zh-CN"/>
              </w:rPr>
              <w:t>危险废物综合处置车间</w:t>
            </w:r>
          </w:p>
        </w:tc>
        <w:tc>
          <w:tcPr>
            <w:tcW w:w="0" w:type="dxa"/>
            <w:tcBorders>
              <w:tl2br w:val="nil"/>
              <w:tr2bl w:val="nil"/>
            </w:tcBorders>
            <w:vAlign w:val="center"/>
          </w:tcPr>
          <w:p w14:paraId="7C1F871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112.627237</w:t>
            </w:r>
          </w:p>
        </w:tc>
        <w:tc>
          <w:tcPr>
            <w:tcW w:w="0" w:type="dxa"/>
            <w:tcBorders>
              <w:tl2br w:val="nil"/>
              <w:tr2bl w:val="nil"/>
            </w:tcBorders>
            <w:vAlign w:val="center"/>
          </w:tcPr>
          <w:p w14:paraId="50E48E5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26.974003</w:t>
            </w:r>
          </w:p>
        </w:tc>
        <w:tc>
          <w:tcPr>
            <w:tcW w:w="0" w:type="dxa"/>
            <w:tcBorders>
              <w:tl2br w:val="nil"/>
              <w:tr2bl w:val="nil"/>
            </w:tcBorders>
            <w:vAlign w:val="center"/>
          </w:tcPr>
          <w:p w14:paraId="6B9C9EB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72.00</w:t>
            </w:r>
          </w:p>
        </w:tc>
        <w:tc>
          <w:tcPr>
            <w:tcW w:w="0" w:type="dxa"/>
            <w:tcBorders>
              <w:tl2br w:val="nil"/>
              <w:tr2bl w:val="nil"/>
            </w:tcBorders>
            <w:vAlign w:val="center"/>
          </w:tcPr>
          <w:p w14:paraId="0FF2353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121.65</w:t>
            </w:r>
          </w:p>
        </w:tc>
        <w:tc>
          <w:tcPr>
            <w:tcW w:w="0" w:type="dxa"/>
            <w:tcBorders>
              <w:tl2br w:val="nil"/>
              <w:tr2bl w:val="nil"/>
            </w:tcBorders>
            <w:vAlign w:val="center"/>
          </w:tcPr>
          <w:p w14:paraId="0B8CCFF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71.32</w:t>
            </w:r>
          </w:p>
        </w:tc>
        <w:tc>
          <w:tcPr>
            <w:tcW w:w="0" w:type="dxa"/>
            <w:tcBorders>
              <w:tl2br w:val="nil"/>
              <w:tr2bl w:val="nil"/>
            </w:tcBorders>
            <w:vAlign w:val="center"/>
          </w:tcPr>
          <w:p w14:paraId="41CA4F6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10.00</w:t>
            </w:r>
          </w:p>
        </w:tc>
        <w:tc>
          <w:tcPr>
            <w:tcW w:w="0" w:type="dxa"/>
            <w:tcBorders>
              <w:tl2br w:val="nil"/>
              <w:tr2bl w:val="nil"/>
            </w:tcBorders>
            <w:vAlign w:val="center"/>
          </w:tcPr>
          <w:p w14:paraId="287394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0.0093</w:t>
            </w:r>
          </w:p>
        </w:tc>
        <w:tc>
          <w:tcPr>
            <w:tcW w:w="0" w:type="dxa"/>
            <w:tcBorders>
              <w:tl2br w:val="nil"/>
              <w:tr2bl w:val="nil"/>
            </w:tcBorders>
            <w:vAlign w:val="center"/>
          </w:tcPr>
          <w:p w14:paraId="30CB614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0.0093</w:t>
            </w:r>
          </w:p>
        </w:tc>
        <w:tc>
          <w:tcPr>
            <w:tcW w:w="0" w:type="dxa"/>
            <w:tcBorders>
              <w:tl2br w:val="nil"/>
              <w:tr2bl w:val="nil"/>
            </w:tcBorders>
            <w:vAlign w:val="center"/>
          </w:tcPr>
          <w:p w14:paraId="257E16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w:t>
            </w:r>
          </w:p>
        </w:tc>
        <w:tc>
          <w:tcPr>
            <w:tcW w:w="0" w:type="dxa"/>
            <w:tcBorders>
              <w:tl2br w:val="nil"/>
              <w:tr2bl w:val="nil"/>
            </w:tcBorders>
            <w:vAlign w:val="center"/>
          </w:tcPr>
          <w:p w14:paraId="44FB3F1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w:t>
            </w:r>
          </w:p>
        </w:tc>
        <w:tc>
          <w:tcPr>
            <w:tcW w:w="0" w:type="dxa"/>
            <w:tcBorders>
              <w:tl2br w:val="nil"/>
              <w:tr2bl w:val="nil"/>
            </w:tcBorders>
            <w:vAlign w:val="center"/>
          </w:tcPr>
          <w:p w14:paraId="69DABF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0.0093</w:t>
            </w:r>
          </w:p>
        </w:tc>
        <w:tc>
          <w:tcPr>
            <w:tcW w:w="0" w:type="dxa"/>
            <w:tcBorders>
              <w:tl2br w:val="nil"/>
              <w:tr2bl w:val="nil"/>
            </w:tcBorders>
            <w:vAlign w:val="center"/>
          </w:tcPr>
          <w:p w14:paraId="390FF3C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sz w:val="21"/>
                <w:szCs w:val="21"/>
              </w:rPr>
              <w:t>0.00</w:t>
            </w:r>
            <w:r>
              <w:rPr>
                <w:rFonts w:hint="default" w:ascii="Times New Roman" w:hAnsi="Times New Roman" w:eastAsia="宋体" w:cs="Times New Roman"/>
                <w:b w:val="0"/>
                <w:sz w:val="21"/>
                <w:szCs w:val="21"/>
                <w:lang w:val="en-US" w:eastAsia="zh-CN"/>
              </w:rPr>
              <w:t>22</w:t>
            </w:r>
          </w:p>
        </w:tc>
        <w:tc>
          <w:tcPr>
            <w:tcW w:w="0" w:type="dxa"/>
            <w:tcBorders>
              <w:tl2br w:val="nil"/>
              <w:tr2bl w:val="nil"/>
            </w:tcBorders>
            <w:vAlign w:val="center"/>
          </w:tcPr>
          <w:p w14:paraId="22FB55D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0.2120</w:t>
            </w:r>
          </w:p>
        </w:tc>
      </w:tr>
      <w:tr w14:paraId="14C669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0" w:type="dxa"/>
            <w:tcBorders>
              <w:tl2br w:val="nil"/>
              <w:tr2bl w:val="nil"/>
            </w:tcBorders>
            <w:vAlign w:val="center"/>
          </w:tcPr>
          <w:p w14:paraId="4CB4CBA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污水处理站</w:t>
            </w:r>
          </w:p>
        </w:tc>
        <w:tc>
          <w:tcPr>
            <w:tcW w:w="0" w:type="dxa"/>
            <w:tcBorders>
              <w:tl2br w:val="nil"/>
              <w:tr2bl w:val="nil"/>
            </w:tcBorders>
            <w:vAlign w:val="center"/>
          </w:tcPr>
          <w:p w14:paraId="79345A7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112.628258</w:t>
            </w:r>
          </w:p>
        </w:tc>
        <w:tc>
          <w:tcPr>
            <w:tcW w:w="0" w:type="dxa"/>
            <w:tcBorders>
              <w:tl2br w:val="nil"/>
              <w:tr2bl w:val="nil"/>
            </w:tcBorders>
            <w:vAlign w:val="center"/>
          </w:tcPr>
          <w:p w14:paraId="65E57E6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26.97289</w:t>
            </w:r>
          </w:p>
        </w:tc>
        <w:tc>
          <w:tcPr>
            <w:tcW w:w="0" w:type="dxa"/>
            <w:tcBorders>
              <w:tl2br w:val="nil"/>
              <w:tr2bl w:val="nil"/>
            </w:tcBorders>
            <w:vAlign w:val="center"/>
          </w:tcPr>
          <w:p w14:paraId="60FCB78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65.00</w:t>
            </w:r>
          </w:p>
        </w:tc>
        <w:tc>
          <w:tcPr>
            <w:tcW w:w="0" w:type="dxa"/>
            <w:tcBorders>
              <w:tl2br w:val="nil"/>
              <w:tr2bl w:val="nil"/>
            </w:tcBorders>
            <w:vAlign w:val="center"/>
          </w:tcPr>
          <w:p w14:paraId="2A866F9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10.64</w:t>
            </w:r>
          </w:p>
        </w:tc>
        <w:tc>
          <w:tcPr>
            <w:tcW w:w="0" w:type="dxa"/>
            <w:tcBorders>
              <w:tl2br w:val="nil"/>
              <w:tr2bl w:val="nil"/>
            </w:tcBorders>
            <w:vAlign w:val="center"/>
          </w:tcPr>
          <w:p w14:paraId="6C0F972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10.08</w:t>
            </w:r>
          </w:p>
        </w:tc>
        <w:tc>
          <w:tcPr>
            <w:tcW w:w="0" w:type="dxa"/>
            <w:tcBorders>
              <w:tl2br w:val="nil"/>
              <w:tr2bl w:val="nil"/>
            </w:tcBorders>
            <w:vAlign w:val="center"/>
          </w:tcPr>
          <w:p w14:paraId="394C68D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3.00</w:t>
            </w:r>
          </w:p>
        </w:tc>
        <w:tc>
          <w:tcPr>
            <w:tcW w:w="0" w:type="dxa"/>
            <w:tcBorders>
              <w:tl2br w:val="nil"/>
              <w:tr2bl w:val="nil"/>
            </w:tcBorders>
            <w:vAlign w:val="center"/>
          </w:tcPr>
          <w:p w14:paraId="36FBDEE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w:t>
            </w:r>
          </w:p>
        </w:tc>
        <w:tc>
          <w:tcPr>
            <w:tcW w:w="0" w:type="dxa"/>
            <w:tcBorders>
              <w:tl2br w:val="nil"/>
              <w:tr2bl w:val="nil"/>
            </w:tcBorders>
            <w:vAlign w:val="center"/>
          </w:tcPr>
          <w:p w14:paraId="632369A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w:t>
            </w:r>
          </w:p>
        </w:tc>
        <w:tc>
          <w:tcPr>
            <w:tcW w:w="0" w:type="dxa"/>
            <w:tcBorders>
              <w:tl2br w:val="nil"/>
              <w:tr2bl w:val="nil"/>
            </w:tcBorders>
            <w:vAlign w:val="center"/>
          </w:tcPr>
          <w:p w14:paraId="5B5AAAC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0.0000</w:t>
            </w:r>
          </w:p>
        </w:tc>
        <w:tc>
          <w:tcPr>
            <w:tcW w:w="0" w:type="dxa"/>
            <w:tcBorders>
              <w:tl2br w:val="nil"/>
              <w:tr2bl w:val="nil"/>
            </w:tcBorders>
            <w:vAlign w:val="center"/>
          </w:tcPr>
          <w:p w14:paraId="6226045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0.0007</w:t>
            </w:r>
          </w:p>
        </w:tc>
        <w:tc>
          <w:tcPr>
            <w:tcW w:w="0" w:type="dxa"/>
            <w:tcBorders>
              <w:tl2br w:val="nil"/>
              <w:tr2bl w:val="nil"/>
            </w:tcBorders>
            <w:vAlign w:val="center"/>
          </w:tcPr>
          <w:p w14:paraId="707A3A0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w:t>
            </w:r>
          </w:p>
        </w:tc>
        <w:tc>
          <w:tcPr>
            <w:tcW w:w="0" w:type="dxa"/>
            <w:tcBorders>
              <w:tl2br w:val="nil"/>
              <w:tr2bl w:val="nil"/>
            </w:tcBorders>
            <w:vAlign w:val="center"/>
          </w:tcPr>
          <w:p w14:paraId="13F9189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w:t>
            </w:r>
          </w:p>
        </w:tc>
        <w:tc>
          <w:tcPr>
            <w:tcW w:w="0" w:type="dxa"/>
            <w:tcBorders>
              <w:tl2br w:val="nil"/>
              <w:tr2bl w:val="nil"/>
            </w:tcBorders>
            <w:vAlign w:val="center"/>
          </w:tcPr>
          <w:p w14:paraId="3B6BD72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b w:val="0"/>
                <w:sz w:val="21"/>
                <w:szCs w:val="21"/>
              </w:rPr>
              <w:t>-</w:t>
            </w:r>
          </w:p>
        </w:tc>
      </w:tr>
    </w:tbl>
    <w:p w14:paraId="45352823">
      <w:pPr>
        <w:pStyle w:val="53"/>
        <w:rPr>
          <w:rFonts w:hint="default" w:ascii="Times New Roman" w:hAnsi="Times New Roman" w:eastAsia="宋体" w:cs="Times New Roman"/>
        </w:rPr>
      </w:pPr>
      <w:r>
        <w:rPr>
          <w:rFonts w:hint="default" w:ascii="Times New Roman" w:hAnsi="Times New Roman" w:eastAsia="宋体" w:cs="Times New Roman"/>
        </w:rPr>
        <w:t>采用大气预测软件AERSCREEN模型估算，非正常排放下计算结果如下：</w:t>
      </w:r>
    </w:p>
    <w:p w14:paraId="1BF10184">
      <w:pPr>
        <w:widowControl/>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b/>
          <w:bCs/>
          <w:color w:val="000000"/>
          <w:szCs w:val="21"/>
        </w:rPr>
        <w:t>表7.2-8  大气影响预测结果（非正常工况）</w:t>
      </w:r>
    </w:p>
    <w:tbl>
      <w:tblPr>
        <w:tblStyle w:val="32"/>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52"/>
        <w:gridCol w:w="1418"/>
        <w:gridCol w:w="1367"/>
        <w:gridCol w:w="1952"/>
        <w:gridCol w:w="1436"/>
        <w:gridCol w:w="1188"/>
      </w:tblGrid>
      <w:tr w14:paraId="5D7D5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tcBorders>
              <w:tl2br w:val="nil"/>
              <w:tr2bl w:val="nil"/>
            </w:tcBorders>
            <w:vAlign w:val="center"/>
          </w:tcPr>
          <w:p w14:paraId="297A183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sz w:val="23"/>
                <w:szCs w:val="23"/>
              </w:rPr>
              <w:t>污染源名称</w:t>
            </w:r>
          </w:p>
        </w:tc>
        <w:tc>
          <w:tcPr>
            <w:tcW w:w="780" w:type="pct"/>
            <w:tcBorders>
              <w:tl2br w:val="nil"/>
              <w:tr2bl w:val="nil"/>
            </w:tcBorders>
            <w:vAlign w:val="center"/>
          </w:tcPr>
          <w:p w14:paraId="6E1AB47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sz w:val="23"/>
                <w:szCs w:val="23"/>
              </w:rPr>
              <w:t>评价因子</w:t>
            </w:r>
          </w:p>
        </w:tc>
        <w:tc>
          <w:tcPr>
            <w:tcW w:w="752" w:type="pct"/>
            <w:tcBorders>
              <w:tl2br w:val="nil"/>
              <w:tr2bl w:val="nil"/>
            </w:tcBorders>
            <w:vAlign w:val="center"/>
          </w:tcPr>
          <w:p w14:paraId="037DF5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sz w:val="23"/>
                <w:szCs w:val="23"/>
              </w:rPr>
              <w:t>评价标准(μg/m³)</w:t>
            </w:r>
          </w:p>
        </w:tc>
        <w:tc>
          <w:tcPr>
            <w:tcW w:w="1072" w:type="pct"/>
            <w:tcBorders>
              <w:tl2br w:val="nil"/>
              <w:tr2bl w:val="nil"/>
            </w:tcBorders>
            <w:vAlign w:val="center"/>
          </w:tcPr>
          <w:p w14:paraId="12127D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sz w:val="23"/>
                <w:szCs w:val="23"/>
              </w:rPr>
              <w:t>Cmax(μg/m³)</w:t>
            </w:r>
          </w:p>
        </w:tc>
        <w:tc>
          <w:tcPr>
            <w:tcW w:w="789" w:type="pct"/>
            <w:tcBorders>
              <w:tl2br w:val="nil"/>
              <w:tr2bl w:val="nil"/>
            </w:tcBorders>
            <w:vAlign w:val="center"/>
          </w:tcPr>
          <w:p w14:paraId="5A55DFF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sz w:val="23"/>
                <w:szCs w:val="23"/>
              </w:rPr>
              <w:t>Pmax(%)</w:t>
            </w:r>
          </w:p>
        </w:tc>
        <w:tc>
          <w:tcPr>
            <w:tcW w:w="641" w:type="pct"/>
            <w:tcBorders>
              <w:tl2br w:val="nil"/>
              <w:tr2bl w:val="nil"/>
            </w:tcBorders>
            <w:vAlign w:val="center"/>
          </w:tcPr>
          <w:p w14:paraId="763B3A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b/>
                <w:bCs/>
              </w:rPr>
            </w:pPr>
            <w:r>
              <w:rPr>
                <w:rFonts w:hint="default" w:ascii="Times New Roman" w:hAnsi="Times New Roman" w:eastAsia="宋体" w:cs="Times New Roman"/>
                <w:b/>
                <w:bCs/>
                <w:sz w:val="23"/>
                <w:szCs w:val="23"/>
              </w:rPr>
              <w:t>D10%(m)</w:t>
            </w:r>
          </w:p>
        </w:tc>
      </w:tr>
      <w:tr w14:paraId="16FCE3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restart"/>
            <w:tcBorders>
              <w:tl2br w:val="nil"/>
              <w:tr2bl w:val="nil"/>
            </w:tcBorders>
            <w:vAlign w:val="center"/>
          </w:tcPr>
          <w:p w14:paraId="0E52C13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污水处理站</w:t>
            </w:r>
          </w:p>
        </w:tc>
        <w:tc>
          <w:tcPr>
            <w:tcW w:w="780" w:type="pct"/>
            <w:tcBorders>
              <w:tl2br w:val="nil"/>
              <w:tr2bl w:val="nil"/>
            </w:tcBorders>
            <w:vAlign w:val="center"/>
          </w:tcPr>
          <w:p w14:paraId="45221CF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NH</w:t>
            </w:r>
            <w:r>
              <w:rPr>
                <w:rFonts w:hint="default" w:ascii="Times New Roman" w:hAnsi="Times New Roman" w:eastAsia="宋体" w:cs="Times New Roman"/>
                <w:b w:val="0"/>
                <w:sz w:val="23"/>
                <w:szCs w:val="23"/>
                <w:vertAlign w:val="subscript"/>
              </w:rPr>
              <w:t>3</w:t>
            </w:r>
          </w:p>
        </w:tc>
        <w:tc>
          <w:tcPr>
            <w:tcW w:w="752" w:type="pct"/>
            <w:tcBorders>
              <w:tl2br w:val="nil"/>
              <w:tr2bl w:val="nil"/>
            </w:tcBorders>
            <w:vAlign w:val="center"/>
          </w:tcPr>
          <w:p w14:paraId="770D36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200.0</w:t>
            </w:r>
          </w:p>
        </w:tc>
        <w:tc>
          <w:tcPr>
            <w:tcW w:w="1072" w:type="pct"/>
            <w:tcBorders>
              <w:tl2br w:val="nil"/>
              <w:tr2bl w:val="nil"/>
            </w:tcBorders>
            <w:vAlign w:val="center"/>
          </w:tcPr>
          <w:p w14:paraId="78886C9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8.6543</w:t>
            </w:r>
          </w:p>
        </w:tc>
        <w:tc>
          <w:tcPr>
            <w:tcW w:w="789" w:type="pct"/>
            <w:tcBorders>
              <w:tl2br w:val="nil"/>
              <w:tr2bl w:val="nil"/>
            </w:tcBorders>
            <w:vAlign w:val="center"/>
          </w:tcPr>
          <w:p w14:paraId="059E1C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4.3271</w:t>
            </w:r>
          </w:p>
        </w:tc>
        <w:tc>
          <w:tcPr>
            <w:tcW w:w="641" w:type="pct"/>
            <w:tcBorders>
              <w:tl2br w:val="nil"/>
              <w:tr2bl w:val="nil"/>
            </w:tcBorders>
            <w:vAlign w:val="center"/>
          </w:tcPr>
          <w:p w14:paraId="148C75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27EBE9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5F35B1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p>
        </w:tc>
        <w:tc>
          <w:tcPr>
            <w:tcW w:w="780" w:type="pct"/>
            <w:tcBorders>
              <w:tl2br w:val="nil"/>
              <w:tr2bl w:val="nil"/>
            </w:tcBorders>
            <w:vAlign w:val="center"/>
          </w:tcPr>
          <w:p w14:paraId="644F8E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H</w:t>
            </w:r>
            <w:r>
              <w:rPr>
                <w:rFonts w:hint="default" w:ascii="Times New Roman" w:hAnsi="Times New Roman" w:eastAsia="宋体" w:cs="Times New Roman"/>
                <w:b w:val="0"/>
                <w:sz w:val="23"/>
                <w:szCs w:val="23"/>
                <w:vertAlign w:val="subscript"/>
              </w:rPr>
              <w:t>2</w:t>
            </w:r>
            <w:r>
              <w:rPr>
                <w:rFonts w:hint="default" w:ascii="Times New Roman" w:hAnsi="Times New Roman" w:eastAsia="宋体" w:cs="Times New Roman"/>
                <w:b w:val="0"/>
                <w:sz w:val="23"/>
                <w:szCs w:val="23"/>
              </w:rPr>
              <w:t>S</w:t>
            </w:r>
          </w:p>
        </w:tc>
        <w:tc>
          <w:tcPr>
            <w:tcW w:w="752" w:type="pct"/>
            <w:tcBorders>
              <w:tl2br w:val="nil"/>
              <w:tr2bl w:val="nil"/>
            </w:tcBorders>
            <w:vAlign w:val="center"/>
          </w:tcPr>
          <w:p w14:paraId="69CFEA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10.0</w:t>
            </w:r>
          </w:p>
        </w:tc>
        <w:tc>
          <w:tcPr>
            <w:tcW w:w="1072" w:type="pct"/>
            <w:tcBorders>
              <w:tl2br w:val="nil"/>
              <w:tr2bl w:val="nil"/>
            </w:tcBorders>
            <w:vAlign w:val="center"/>
          </w:tcPr>
          <w:p w14:paraId="1E1E48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0.2623</w:t>
            </w:r>
          </w:p>
        </w:tc>
        <w:tc>
          <w:tcPr>
            <w:tcW w:w="789" w:type="pct"/>
            <w:tcBorders>
              <w:tl2br w:val="nil"/>
              <w:tr2bl w:val="nil"/>
            </w:tcBorders>
            <w:vAlign w:val="center"/>
          </w:tcPr>
          <w:p w14:paraId="6F45C7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2.6225</w:t>
            </w:r>
          </w:p>
        </w:tc>
        <w:tc>
          <w:tcPr>
            <w:tcW w:w="641" w:type="pct"/>
            <w:tcBorders>
              <w:tl2br w:val="nil"/>
              <w:tr2bl w:val="nil"/>
            </w:tcBorders>
            <w:vAlign w:val="center"/>
          </w:tcPr>
          <w:p w14:paraId="77D0F1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06DE6B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restart"/>
            <w:tcBorders>
              <w:tl2br w:val="nil"/>
              <w:tr2bl w:val="nil"/>
            </w:tcBorders>
            <w:vAlign w:val="center"/>
          </w:tcPr>
          <w:p w14:paraId="1BAC98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lang w:eastAsia="zh-CN"/>
              </w:rPr>
            </w:pPr>
            <w:r>
              <w:rPr>
                <w:rFonts w:hint="default" w:ascii="Times New Roman" w:hAnsi="Times New Roman" w:eastAsia="宋体" w:cs="Times New Roman"/>
                <w:b w:val="0"/>
                <w:sz w:val="23"/>
                <w:szCs w:val="23"/>
              </w:rPr>
              <w:t>A栋</w:t>
            </w:r>
            <w:r>
              <w:rPr>
                <w:rFonts w:hint="default" w:ascii="Times New Roman" w:hAnsi="Times New Roman" w:eastAsia="宋体" w:cs="Times New Roman"/>
                <w:b w:val="0"/>
                <w:sz w:val="23"/>
                <w:szCs w:val="23"/>
                <w:lang w:eastAsia="zh-CN"/>
              </w:rPr>
              <w:t>危险废物综合处置车间</w:t>
            </w:r>
          </w:p>
        </w:tc>
        <w:tc>
          <w:tcPr>
            <w:tcW w:w="780" w:type="pct"/>
            <w:tcBorders>
              <w:tl2br w:val="nil"/>
              <w:tr2bl w:val="nil"/>
            </w:tcBorders>
            <w:vAlign w:val="center"/>
          </w:tcPr>
          <w:p w14:paraId="5F3A5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TVOC</w:t>
            </w:r>
          </w:p>
        </w:tc>
        <w:tc>
          <w:tcPr>
            <w:tcW w:w="752" w:type="pct"/>
            <w:tcBorders>
              <w:tl2br w:val="nil"/>
              <w:tr2bl w:val="nil"/>
            </w:tcBorders>
            <w:vAlign w:val="center"/>
          </w:tcPr>
          <w:p w14:paraId="286B52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1200.0</w:t>
            </w:r>
          </w:p>
        </w:tc>
        <w:tc>
          <w:tcPr>
            <w:tcW w:w="1072" w:type="pct"/>
            <w:tcBorders>
              <w:tl2br w:val="nil"/>
              <w:tr2bl w:val="nil"/>
            </w:tcBorders>
            <w:vAlign w:val="center"/>
          </w:tcPr>
          <w:p w14:paraId="5CC928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90.7270</w:t>
            </w:r>
          </w:p>
        </w:tc>
        <w:tc>
          <w:tcPr>
            <w:tcW w:w="789" w:type="pct"/>
            <w:tcBorders>
              <w:tl2br w:val="nil"/>
              <w:tr2bl w:val="nil"/>
            </w:tcBorders>
            <w:vAlign w:val="center"/>
          </w:tcPr>
          <w:p w14:paraId="2A60400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7.5606</w:t>
            </w:r>
          </w:p>
        </w:tc>
        <w:tc>
          <w:tcPr>
            <w:tcW w:w="641" w:type="pct"/>
            <w:tcBorders>
              <w:tl2br w:val="nil"/>
              <w:tr2bl w:val="nil"/>
            </w:tcBorders>
            <w:vAlign w:val="center"/>
          </w:tcPr>
          <w:p w14:paraId="14F5F7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6B25E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13B02F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p>
        </w:tc>
        <w:tc>
          <w:tcPr>
            <w:tcW w:w="780" w:type="pct"/>
            <w:tcBorders>
              <w:tl2br w:val="nil"/>
              <w:tr2bl w:val="nil"/>
            </w:tcBorders>
            <w:vAlign w:val="center"/>
          </w:tcPr>
          <w:p w14:paraId="77E602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苯</w:t>
            </w:r>
          </w:p>
        </w:tc>
        <w:tc>
          <w:tcPr>
            <w:tcW w:w="752" w:type="pct"/>
            <w:tcBorders>
              <w:tl2br w:val="nil"/>
              <w:tr2bl w:val="nil"/>
            </w:tcBorders>
            <w:vAlign w:val="center"/>
          </w:tcPr>
          <w:p w14:paraId="30278CC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110.0</w:t>
            </w:r>
          </w:p>
        </w:tc>
        <w:tc>
          <w:tcPr>
            <w:tcW w:w="1072" w:type="pct"/>
            <w:tcBorders>
              <w:tl2br w:val="nil"/>
              <w:tr2bl w:val="nil"/>
            </w:tcBorders>
            <w:vAlign w:val="center"/>
          </w:tcPr>
          <w:p w14:paraId="0A4AD8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3.9800</w:t>
            </w:r>
          </w:p>
        </w:tc>
        <w:tc>
          <w:tcPr>
            <w:tcW w:w="789" w:type="pct"/>
            <w:tcBorders>
              <w:tl2br w:val="nil"/>
              <w:tr2bl w:val="nil"/>
            </w:tcBorders>
            <w:vAlign w:val="center"/>
          </w:tcPr>
          <w:p w14:paraId="73844B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3.6182</w:t>
            </w:r>
          </w:p>
        </w:tc>
        <w:tc>
          <w:tcPr>
            <w:tcW w:w="641" w:type="pct"/>
            <w:tcBorders>
              <w:tl2br w:val="nil"/>
              <w:tr2bl w:val="nil"/>
            </w:tcBorders>
            <w:vAlign w:val="center"/>
          </w:tcPr>
          <w:p w14:paraId="6D6835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6CAEF5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2F37B7F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p>
        </w:tc>
        <w:tc>
          <w:tcPr>
            <w:tcW w:w="780" w:type="pct"/>
            <w:tcBorders>
              <w:tl2br w:val="nil"/>
              <w:tr2bl w:val="nil"/>
            </w:tcBorders>
            <w:vAlign w:val="center"/>
          </w:tcPr>
          <w:p w14:paraId="59CBE9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甲苯</w:t>
            </w:r>
          </w:p>
        </w:tc>
        <w:tc>
          <w:tcPr>
            <w:tcW w:w="752" w:type="pct"/>
            <w:tcBorders>
              <w:tl2br w:val="nil"/>
              <w:tr2bl w:val="nil"/>
            </w:tcBorders>
            <w:vAlign w:val="center"/>
          </w:tcPr>
          <w:p w14:paraId="13937D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200.0</w:t>
            </w:r>
          </w:p>
        </w:tc>
        <w:tc>
          <w:tcPr>
            <w:tcW w:w="1072" w:type="pct"/>
            <w:tcBorders>
              <w:tl2br w:val="nil"/>
              <w:tr2bl w:val="nil"/>
            </w:tcBorders>
            <w:vAlign w:val="center"/>
          </w:tcPr>
          <w:p w14:paraId="18D708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3.9800</w:t>
            </w:r>
          </w:p>
        </w:tc>
        <w:tc>
          <w:tcPr>
            <w:tcW w:w="789" w:type="pct"/>
            <w:tcBorders>
              <w:tl2br w:val="nil"/>
              <w:tr2bl w:val="nil"/>
            </w:tcBorders>
            <w:vAlign w:val="center"/>
          </w:tcPr>
          <w:p w14:paraId="6FFBCD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1.9900</w:t>
            </w:r>
          </w:p>
        </w:tc>
        <w:tc>
          <w:tcPr>
            <w:tcW w:w="641" w:type="pct"/>
            <w:tcBorders>
              <w:tl2br w:val="nil"/>
              <w:tr2bl w:val="nil"/>
            </w:tcBorders>
            <w:vAlign w:val="center"/>
          </w:tcPr>
          <w:p w14:paraId="08C2CD1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3867B1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44F555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p>
        </w:tc>
        <w:tc>
          <w:tcPr>
            <w:tcW w:w="780" w:type="pct"/>
            <w:tcBorders>
              <w:tl2br w:val="nil"/>
              <w:tr2bl w:val="nil"/>
            </w:tcBorders>
            <w:vAlign w:val="center"/>
          </w:tcPr>
          <w:p w14:paraId="193A64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二甲苯</w:t>
            </w:r>
          </w:p>
        </w:tc>
        <w:tc>
          <w:tcPr>
            <w:tcW w:w="752" w:type="pct"/>
            <w:tcBorders>
              <w:tl2br w:val="nil"/>
              <w:tr2bl w:val="nil"/>
            </w:tcBorders>
            <w:vAlign w:val="center"/>
          </w:tcPr>
          <w:p w14:paraId="120DF3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200.0</w:t>
            </w:r>
          </w:p>
        </w:tc>
        <w:tc>
          <w:tcPr>
            <w:tcW w:w="1072" w:type="pct"/>
            <w:tcBorders>
              <w:tl2br w:val="nil"/>
              <w:tr2bl w:val="nil"/>
            </w:tcBorders>
            <w:vAlign w:val="center"/>
          </w:tcPr>
          <w:p w14:paraId="74BDB9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3.9800</w:t>
            </w:r>
          </w:p>
        </w:tc>
        <w:tc>
          <w:tcPr>
            <w:tcW w:w="789" w:type="pct"/>
            <w:tcBorders>
              <w:tl2br w:val="nil"/>
              <w:tr2bl w:val="nil"/>
            </w:tcBorders>
            <w:vAlign w:val="center"/>
          </w:tcPr>
          <w:p w14:paraId="2C0681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1.9900</w:t>
            </w:r>
          </w:p>
        </w:tc>
        <w:tc>
          <w:tcPr>
            <w:tcW w:w="641" w:type="pct"/>
            <w:tcBorders>
              <w:tl2br w:val="nil"/>
              <w:tr2bl w:val="nil"/>
            </w:tcBorders>
            <w:vAlign w:val="center"/>
          </w:tcPr>
          <w:p w14:paraId="36189F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3EF1F5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27F05A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p>
        </w:tc>
        <w:tc>
          <w:tcPr>
            <w:tcW w:w="780" w:type="pct"/>
            <w:tcBorders>
              <w:tl2br w:val="nil"/>
              <w:tr2bl w:val="nil"/>
            </w:tcBorders>
            <w:vAlign w:val="center"/>
          </w:tcPr>
          <w:p w14:paraId="537E138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硫酸</w:t>
            </w:r>
          </w:p>
        </w:tc>
        <w:tc>
          <w:tcPr>
            <w:tcW w:w="752" w:type="pct"/>
            <w:tcBorders>
              <w:tl2br w:val="nil"/>
              <w:tr2bl w:val="nil"/>
            </w:tcBorders>
            <w:vAlign w:val="center"/>
          </w:tcPr>
          <w:p w14:paraId="5075F0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300.0</w:t>
            </w:r>
          </w:p>
        </w:tc>
        <w:tc>
          <w:tcPr>
            <w:tcW w:w="1072" w:type="pct"/>
            <w:tcBorders>
              <w:tl2br w:val="nil"/>
              <w:tr2bl w:val="nil"/>
            </w:tcBorders>
            <w:vAlign w:val="center"/>
          </w:tcPr>
          <w:p w14:paraId="7DF915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0.7703</w:t>
            </w:r>
          </w:p>
        </w:tc>
        <w:tc>
          <w:tcPr>
            <w:tcW w:w="789" w:type="pct"/>
            <w:tcBorders>
              <w:tl2br w:val="nil"/>
              <w:tr2bl w:val="nil"/>
            </w:tcBorders>
            <w:vAlign w:val="center"/>
          </w:tcPr>
          <w:p w14:paraId="4D5255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0.2568</w:t>
            </w:r>
          </w:p>
        </w:tc>
        <w:tc>
          <w:tcPr>
            <w:tcW w:w="641" w:type="pct"/>
            <w:tcBorders>
              <w:tl2br w:val="nil"/>
              <w:tr2bl w:val="nil"/>
            </w:tcBorders>
            <w:vAlign w:val="center"/>
          </w:tcPr>
          <w:p w14:paraId="45B906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4BD7E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restart"/>
            <w:tcBorders>
              <w:tl2br w:val="nil"/>
              <w:tr2bl w:val="nil"/>
            </w:tcBorders>
            <w:vAlign w:val="center"/>
          </w:tcPr>
          <w:p w14:paraId="5C9A18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DA001</w:t>
            </w:r>
          </w:p>
        </w:tc>
        <w:tc>
          <w:tcPr>
            <w:tcW w:w="780" w:type="pct"/>
            <w:tcBorders>
              <w:tl2br w:val="nil"/>
              <w:tr2bl w:val="nil"/>
            </w:tcBorders>
            <w:vAlign w:val="center"/>
          </w:tcPr>
          <w:p w14:paraId="2C74F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TVOC</w:t>
            </w:r>
          </w:p>
        </w:tc>
        <w:tc>
          <w:tcPr>
            <w:tcW w:w="752" w:type="pct"/>
            <w:tcBorders>
              <w:tl2br w:val="nil"/>
              <w:tr2bl w:val="nil"/>
            </w:tcBorders>
            <w:vAlign w:val="center"/>
          </w:tcPr>
          <w:p w14:paraId="11E828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1200.0</w:t>
            </w:r>
          </w:p>
        </w:tc>
        <w:tc>
          <w:tcPr>
            <w:tcW w:w="1072" w:type="pct"/>
            <w:tcBorders>
              <w:tl2br w:val="nil"/>
              <w:tr2bl w:val="nil"/>
            </w:tcBorders>
            <w:vAlign w:val="center"/>
          </w:tcPr>
          <w:p w14:paraId="7C65EB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58</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749</w:t>
            </w:r>
          </w:p>
        </w:tc>
        <w:tc>
          <w:tcPr>
            <w:tcW w:w="789" w:type="pct"/>
            <w:tcBorders>
              <w:tl2br w:val="nil"/>
              <w:tr2bl w:val="nil"/>
            </w:tcBorders>
            <w:vAlign w:val="center"/>
          </w:tcPr>
          <w:p w14:paraId="10AFF9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4</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896</w:t>
            </w:r>
          </w:p>
        </w:tc>
        <w:tc>
          <w:tcPr>
            <w:tcW w:w="641" w:type="pct"/>
            <w:tcBorders>
              <w:tl2br w:val="nil"/>
              <w:tr2bl w:val="nil"/>
            </w:tcBorders>
            <w:vAlign w:val="center"/>
          </w:tcPr>
          <w:p w14:paraId="57B0C66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72403ED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47C6F5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p>
        </w:tc>
        <w:tc>
          <w:tcPr>
            <w:tcW w:w="780" w:type="pct"/>
            <w:tcBorders>
              <w:tl2br w:val="nil"/>
              <w:tr2bl w:val="nil"/>
            </w:tcBorders>
            <w:vAlign w:val="center"/>
          </w:tcPr>
          <w:p w14:paraId="2DDBF4F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苯</w:t>
            </w:r>
          </w:p>
        </w:tc>
        <w:tc>
          <w:tcPr>
            <w:tcW w:w="752" w:type="pct"/>
            <w:tcBorders>
              <w:tl2br w:val="nil"/>
              <w:tr2bl w:val="nil"/>
            </w:tcBorders>
            <w:vAlign w:val="center"/>
          </w:tcPr>
          <w:p w14:paraId="3D8CAB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110.0</w:t>
            </w:r>
          </w:p>
        </w:tc>
        <w:tc>
          <w:tcPr>
            <w:tcW w:w="1072" w:type="pct"/>
            <w:tcBorders>
              <w:tl2br w:val="nil"/>
              <w:tr2bl w:val="nil"/>
            </w:tcBorders>
            <w:vAlign w:val="center"/>
          </w:tcPr>
          <w:p w14:paraId="6879F64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762</w:t>
            </w:r>
          </w:p>
        </w:tc>
        <w:tc>
          <w:tcPr>
            <w:tcW w:w="789" w:type="pct"/>
            <w:tcBorders>
              <w:tl2br w:val="nil"/>
              <w:tr2bl w:val="nil"/>
            </w:tcBorders>
            <w:vAlign w:val="center"/>
          </w:tcPr>
          <w:p w14:paraId="2B28FD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602</w:t>
            </w:r>
          </w:p>
        </w:tc>
        <w:tc>
          <w:tcPr>
            <w:tcW w:w="641" w:type="pct"/>
            <w:tcBorders>
              <w:tl2br w:val="nil"/>
              <w:tr2bl w:val="nil"/>
            </w:tcBorders>
            <w:vAlign w:val="center"/>
          </w:tcPr>
          <w:p w14:paraId="20607A2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2B1A8A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771E67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p>
        </w:tc>
        <w:tc>
          <w:tcPr>
            <w:tcW w:w="780" w:type="pct"/>
            <w:tcBorders>
              <w:tl2br w:val="nil"/>
              <w:tr2bl w:val="nil"/>
            </w:tcBorders>
            <w:vAlign w:val="center"/>
          </w:tcPr>
          <w:p w14:paraId="7471E1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甲苯</w:t>
            </w:r>
          </w:p>
        </w:tc>
        <w:tc>
          <w:tcPr>
            <w:tcW w:w="752" w:type="pct"/>
            <w:tcBorders>
              <w:tl2br w:val="nil"/>
              <w:tr2bl w:val="nil"/>
            </w:tcBorders>
            <w:vAlign w:val="center"/>
          </w:tcPr>
          <w:p w14:paraId="620C8A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200.0</w:t>
            </w:r>
          </w:p>
        </w:tc>
        <w:tc>
          <w:tcPr>
            <w:tcW w:w="1072" w:type="pct"/>
            <w:tcBorders>
              <w:tl2br w:val="nil"/>
              <w:tr2bl w:val="nil"/>
            </w:tcBorders>
            <w:vAlign w:val="center"/>
          </w:tcPr>
          <w:p w14:paraId="0368BE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762</w:t>
            </w:r>
          </w:p>
        </w:tc>
        <w:tc>
          <w:tcPr>
            <w:tcW w:w="789" w:type="pct"/>
            <w:tcBorders>
              <w:tl2br w:val="nil"/>
              <w:tr2bl w:val="nil"/>
            </w:tcBorders>
            <w:vAlign w:val="center"/>
          </w:tcPr>
          <w:p w14:paraId="3E4E838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0</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881</w:t>
            </w:r>
          </w:p>
        </w:tc>
        <w:tc>
          <w:tcPr>
            <w:tcW w:w="641" w:type="pct"/>
            <w:tcBorders>
              <w:tl2br w:val="nil"/>
              <w:tr2bl w:val="nil"/>
            </w:tcBorders>
            <w:vAlign w:val="center"/>
          </w:tcPr>
          <w:p w14:paraId="390C35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659C693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0A3BBD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p>
        </w:tc>
        <w:tc>
          <w:tcPr>
            <w:tcW w:w="780" w:type="pct"/>
            <w:tcBorders>
              <w:tl2br w:val="nil"/>
              <w:tr2bl w:val="nil"/>
            </w:tcBorders>
            <w:vAlign w:val="center"/>
          </w:tcPr>
          <w:p w14:paraId="35C6AF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二甲苯</w:t>
            </w:r>
          </w:p>
        </w:tc>
        <w:tc>
          <w:tcPr>
            <w:tcW w:w="752" w:type="pct"/>
            <w:tcBorders>
              <w:tl2br w:val="nil"/>
              <w:tr2bl w:val="nil"/>
            </w:tcBorders>
            <w:vAlign w:val="center"/>
          </w:tcPr>
          <w:p w14:paraId="4B8B11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200.0</w:t>
            </w:r>
          </w:p>
        </w:tc>
        <w:tc>
          <w:tcPr>
            <w:tcW w:w="1072" w:type="pct"/>
            <w:tcBorders>
              <w:tl2br w:val="nil"/>
              <w:tr2bl w:val="nil"/>
            </w:tcBorders>
            <w:vAlign w:val="center"/>
          </w:tcPr>
          <w:p w14:paraId="735836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762</w:t>
            </w:r>
          </w:p>
        </w:tc>
        <w:tc>
          <w:tcPr>
            <w:tcW w:w="789" w:type="pct"/>
            <w:tcBorders>
              <w:tl2br w:val="nil"/>
              <w:tr2bl w:val="nil"/>
            </w:tcBorders>
            <w:vAlign w:val="center"/>
          </w:tcPr>
          <w:p w14:paraId="23EAB2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0</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881</w:t>
            </w:r>
          </w:p>
        </w:tc>
        <w:tc>
          <w:tcPr>
            <w:tcW w:w="641" w:type="pct"/>
            <w:tcBorders>
              <w:tl2br w:val="nil"/>
              <w:tr2bl w:val="nil"/>
            </w:tcBorders>
            <w:vAlign w:val="center"/>
          </w:tcPr>
          <w:p w14:paraId="0981EB4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574DD2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restart"/>
            <w:tcBorders>
              <w:tl2br w:val="nil"/>
              <w:tr2bl w:val="nil"/>
            </w:tcBorders>
            <w:vAlign w:val="center"/>
          </w:tcPr>
          <w:p w14:paraId="037E60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DA002</w:t>
            </w:r>
          </w:p>
        </w:tc>
        <w:tc>
          <w:tcPr>
            <w:tcW w:w="780" w:type="pct"/>
            <w:tcBorders>
              <w:tl2br w:val="nil"/>
              <w:tr2bl w:val="nil"/>
            </w:tcBorders>
            <w:vAlign w:val="center"/>
          </w:tcPr>
          <w:p w14:paraId="289242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TVOC</w:t>
            </w:r>
          </w:p>
        </w:tc>
        <w:tc>
          <w:tcPr>
            <w:tcW w:w="752" w:type="pct"/>
            <w:tcBorders>
              <w:tl2br w:val="nil"/>
              <w:tr2bl w:val="nil"/>
            </w:tcBorders>
            <w:vAlign w:val="center"/>
          </w:tcPr>
          <w:p w14:paraId="619954A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1200.0</w:t>
            </w:r>
          </w:p>
        </w:tc>
        <w:tc>
          <w:tcPr>
            <w:tcW w:w="1072" w:type="pct"/>
            <w:tcBorders>
              <w:tl2br w:val="nil"/>
              <w:tr2bl w:val="nil"/>
            </w:tcBorders>
            <w:vAlign w:val="center"/>
          </w:tcPr>
          <w:p w14:paraId="716B93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7</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621</w:t>
            </w:r>
          </w:p>
        </w:tc>
        <w:tc>
          <w:tcPr>
            <w:tcW w:w="789" w:type="pct"/>
            <w:tcBorders>
              <w:tl2br w:val="nil"/>
              <w:tr2bl w:val="nil"/>
            </w:tcBorders>
            <w:vAlign w:val="center"/>
          </w:tcPr>
          <w:p w14:paraId="3D034EB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0</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635</w:t>
            </w:r>
          </w:p>
        </w:tc>
        <w:tc>
          <w:tcPr>
            <w:tcW w:w="641" w:type="pct"/>
            <w:tcBorders>
              <w:tl2br w:val="nil"/>
              <w:tr2bl w:val="nil"/>
            </w:tcBorders>
            <w:vAlign w:val="center"/>
          </w:tcPr>
          <w:p w14:paraId="2D5A781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r w14:paraId="05B3F6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63" w:type="pct"/>
            <w:vMerge w:val="continue"/>
            <w:tcBorders>
              <w:tl2br w:val="nil"/>
              <w:tr2bl w:val="nil"/>
            </w:tcBorders>
            <w:vAlign w:val="center"/>
          </w:tcPr>
          <w:p w14:paraId="286883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p>
        </w:tc>
        <w:tc>
          <w:tcPr>
            <w:tcW w:w="780" w:type="pct"/>
            <w:tcBorders>
              <w:tl2br w:val="nil"/>
              <w:tr2bl w:val="nil"/>
            </w:tcBorders>
            <w:vAlign w:val="center"/>
          </w:tcPr>
          <w:p w14:paraId="3AC2C4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硫酸</w:t>
            </w:r>
          </w:p>
        </w:tc>
        <w:tc>
          <w:tcPr>
            <w:tcW w:w="752" w:type="pct"/>
            <w:tcBorders>
              <w:tl2br w:val="nil"/>
              <w:tr2bl w:val="nil"/>
            </w:tcBorders>
            <w:vAlign w:val="center"/>
          </w:tcPr>
          <w:p w14:paraId="278396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300.0</w:t>
            </w:r>
          </w:p>
        </w:tc>
        <w:tc>
          <w:tcPr>
            <w:tcW w:w="1072" w:type="pct"/>
            <w:tcBorders>
              <w:tl2br w:val="nil"/>
              <w:tr2bl w:val="nil"/>
            </w:tcBorders>
            <w:vAlign w:val="center"/>
          </w:tcPr>
          <w:p w14:paraId="58066A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0</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661</w:t>
            </w:r>
          </w:p>
        </w:tc>
        <w:tc>
          <w:tcPr>
            <w:tcW w:w="789" w:type="pct"/>
            <w:tcBorders>
              <w:tl2br w:val="nil"/>
              <w:tr2bl w:val="nil"/>
            </w:tcBorders>
            <w:vAlign w:val="center"/>
          </w:tcPr>
          <w:p w14:paraId="04B26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0</w:t>
            </w:r>
            <w:r>
              <w:rPr>
                <w:rFonts w:hint="default" w:ascii="Times New Roman" w:hAnsi="Times New Roman" w:eastAsia="宋体" w:cs="Times New Roman"/>
                <w:b w:val="0"/>
                <w:sz w:val="23"/>
                <w:szCs w:val="23"/>
                <w:lang w:val="en-US" w:eastAsia="zh-CN"/>
              </w:rPr>
              <w:t>.</w:t>
            </w:r>
            <w:r>
              <w:rPr>
                <w:rFonts w:hint="default" w:ascii="Times New Roman" w:hAnsi="Times New Roman" w:eastAsia="宋体" w:cs="Times New Roman"/>
                <w:b w:val="0"/>
                <w:sz w:val="23"/>
                <w:szCs w:val="23"/>
              </w:rPr>
              <w:t>220</w:t>
            </w:r>
          </w:p>
        </w:tc>
        <w:tc>
          <w:tcPr>
            <w:tcW w:w="641" w:type="pct"/>
            <w:tcBorders>
              <w:tl2br w:val="nil"/>
              <w:tr2bl w:val="nil"/>
            </w:tcBorders>
            <w:vAlign w:val="center"/>
          </w:tcPr>
          <w:p w14:paraId="65C437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jc w:val="center"/>
              <w:textAlignment w:val="auto"/>
              <w:rPr>
                <w:rFonts w:hint="default" w:ascii="Times New Roman" w:hAnsi="Times New Roman" w:eastAsia="宋体" w:cs="Times New Roman"/>
              </w:rPr>
            </w:pPr>
            <w:r>
              <w:rPr>
                <w:rFonts w:hint="default" w:ascii="Times New Roman" w:hAnsi="Times New Roman" w:eastAsia="宋体" w:cs="Times New Roman"/>
                <w:b w:val="0"/>
                <w:sz w:val="23"/>
                <w:szCs w:val="23"/>
              </w:rPr>
              <w:t>/</w:t>
            </w:r>
          </w:p>
        </w:tc>
      </w:tr>
    </w:tbl>
    <w:p w14:paraId="28B05821">
      <w:pPr>
        <w:spacing w:line="500" w:lineRule="exact"/>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kern w:val="0"/>
          <w:sz w:val="24"/>
        </w:rPr>
        <w:t>在非正常工况下，本项目Pmax最大值出现为</w:t>
      </w:r>
      <w:r>
        <w:rPr>
          <w:rFonts w:hint="default" w:ascii="Times New Roman" w:hAnsi="Times New Roman" w:eastAsia="宋体" w:cs="Times New Roman"/>
          <w:sz w:val="24"/>
          <w:szCs w:val="24"/>
        </w:rPr>
        <w:t>A栋</w:t>
      </w:r>
      <w:r>
        <w:rPr>
          <w:rFonts w:hint="default" w:ascii="Times New Roman" w:hAnsi="Times New Roman" w:eastAsia="宋体" w:cs="Times New Roman"/>
          <w:sz w:val="24"/>
          <w:szCs w:val="24"/>
          <w:lang w:eastAsia="zh-CN"/>
        </w:rPr>
        <w:t>危险废物综合处置车间</w:t>
      </w:r>
      <w:r>
        <w:rPr>
          <w:rFonts w:hint="default" w:ascii="Times New Roman" w:hAnsi="Times New Roman" w:eastAsia="宋体" w:cs="Times New Roman"/>
          <w:sz w:val="24"/>
          <w:szCs w:val="24"/>
        </w:rPr>
        <w:t>排放的TVOCPmax值为7.5606%，Cmax为90.727μg/m</w:t>
      </w:r>
      <w:r>
        <w:rPr>
          <w:rFonts w:hint="default" w:ascii="Times New Roman" w:hAnsi="Times New Roman" w:eastAsia="宋体" w:cs="Times New Roman"/>
          <w:sz w:val="24"/>
          <w:szCs w:val="24"/>
          <w:vertAlign w:val="superscript"/>
          <w:lang w:val="en-US" w:eastAsia="zh-CN"/>
        </w:rPr>
        <w:t>3</w:t>
      </w:r>
      <w:r>
        <w:rPr>
          <w:rFonts w:hint="default" w:ascii="Times New Roman" w:hAnsi="Times New Roman" w:eastAsia="宋体" w:cs="Times New Roman"/>
          <w:kern w:val="0"/>
          <w:sz w:val="24"/>
        </w:rPr>
        <w:t>，</w:t>
      </w:r>
      <w:r>
        <w:rPr>
          <w:rFonts w:hint="default" w:ascii="Times New Roman" w:hAnsi="Times New Roman" w:eastAsia="宋体" w:cs="Times New Roman"/>
          <w:kern w:val="0"/>
          <w:sz w:val="24"/>
          <w:lang w:val="en-US" w:eastAsia="zh-CN"/>
        </w:rPr>
        <w:t>有组织排放的废气占标率均仍然小于10%。</w:t>
      </w:r>
      <w:r>
        <w:rPr>
          <w:rFonts w:hint="default" w:ascii="Times New Roman" w:hAnsi="Times New Roman" w:eastAsia="宋体" w:cs="Times New Roman"/>
          <w:kern w:val="0"/>
          <w:sz w:val="24"/>
        </w:rPr>
        <w:t>根据估算模式计算结果，项目在非正常排放情况下，各污染物的落地浓度相对于正常排放浓度成数倍增长，非正常排放情况下对周边大气环境存在一定的影响，浓度整体上仍小于标准值，对区域大气环境影响有限。评价要求项目方加强环境管理，防止事故状态的发生，一旦废气收集处理装置出现故障，应立即停止生产检修设备，待废气收集处理设置恢复正产使用后方可继续生产。</w:t>
      </w:r>
    </w:p>
    <w:p w14:paraId="1DA2A5C8">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7.2.6全厂正常排放大气污染物排放量核算</w:t>
      </w:r>
    </w:p>
    <w:p w14:paraId="74D1AC25">
      <w:pPr>
        <w:pStyle w:val="30"/>
        <w:spacing w:after="0" w:line="360" w:lineRule="auto"/>
        <w:ind w:right="-172" w:rightChars="-82"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本项目大气污染物有组织排放量核算见表7.2-9，无组织排放量核算见表7.2-10。</w:t>
      </w:r>
    </w:p>
    <w:p w14:paraId="50F1ADC5">
      <w:pPr>
        <w:pStyle w:val="57"/>
        <w:snapToGrid/>
        <w:spacing w:beforeLines="0"/>
        <w:ind w:right="120"/>
        <w:rPr>
          <w:rFonts w:hint="default" w:ascii="Times New Roman" w:hAnsi="Times New Roman" w:eastAsia="宋体" w:cs="Times New Roman"/>
          <w:color w:val="auto"/>
        </w:rPr>
      </w:pPr>
      <w:r>
        <w:rPr>
          <w:rFonts w:hint="default" w:ascii="Times New Roman" w:hAnsi="Times New Roman" w:eastAsia="宋体" w:cs="Times New Roman"/>
          <w:color w:val="auto"/>
        </w:rPr>
        <w:t>表7.2-9  项目大气污染物有组织排放量核算表</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54"/>
        <w:gridCol w:w="1224"/>
        <w:gridCol w:w="1689"/>
        <w:gridCol w:w="1835"/>
        <w:gridCol w:w="2037"/>
        <w:gridCol w:w="1579"/>
      </w:tblGrid>
      <w:tr w14:paraId="2DC454D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00" w:hRule="atLeast"/>
          <w:jc w:val="center"/>
        </w:trPr>
        <w:tc>
          <w:tcPr>
            <w:tcW w:w="414" w:type="pct"/>
            <w:shd w:val="clear" w:color="auto" w:fill="FFFFFF"/>
            <w:vAlign w:val="center"/>
          </w:tcPr>
          <w:p w14:paraId="31E617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序号</w:t>
            </w:r>
          </w:p>
        </w:tc>
        <w:tc>
          <w:tcPr>
            <w:tcW w:w="671" w:type="pct"/>
            <w:shd w:val="clear" w:color="auto" w:fill="FFFFFF"/>
            <w:vAlign w:val="center"/>
          </w:tcPr>
          <w:p w14:paraId="4612AA0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排放口编号</w:t>
            </w:r>
          </w:p>
        </w:tc>
        <w:tc>
          <w:tcPr>
            <w:tcW w:w="926" w:type="pct"/>
            <w:shd w:val="clear" w:color="auto" w:fill="FFFFFF"/>
            <w:vAlign w:val="center"/>
          </w:tcPr>
          <w:p w14:paraId="370494F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污染物</w:t>
            </w:r>
          </w:p>
        </w:tc>
        <w:tc>
          <w:tcPr>
            <w:tcW w:w="1006" w:type="pct"/>
            <w:shd w:val="clear" w:color="auto" w:fill="FFFFFF"/>
            <w:vAlign w:val="center"/>
          </w:tcPr>
          <w:p w14:paraId="35F45BA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核算排放浓度/</w:t>
            </w:r>
          </w:p>
          <w:p w14:paraId="3C0159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（mg/m</w:t>
            </w:r>
            <w:r>
              <w:rPr>
                <w:rFonts w:hint="default" w:ascii="Times New Roman" w:hAnsi="Times New Roman" w:eastAsia="宋体" w:cs="Times New Roman"/>
                <w:b/>
                <w:szCs w:val="21"/>
                <w:vertAlign w:val="superscript"/>
              </w:rPr>
              <w:t>3</w:t>
            </w:r>
            <w:r>
              <w:rPr>
                <w:rFonts w:hint="default" w:ascii="Times New Roman" w:hAnsi="Times New Roman" w:eastAsia="宋体" w:cs="Times New Roman"/>
                <w:b/>
                <w:szCs w:val="21"/>
              </w:rPr>
              <w:t>）</w:t>
            </w:r>
          </w:p>
        </w:tc>
        <w:tc>
          <w:tcPr>
            <w:tcW w:w="1117" w:type="pct"/>
            <w:shd w:val="clear" w:color="auto" w:fill="FFFFFF"/>
            <w:vAlign w:val="center"/>
          </w:tcPr>
          <w:p w14:paraId="1045094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核算排放速率/</w:t>
            </w:r>
          </w:p>
          <w:p w14:paraId="4F46C67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（kg/h）</w:t>
            </w:r>
          </w:p>
        </w:tc>
        <w:tc>
          <w:tcPr>
            <w:tcW w:w="864" w:type="pct"/>
            <w:shd w:val="clear" w:color="auto" w:fill="FFFFFF"/>
            <w:vAlign w:val="center"/>
          </w:tcPr>
          <w:p w14:paraId="69A9F5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核算年排放量（t/a）</w:t>
            </w:r>
          </w:p>
        </w:tc>
      </w:tr>
      <w:tr w14:paraId="407CEB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5000" w:type="pct"/>
            <w:gridSpan w:val="6"/>
            <w:shd w:val="clear" w:color="auto" w:fill="FFFFFF"/>
            <w:vAlign w:val="center"/>
          </w:tcPr>
          <w:p w14:paraId="59EFF45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一般排放口</w:t>
            </w:r>
          </w:p>
        </w:tc>
      </w:tr>
      <w:tr w14:paraId="060222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414" w:type="pct"/>
            <w:vMerge w:val="restart"/>
            <w:shd w:val="clear" w:color="auto" w:fill="FFFFFF"/>
            <w:vAlign w:val="center"/>
          </w:tcPr>
          <w:p w14:paraId="62AB21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671" w:type="pct"/>
            <w:vMerge w:val="restart"/>
            <w:shd w:val="clear" w:color="auto" w:fill="FFFFFF"/>
            <w:vAlign w:val="center"/>
          </w:tcPr>
          <w:p w14:paraId="51BC014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DA001</w:t>
            </w:r>
          </w:p>
        </w:tc>
        <w:tc>
          <w:tcPr>
            <w:tcW w:w="926" w:type="pct"/>
            <w:tcBorders>
              <w:bottom w:val="single" w:color="auto" w:sz="4" w:space="0"/>
            </w:tcBorders>
            <w:shd w:val="clear" w:color="auto" w:fill="FFFFFF"/>
            <w:vAlign w:val="center"/>
          </w:tcPr>
          <w:p w14:paraId="6C86652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VOCs</w:t>
            </w:r>
          </w:p>
        </w:tc>
        <w:tc>
          <w:tcPr>
            <w:tcW w:w="1006" w:type="pct"/>
            <w:shd w:val="clear" w:color="auto" w:fill="FFFFFF"/>
            <w:vAlign w:val="center"/>
          </w:tcPr>
          <w:p w14:paraId="68D5428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4.9</w:t>
            </w:r>
          </w:p>
        </w:tc>
        <w:tc>
          <w:tcPr>
            <w:tcW w:w="1117" w:type="pct"/>
            <w:shd w:val="clear" w:color="auto" w:fill="FFFFFF"/>
            <w:vAlign w:val="center"/>
          </w:tcPr>
          <w:p w14:paraId="4D12C4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rPr>
              <w:t>0.29</w:t>
            </w:r>
          </w:p>
        </w:tc>
        <w:tc>
          <w:tcPr>
            <w:tcW w:w="864" w:type="pct"/>
            <w:shd w:val="clear" w:color="auto" w:fill="FFFFFF"/>
            <w:vAlign w:val="center"/>
          </w:tcPr>
          <w:p w14:paraId="51CEF33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rPr>
              <w:t>1.54</w:t>
            </w:r>
          </w:p>
        </w:tc>
      </w:tr>
      <w:tr w14:paraId="7B3B4E5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414" w:type="pct"/>
            <w:vMerge w:val="continue"/>
            <w:shd w:val="clear" w:color="auto" w:fill="FFFFFF"/>
            <w:vAlign w:val="center"/>
          </w:tcPr>
          <w:p w14:paraId="529F830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71" w:type="pct"/>
            <w:vMerge w:val="continue"/>
            <w:shd w:val="clear" w:color="auto" w:fill="FFFFFF"/>
            <w:vAlign w:val="center"/>
          </w:tcPr>
          <w:p w14:paraId="712F8E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926" w:type="pct"/>
            <w:tcBorders>
              <w:bottom w:val="single" w:color="auto" w:sz="4" w:space="0"/>
            </w:tcBorders>
            <w:shd w:val="clear" w:color="auto" w:fill="FFFFFF"/>
            <w:vAlign w:val="center"/>
          </w:tcPr>
          <w:p w14:paraId="2C0FB3A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苯</w:t>
            </w:r>
          </w:p>
        </w:tc>
        <w:tc>
          <w:tcPr>
            <w:tcW w:w="1006" w:type="pct"/>
            <w:shd w:val="clear" w:color="auto" w:fill="FFFFFF"/>
            <w:vAlign w:val="center"/>
          </w:tcPr>
          <w:p w14:paraId="3024F74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0.15</w:t>
            </w:r>
          </w:p>
        </w:tc>
        <w:tc>
          <w:tcPr>
            <w:tcW w:w="1117" w:type="pct"/>
            <w:shd w:val="clear" w:color="auto" w:fill="FFFFFF"/>
            <w:vAlign w:val="center"/>
          </w:tcPr>
          <w:p w14:paraId="4F56F94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0.0087</w:t>
            </w:r>
          </w:p>
        </w:tc>
        <w:tc>
          <w:tcPr>
            <w:tcW w:w="864" w:type="pct"/>
            <w:shd w:val="clear" w:color="auto" w:fill="FFFFFF"/>
            <w:vAlign w:val="center"/>
          </w:tcPr>
          <w:p w14:paraId="27F81A3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0.0462</w:t>
            </w:r>
          </w:p>
        </w:tc>
      </w:tr>
      <w:tr w14:paraId="2116E2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414" w:type="pct"/>
            <w:vMerge w:val="continue"/>
            <w:shd w:val="clear" w:color="auto" w:fill="FFFFFF"/>
            <w:vAlign w:val="center"/>
          </w:tcPr>
          <w:p w14:paraId="3C889F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71" w:type="pct"/>
            <w:vMerge w:val="continue"/>
            <w:shd w:val="clear" w:color="auto" w:fill="FFFFFF"/>
            <w:vAlign w:val="center"/>
          </w:tcPr>
          <w:p w14:paraId="5822C1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926" w:type="pct"/>
            <w:tcBorders>
              <w:bottom w:val="single" w:color="auto" w:sz="4" w:space="0"/>
            </w:tcBorders>
            <w:shd w:val="clear" w:color="auto" w:fill="FFFFFF"/>
            <w:vAlign w:val="center"/>
          </w:tcPr>
          <w:p w14:paraId="128A5EE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甲苯</w:t>
            </w:r>
          </w:p>
        </w:tc>
        <w:tc>
          <w:tcPr>
            <w:tcW w:w="1006" w:type="pct"/>
            <w:shd w:val="clear" w:color="auto" w:fill="FFFFFF"/>
            <w:vAlign w:val="center"/>
          </w:tcPr>
          <w:p w14:paraId="1E5F4D1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0.15</w:t>
            </w:r>
          </w:p>
        </w:tc>
        <w:tc>
          <w:tcPr>
            <w:tcW w:w="1117" w:type="pct"/>
            <w:shd w:val="clear" w:color="auto" w:fill="FFFFFF"/>
            <w:vAlign w:val="center"/>
          </w:tcPr>
          <w:p w14:paraId="35D0A1AB">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0.0087</w:t>
            </w:r>
          </w:p>
        </w:tc>
        <w:tc>
          <w:tcPr>
            <w:tcW w:w="864" w:type="pct"/>
            <w:shd w:val="clear" w:color="auto" w:fill="FFFFFF"/>
            <w:vAlign w:val="center"/>
          </w:tcPr>
          <w:p w14:paraId="4D24225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0.0462</w:t>
            </w:r>
          </w:p>
        </w:tc>
      </w:tr>
      <w:tr w14:paraId="4BE9254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414" w:type="pct"/>
            <w:vMerge w:val="continue"/>
            <w:shd w:val="clear" w:color="auto" w:fill="FFFFFF"/>
            <w:vAlign w:val="center"/>
          </w:tcPr>
          <w:p w14:paraId="4ADE9F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71" w:type="pct"/>
            <w:vMerge w:val="continue"/>
            <w:tcBorders>
              <w:bottom w:val="single" w:color="auto" w:sz="4" w:space="0"/>
            </w:tcBorders>
            <w:shd w:val="clear" w:color="auto" w:fill="FFFFFF"/>
            <w:vAlign w:val="center"/>
          </w:tcPr>
          <w:p w14:paraId="0BAED5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926" w:type="pct"/>
            <w:tcBorders>
              <w:bottom w:val="single" w:color="auto" w:sz="4" w:space="0"/>
            </w:tcBorders>
            <w:shd w:val="clear" w:color="auto" w:fill="FFFFFF"/>
            <w:vAlign w:val="center"/>
          </w:tcPr>
          <w:p w14:paraId="683DDA3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二甲苯</w:t>
            </w:r>
          </w:p>
        </w:tc>
        <w:tc>
          <w:tcPr>
            <w:tcW w:w="1006" w:type="pct"/>
            <w:shd w:val="clear" w:color="auto" w:fill="FFFFFF"/>
            <w:vAlign w:val="center"/>
          </w:tcPr>
          <w:p w14:paraId="2EE14AA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0.15</w:t>
            </w:r>
          </w:p>
        </w:tc>
        <w:tc>
          <w:tcPr>
            <w:tcW w:w="1117" w:type="pct"/>
            <w:shd w:val="clear" w:color="auto" w:fill="FFFFFF"/>
            <w:vAlign w:val="center"/>
          </w:tcPr>
          <w:p w14:paraId="55918EF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0.0087</w:t>
            </w:r>
          </w:p>
        </w:tc>
        <w:tc>
          <w:tcPr>
            <w:tcW w:w="864" w:type="pct"/>
            <w:shd w:val="clear" w:color="auto" w:fill="FFFFFF"/>
            <w:vAlign w:val="center"/>
          </w:tcPr>
          <w:p w14:paraId="329CCD1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0.0462</w:t>
            </w:r>
          </w:p>
        </w:tc>
      </w:tr>
      <w:tr w14:paraId="093E822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414" w:type="pct"/>
            <w:vMerge w:val="restart"/>
            <w:shd w:val="clear" w:color="auto" w:fill="FFFFFF"/>
            <w:vAlign w:val="center"/>
          </w:tcPr>
          <w:p w14:paraId="56E0F8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671" w:type="pct"/>
            <w:vMerge w:val="restart"/>
            <w:shd w:val="clear" w:color="auto" w:fill="FFFFFF"/>
            <w:vAlign w:val="center"/>
          </w:tcPr>
          <w:p w14:paraId="3F8FA8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DA002</w:t>
            </w:r>
          </w:p>
        </w:tc>
        <w:tc>
          <w:tcPr>
            <w:tcW w:w="926" w:type="pct"/>
            <w:shd w:val="clear" w:color="auto" w:fill="FFFFFF"/>
            <w:vAlign w:val="center"/>
          </w:tcPr>
          <w:p w14:paraId="71C3760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VOCs</w:t>
            </w:r>
          </w:p>
        </w:tc>
        <w:tc>
          <w:tcPr>
            <w:tcW w:w="1006" w:type="pct"/>
            <w:shd w:val="clear" w:color="auto" w:fill="FFFFFF"/>
            <w:vAlign w:val="center"/>
          </w:tcPr>
          <w:p w14:paraId="0F2997E6">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3.39</w:t>
            </w:r>
          </w:p>
        </w:tc>
        <w:tc>
          <w:tcPr>
            <w:tcW w:w="1117" w:type="pct"/>
            <w:shd w:val="clear" w:color="auto" w:fill="FFFFFF"/>
            <w:vAlign w:val="center"/>
          </w:tcPr>
          <w:p w14:paraId="46D40C72">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rPr>
              <w:t>0.0</w:t>
            </w:r>
            <w:r>
              <w:rPr>
                <w:rFonts w:hint="default" w:ascii="Times New Roman" w:hAnsi="Times New Roman" w:eastAsia="宋体" w:cs="Times New Roman"/>
                <w:lang w:val="en-US" w:eastAsia="zh-CN"/>
              </w:rPr>
              <w:t>30</w:t>
            </w:r>
          </w:p>
        </w:tc>
        <w:tc>
          <w:tcPr>
            <w:tcW w:w="864" w:type="pct"/>
            <w:shd w:val="clear" w:color="auto" w:fill="FFFFFF"/>
            <w:vAlign w:val="center"/>
          </w:tcPr>
          <w:p w14:paraId="0FDAF7FC">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rPr>
              <w:t>0.</w:t>
            </w:r>
            <w:r>
              <w:rPr>
                <w:rFonts w:hint="default" w:ascii="Times New Roman" w:hAnsi="Times New Roman" w:eastAsia="宋体" w:cs="Times New Roman"/>
                <w:lang w:val="en-US" w:eastAsia="zh-CN"/>
              </w:rPr>
              <w:t>267</w:t>
            </w:r>
          </w:p>
        </w:tc>
      </w:tr>
      <w:tr w14:paraId="03C0891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414" w:type="pct"/>
            <w:vMerge w:val="continue"/>
            <w:shd w:val="clear" w:color="auto" w:fill="FFFFFF"/>
            <w:vAlign w:val="center"/>
          </w:tcPr>
          <w:p w14:paraId="5FA3DF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671" w:type="pct"/>
            <w:vMerge w:val="continue"/>
            <w:shd w:val="clear" w:color="auto" w:fill="FFFFFF"/>
            <w:vAlign w:val="center"/>
          </w:tcPr>
          <w:p w14:paraId="70058F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926" w:type="pct"/>
            <w:shd w:val="clear" w:color="auto" w:fill="FFFFFF"/>
            <w:vAlign w:val="center"/>
          </w:tcPr>
          <w:p w14:paraId="6B969F8C">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lang w:val="en-US" w:eastAsia="zh-CN"/>
              </w:rPr>
            </w:pPr>
            <w:r>
              <w:rPr>
                <w:rFonts w:hint="default" w:ascii="Times New Roman" w:hAnsi="Times New Roman" w:eastAsia="宋体" w:cs="Times New Roman"/>
                <w:sz w:val="20"/>
                <w:szCs w:val="21"/>
                <w:lang w:val="en-US" w:eastAsia="zh-CN"/>
              </w:rPr>
              <w:t>硫酸雾</w:t>
            </w:r>
          </w:p>
        </w:tc>
        <w:tc>
          <w:tcPr>
            <w:tcW w:w="1006" w:type="pct"/>
            <w:shd w:val="clear" w:color="auto" w:fill="FFFFFF"/>
            <w:vAlign w:val="center"/>
          </w:tcPr>
          <w:p w14:paraId="72FE9F20">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2.0</w:t>
            </w:r>
          </w:p>
        </w:tc>
        <w:tc>
          <w:tcPr>
            <w:tcW w:w="1117" w:type="pct"/>
            <w:shd w:val="clear" w:color="auto" w:fill="FFFFFF"/>
            <w:vAlign w:val="center"/>
          </w:tcPr>
          <w:p w14:paraId="5B530C71">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0.020</w:t>
            </w:r>
          </w:p>
        </w:tc>
        <w:tc>
          <w:tcPr>
            <w:tcW w:w="864" w:type="pct"/>
            <w:shd w:val="clear" w:color="auto" w:fill="FFFFFF"/>
            <w:vAlign w:val="center"/>
          </w:tcPr>
          <w:p w14:paraId="5AAD51AB">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szCs w:val="21"/>
                <w:lang w:val="en-US" w:eastAsia="zh-CN"/>
              </w:rPr>
              <w:t>0.1566</w:t>
            </w:r>
          </w:p>
        </w:tc>
      </w:tr>
      <w:tr w14:paraId="7CAD758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1085" w:type="pct"/>
            <w:gridSpan w:val="2"/>
            <w:vMerge w:val="restart"/>
            <w:shd w:val="clear" w:color="auto" w:fill="FFFFFF"/>
            <w:vAlign w:val="center"/>
          </w:tcPr>
          <w:p w14:paraId="439212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一般排放口合计</w:t>
            </w:r>
          </w:p>
        </w:tc>
        <w:tc>
          <w:tcPr>
            <w:tcW w:w="3049" w:type="pct"/>
            <w:gridSpan w:val="3"/>
            <w:shd w:val="clear" w:color="auto" w:fill="FFFFFF"/>
            <w:vAlign w:val="center"/>
          </w:tcPr>
          <w:p w14:paraId="204A7E9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VOCs</w:t>
            </w:r>
          </w:p>
        </w:tc>
        <w:tc>
          <w:tcPr>
            <w:tcW w:w="864" w:type="pct"/>
            <w:shd w:val="clear" w:color="auto" w:fill="FFFFFF"/>
            <w:vAlign w:val="center"/>
          </w:tcPr>
          <w:p w14:paraId="2C324749">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r>
              <w:rPr>
                <w:rFonts w:hint="default" w:ascii="Times New Roman" w:hAnsi="Times New Roman" w:eastAsia="宋体" w:cs="Times New Roman"/>
                <w:szCs w:val="21"/>
                <w:lang w:val="en-US" w:eastAsia="zh-CN"/>
              </w:rPr>
              <w:t>.807</w:t>
            </w:r>
          </w:p>
        </w:tc>
      </w:tr>
      <w:tr w14:paraId="4AC095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1085" w:type="pct"/>
            <w:gridSpan w:val="2"/>
            <w:vMerge w:val="continue"/>
            <w:shd w:val="clear" w:color="auto" w:fill="FFFFFF"/>
            <w:vAlign w:val="center"/>
          </w:tcPr>
          <w:p w14:paraId="4DEBA0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3049" w:type="pct"/>
            <w:gridSpan w:val="3"/>
            <w:shd w:val="clear" w:color="auto" w:fill="FFFFFF"/>
            <w:vAlign w:val="center"/>
          </w:tcPr>
          <w:p w14:paraId="23B59F1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硫酸雾</w:t>
            </w:r>
          </w:p>
        </w:tc>
        <w:tc>
          <w:tcPr>
            <w:tcW w:w="864" w:type="pct"/>
            <w:shd w:val="clear" w:color="auto" w:fill="FFFFFF"/>
            <w:vAlign w:val="center"/>
          </w:tcPr>
          <w:p w14:paraId="29E11BB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szCs w:val="21"/>
                <w:lang w:val="en-US" w:eastAsia="zh-CN"/>
              </w:rPr>
              <w:t>0.1566</w:t>
            </w:r>
          </w:p>
        </w:tc>
      </w:tr>
      <w:tr w14:paraId="5511EF6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1085" w:type="pct"/>
            <w:gridSpan w:val="2"/>
            <w:vMerge w:val="continue"/>
            <w:shd w:val="clear" w:color="auto" w:fill="FFFFFF"/>
            <w:vAlign w:val="center"/>
          </w:tcPr>
          <w:p w14:paraId="0F6208C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3049" w:type="pct"/>
            <w:gridSpan w:val="3"/>
            <w:shd w:val="clear" w:color="auto" w:fill="FFFFFF"/>
            <w:vAlign w:val="center"/>
          </w:tcPr>
          <w:p w14:paraId="40557EE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苯</w:t>
            </w:r>
          </w:p>
        </w:tc>
        <w:tc>
          <w:tcPr>
            <w:tcW w:w="864" w:type="pct"/>
            <w:shd w:val="clear" w:color="auto" w:fill="FFFFFF"/>
            <w:vAlign w:val="center"/>
          </w:tcPr>
          <w:p w14:paraId="7FCA360F">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0.0462</w:t>
            </w:r>
          </w:p>
        </w:tc>
      </w:tr>
      <w:tr w14:paraId="174DDDD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1085" w:type="pct"/>
            <w:gridSpan w:val="2"/>
            <w:vMerge w:val="continue"/>
            <w:shd w:val="clear" w:color="auto" w:fill="FFFFFF"/>
            <w:vAlign w:val="center"/>
          </w:tcPr>
          <w:p w14:paraId="7135A1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3049" w:type="pct"/>
            <w:gridSpan w:val="3"/>
            <w:shd w:val="clear" w:color="auto" w:fill="FFFFFF"/>
            <w:vAlign w:val="center"/>
          </w:tcPr>
          <w:p w14:paraId="4E58FDA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甲苯</w:t>
            </w:r>
          </w:p>
        </w:tc>
        <w:tc>
          <w:tcPr>
            <w:tcW w:w="864" w:type="pct"/>
            <w:shd w:val="clear" w:color="auto" w:fill="FFFFFF"/>
            <w:vAlign w:val="center"/>
          </w:tcPr>
          <w:p w14:paraId="580889B8">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0.0462</w:t>
            </w:r>
          </w:p>
        </w:tc>
      </w:tr>
      <w:tr w14:paraId="4FB5CDD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79" w:hRule="atLeast"/>
          <w:jc w:val="center"/>
        </w:trPr>
        <w:tc>
          <w:tcPr>
            <w:tcW w:w="1085" w:type="pct"/>
            <w:gridSpan w:val="2"/>
            <w:vMerge w:val="continue"/>
            <w:shd w:val="clear" w:color="auto" w:fill="FFFFFF"/>
            <w:vAlign w:val="center"/>
          </w:tcPr>
          <w:p w14:paraId="16F1155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3049" w:type="pct"/>
            <w:gridSpan w:val="3"/>
            <w:shd w:val="clear" w:color="auto" w:fill="FFFFFF"/>
            <w:vAlign w:val="center"/>
          </w:tcPr>
          <w:p w14:paraId="4346BC9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二甲苯</w:t>
            </w:r>
          </w:p>
        </w:tc>
        <w:tc>
          <w:tcPr>
            <w:tcW w:w="864" w:type="pct"/>
            <w:shd w:val="clear" w:color="auto" w:fill="FFFFFF"/>
            <w:vAlign w:val="center"/>
          </w:tcPr>
          <w:p w14:paraId="2172665C">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0.0462</w:t>
            </w:r>
          </w:p>
        </w:tc>
      </w:tr>
      <w:tr w14:paraId="53E497B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5000" w:type="pct"/>
            <w:gridSpan w:val="6"/>
            <w:shd w:val="clear" w:color="auto" w:fill="FFFFFF"/>
            <w:vAlign w:val="center"/>
          </w:tcPr>
          <w:p w14:paraId="012A33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有组织排放总计</w:t>
            </w:r>
          </w:p>
        </w:tc>
      </w:tr>
      <w:tr w14:paraId="222971C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085" w:type="pct"/>
            <w:gridSpan w:val="2"/>
            <w:vMerge w:val="restart"/>
            <w:shd w:val="clear" w:color="auto" w:fill="FFFFFF"/>
            <w:vAlign w:val="center"/>
          </w:tcPr>
          <w:p w14:paraId="2BDB5F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有组织排放总计</w:t>
            </w:r>
          </w:p>
        </w:tc>
        <w:tc>
          <w:tcPr>
            <w:tcW w:w="3049" w:type="pct"/>
            <w:gridSpan w:val="3"/>
            <w:shd w:val="clear" w:color="auto" w:fill="FFFFFF"/>
            <w:vAlign w:val="center"/>
          </w:tcPr>
          <w:p w14:paraId="0382BF0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VOCs</w:t>
            </w:r>
          </w:p>
        </w:tc>
        <w:tc>
          <w:tcPr>
            <w:tcW w:w="864" w:type="pct"/>
            <w:shd w:val="clear" w:color="auto" w:fill="FFFFFF"/>
            <w:vAlign w:val="center"/>
          </w:tcPr>
          <w:p w14:paraId="6CDE5200">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r>
              <w:rPr>
                <w:rFonts w:hint="default" w:ascii="Times New Roman" w:hAnsi="Times New Roman" w:eastAsia="宋体" w:cs="Times New Roman"/>
                <w:szCs w:val="21"/>
                <w:lang w:val="en-US" w:eastAsia="zh-CN"/>
              </w:rPr>
              <w:t>.807</w:t>
            </w:r>
          </w:p>
        </w:tc>
      </w:tr>
      <w:tr w14:paraId="24A5677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085" w:type="pct"/>
            <w:gridSpan w:val="2"/>
            <w:vMerge w:val="continue"/>
            <w:shd w:val="clear" w:color="auto" w:fill="FFFFFF"/>
            <w:vAlign w:val="center"/>
          </w:tcPr>
          <w:p w14:paraId="69246E3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3049" w:type="pct"/>
            <w:gridSpan w:val="3"/>
            <w:shd w:val="clear" w:color="auto" w:fill="FFFFFF"/>
            <w:vAlign w:val="center"/>
          </w:tcPr>
          <w:p w14:paraId="03DE91C5">
            <w:pPr>
              <w:pStyle w:val="60"/>
              <w:keepNext w:val="0"/>
              <w:keepLines w:val="0"/>
              <w:suppressLineNumbers w:val="0"/>
              <w:adjustRightInd w:val="0"/>
              <w:snapToGrid w:val="0"/>
              <w:spacing w:before="0" w:beforeAutospacing="0" w:after="0" w:afterAutospacing="0"/>
              <w:ind w:left="0" w:leftChars="0" w:right="0" w:rightChars="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硫酸雾</w:t>
            </w:r>
          </w:p>
        </w:tc>
        <w:tc>
          <w:tcPr>
            <w:tcW w:w="864" w:type="pct"/>
            <w:shd w:val="clear" w:color="auto" w:fill="FFFFFF"/>
            <w:vAlign w:val="center"/>
          </w:tcPr>
          <w:p w14:paraId="15F695D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szCs w:val="21"/>
                <w:lang w:val="en-US" w:eastAsia="zh-CN"/>
              </w:rPr>
              <w:t>0.1566</w:t>
            </w:r>
          </w:p>
        </w:tc>
      </w:tr>
      <w:tr w14:paraId="3E8D4E1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085" w:type="pct"/>
            <w:gridSpan w:val="2"/>
            <w:vMerge w:val="continue"/>
            <w:shd w:val="clear" w:color="auto" w:fill="FFFFFF"/>
            <w:vAlign w:val="center"/>
          </w:tcPr>
          <w:p w14:paraId="69D24E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3049" w:type="pct"/>
            <w:gridSpan w:val="3"/>
            <w:shd w:val="clear" w:color="auto" w:fill="FFFFFF"/>
            <w:vAlign w:val="center"/>
          </w:tcPr>
          <w:p w14:paraId="79FEE83C">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苯</w:t>
            </w:r>
          </w:p>
        </w:tc>
        <w:tc>
          <w:tcPr>
            <w:tcW w:w="864" w:type="pct"/>
            <w:shd w:val="clear" w:color="auto" w:fill="FFFFFF"/>
            <w:vAlign w:val="center"/>
          </w:tcPr>
          <w:p w14:paraId="2E934AA7">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0.0462</w:t>
            </w:r>
          </w:p>
        </w:tc>
      </w:tr>
      <w:tr w14:paraId="446056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085" w:type="pct"/>
            <w:gridSpan w:val="2"/>
            <w:vMerge w:val="continue"/>
            <w:shd w:val="clear" w:color="auto" w:fill="FFFFFF"/>
            <w:vAlign w:val="center"/>
          </w:tcPr>
          <w:p w14:paraId="7A46D6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3049" w:type="pct"/>
            <w:gridSpan w:val="3"/>
            <w:shd w:val="clear" w:color="auto" w:fill="FFFFFF"/>
            <w:vAlign w:val="center"/>
          </w:tcPr>
          <w:p w14:paraId="6CEF2E4C">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甲苯</w:t>
            </w:r>
          </w:p>
        </w:tc>
        <w:tc>
          <w:tcPr>
            <w:tcW w:w="864" w:type="pct"/>
            <w:shd w:val="clear" w:color="auto" w:fill="FFFFFF"/>
            <w:vAlign w:val="center"/>
          </w:tcPr>
          <w:p w14:paraId="34AE45F2">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0.0462</w:t>
            </w:r>
          </w:p>
        </w:tc>
      </w:tr>
      <w:tr w14:paraId="4CF7E02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35" w:hRule="atLeast"/>
          <w:jc w:val="center"/>
        </w:trPr>
        <w:tc>
          <w:tcPr>
            <w:tcW w:w="1085" w:type="pct"/>
            <w:gridSpan w:val="2"/>
            <w:vMerge w:val="continue"/>
            <w:shd w:val="clear" w:color="auto" w:fill="FFFFFF"/>
            <w:vAlign w:val="center"/>
          </w:tcPr>
          <w:p w14:paraId="7BAAB7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szCs w:val="21"/>
              </w:rPr>
            </w:pPr>
          </w:p>
        </w:tc>
        <w:tc>
          <w:tcPr>
            <w:tcW w:w="3049" w:type="pct"/>
            <w:gridSpan w:val="3"/>
            <w:shd w:val="clear" w:color="auto" w:fill="FFFFFF"/>
            <w:vAlign w:val="center"/>
          </w:tcPr>
          <w:p w14:paraId="7133116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二甲苯</w:t>
            </w:r>
          </w:p>
        </w:tc>
        <w:tc>
          <w:tcPr>
            <w:tcW w:w="864" w:type="pct"/>
            <w:shd w:val="clear" w:color="auto" w:fill="FFFFFF"/>
            <w:vAlign w:val="center"/>
          </w:tcPr>
          <w:p w14:paraId="0FE3DC66">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rPr>
            </w:pPr>
            <w:r>
              <w:rPr>
                <w:rFonts w:hint="default" w:ascii="Times New Roman" w:hAnsi="Times New Roman" w:eastAsia="宋体" w:cs="Times New Roman"/>
              </w:rPr>
              <w:t>0.0462</w:t>
            </w:r>
          </w:p>
        </w:tc>
      </w:tr>
    </w:tbl>
    <w:p w14:paraId="536F8C8F">
      <w:pPr>
        <w:pStyle w:val="30"/>
        <w:spacing w:after="0" w:line="360" w:lineRule="auto"/>
        <w:ind w:right="-172" w:rightChars="-82" w:firstLine="0" w:firstLineChars="0"/>
        <w:rPr>
          <w:rFonts w:hint="default" w:ascii="Times New Roman" w:hAnsi="Times New Roman" w:eastAsia="宋体" w:cs="Times New Roman"/>
          <w:b/>
        </w:rPr>
      </w:pPr>
      <w:r>
        <w:rPr>
          <w:rFonts w:hint="default" w:ascii="Times New Roman" w:hAnsi="Times New Roman" w:eastAsia="宋体" w:cs="Times New Roman"/>
          <w:b/>
        </w:rPr>
        <w:t>表7.2-10  项目大气污染物无组织排放量核算表</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858"/>
        <w:gridCol w:w="852"/>
        <w:gridCol w:w="1435"/>
        <w:gridCol w:w="1213"/>
        <w:gridCol w:w="2165"/>
        <w:gridCol w:w="1309"/>
        <w:gridCol w:w="1286"/>
      </w:tblGrid>
      <w:tr w14:paraId="64E79E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1" w:type="pct"/>
            <w:vMerge w:val="restart"/>
            <w:shd w:val="clear" w:color="auto" w:fill="auto"/>
            <w:vAlign w:val="center"/>
          </w:tcPr>
          <w:p w14:paraId="2890D61B">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排放口编号</w:t>
            </w:r>
          </w:p>
        </w:tc>
        <w:tc>
          <w:tcPr>
            <w:tcW w:w="467" w:type="pct"/>
            <w:vMerge w:val="restart"/>
            <w:shd w:val="clear" w:color="auto" w:fill="auto"/>
            <w:vAlign w:val="center"/>
          </w:tcPr>
          <w:p w14:paraId="662EC72E">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产污环节</w:t>
            </w:r>
          </w:p>
        </w:tc>
        <w:tc>
          <w:tcPr>
            <w:tcW w:w="786" w:type="pct"/>
            <w:vMerge w:val="restart"/>
            <w:shd w:val="clear" w:color="auto" w:fill="auto"/>
            <w:vAlign w:val="center"/>
          </w:tcPr>
          <w:p w14:paraId="7233A6B5">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污染物</w:t>
            </w:r>
          </w:p>
        </w:tc>
        <w:tc>
          <w:tcPr>
            <w:tcW w:w="665" w:type="pct"/>
            <w:vMerge w:val="restart"/>
            <w:shd w:val="clear" w:color="auto" w:fill="auto"/>
            <w:vAlign w:val="center"/>
          </w:tcPr>
          <w:p w14:paraId="3E9EB590">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主要污染防治措施</w:t>
            </w:r>
          </w:p>
        </w:tc>
        <w:tc>
          <w:tcPr>
            <w:tcW w:w="1905" w:type="pct"/>
            <w:gridSpan w:val="2"/>
            <w:shd w:val="clear" w:color="auto" w:fill="auto"/>
            <w:vAlign w:val="center"/>
          </w:tcPr>
          <w:p w14:paraId="0DD377D1">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国家或地方污染物排放标准</w:t>
            </w:r>
          </w:p>
        </w:tc>
        <w:tc>
          <w:tcPr>
            <w:tcW w:w="704" w:type="pct"/>
            <w:vMerge w:val="restart"/>
            <w:shd w:val="clear" w:color="auto" w:fill="auto"/>
            <w:vAlign w:val="center"/>
          </w:tcPr>
          <w:p w14:paraId="467D501C">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年排放量/（t/a）</w:t>
            </w:r>
          </w:p>
        </w:tc>
      </w:tr>
      <w:tr w14:paraId="26EB65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1" w:type="pct"/>
            <w:vMerge w:val="continue"/>
            <w:shd w:val="clear" w:color="auto" w:fill="auto"/>
            <w:vAlign w:val="center"/>
          </w:tcPr>
          <w:p w14:paraId="75B72426">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467" w:type="pct"/>
            <w:vMerge w:val="continue"/>
            <w:shd w:val="clear" w:color="auto" w:fill="auto"/>
            <w:vAlign w:val="center"/>
          </w:tcPr>
          <w:p w14:paraId="74C452AA">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86" w:type="pct"/>
            <w:vMerge w:val="continue"/>
            <w:shd w:val="clear" w:color="auto" w:fill="auto"/>
            <w:vAlign w:val="center"/>
          </w:tcPr>
          <w:p w14:paraId="700BF755">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665" w:type="pct"/>
            <w:vMerge w:val="continue"/>
            <w:shd w:val="clear" w:color="auto" w:fill="auto"/>
            <w:vAlign w:val="center"/>
          </w:tcPr>
          <w:p w14:paraId="2E90735D">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1187" w:type="pct"/>
            <w:shd w:val="clear" w:color="auto" w:fill="auto"/>
            <w:vAlign w:val="center"/>
          </w:tcPr>
          <w:p w14:paraId="445912BB">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标准名称</w:t>
            </w:r>
          </w:p>
        </w:tc>
        <w:tc>
          <w:tcPr>
            <w:tcW w:w="717" w:type="pct"/>
            <w:shd w:val="clear" w:color="auto" w:fill="auto"/>
            <w:vAlign w:val="center"/>
          </w:tcPr>
          <w:p w14:paraId="6E4CD634">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b/>
                <w:color w:val="auto"/>
                <w:szCs w:val="21"/>
              </w:rPr>
            </w:pPr>
            <w:r>
              <w:rPr>
                <w:rFonts w:hint="default" w:ascii="Times New Roman" w:hAnsi="Times New Roman" w:eastAsia="宋体" w:cs="Times New Roman"/>
                <w:b/>
                <w:color w:val="auto"/>
                <w:szCs w:val="21"/>
              </w:rPr>
              <w:t>浓度限值（mg/m</w:t>
            </w:r>
            <w:r>
              <w:rPr>
                <w:rFonts w:hint="default" w:ascii="Times New Roman" w:hAnsi="Times New Roman" w:eastAsia="宋体" w:cs="Times New Roman"/>
                <w:b/>
                <w:color w:val="auto"/>
                <w:szCs w:val="21"/>
                <w:vertAlign w:val="superscript"/>
              </w:rPr>
              <w:t>3</w:t>
            </w:r>
            <w:r>
              <w:rPr>
                <w:rFonts w:hint="default" w:ascii="Times New Roman" w:hAnsi="Times New Roman" w:eastAsia="宋体" w:cs="Times New Roman"/>
                <w:b/>
                <w:color w:val="auto"/>
                <w:szCs w:val="21"/>
              </w:rPr>
              <w:t>）</w:t>
            </w:r>
          </w:p>
        </w:tc>
        <w:tc>
          <w:tcPr>
            <w:tcW w:w="704" w:type="pct"/>
            <w:vMerge w:val="continue"/>
            <w:shd w:val="clear" w:color="auto" w:fill="auto"/>
            <w:vAlign w:val="center"/>
          </w:tcPr>
          <w:p w14:paraId="6E8EB6F5">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r>
      <w:tr w14:paraId="295C6FE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1" w:type="pct"/>
            <w:vMerge w:val="restart"/>
            <w:shd w:val="clear" w:color="auto" w:fill="auto"/>
            <w:vAlign w:val="center"/>
          </w:tcPr>
          <w:p w14:paraId="1F2DB2B5">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lang w:eastAsia="zh-CN"/>
              </w:rPr>
            </w:pPr>
            <w:r>
              <w:rPr>
                <w:rFonts w:hint="default" w:ascii="Times New Roman" w:hAnsi="Times New Roman" w:eastAsia="宋体" w:cs="Times New Roman"/>
                <w:szCs w:val="21"/>
                <w:lang w:eastAsia="zh-CN"/>
              </w:rPr>
              <w:t>危险废物综合处置车间</w:t>
            </w:r>
          </w:p>
        </w:tc>
        <w:tc>
          <w:tcPr>
            <w:tcW w:w="467" w:type="pct"/>
            <w:vMerge w:val="restart"/>
            <w:shd w:val="clear" w:color="auto" w:fill="auto"/>
            <w:vAlign w:val="center"/>
          </w:tcPr>
          <w:p w14:paraId="5E48A8F9">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危废原料贮存、再生加工</w:t>
            </w:r>
          </w:p>
        </w:tc>
        <w:tc>
          <w:tcPr>
            <w:tcW w:w="786" w:type="pct"/>
            <w:shd w:val="clear" w:color="auto" w:fill="auto"/>
            <w:vAlign w:val="center"/>
          </w:tcPr>
          <w:p w14:paraId="5C2EB60C">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VOCs</w:t>
            </w:r>
          </w:p>
        </w:tc>
        <w:tc>
          <w:tcPr>
            <w:tcW w:w="665" w:type="pct"/>
            <w:vMerge w:val="restart"/>
            <w:shd w:val="clear" w:color="auto" w:fill="auto"/>
            <w:vAlign w:val="center"/>
          </w:tcPr>
          <w:p w14:paraId="5A9CFE57">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加强车间封闭性，提高集气效率</w:t>
            </w:r>
          </w:p>
        </w:tc>
        <w:tc>
          <w:tcPr>
            <w:tcW w:w="1187" w:type="pct"/>
            <w:shd w:val="clear" w:color="auto" w:fill="auto"/>
            <w:vAlign w:val="center"/>
          </w:tcPr>
          <w:p w14:paraId="7663B7D3">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 xml:space="preserve">《挥发性有机物无组织排放控制标准》（GB37822-2019） </w:t>
            </w:r>
          </w:p>
        </w:tc>
        <w:tc>
          <w:tcPr>
            <w:tcW w:w="717" w:type="pct"/>
            <w:shd w:val="clear" w:color="auto" w:fill="auto"/>
            <w:vAlign w:val="center"/>
          </w:tcPr>
          <w:p w14:paraId="4B5789B1">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r>
              <w:rPr>
                <w:rFonts w:hint="default" w:ascii="Times New Roman" w:hAnsi="Times New Roman" w:eastAsia="宋体" w:cs="Times New Roman"/>
                <w:szCs w:val="21"/>
              </w:rPr>
              <w:t>10（1h平均浓度）；</w:t>
            </w:r>
          </w:p>
          <w:p w14:paraId="7C1B969C">
            <w:pPr>
              <w:pStyle w:val="12"/>
              <w:keepNext w:val="0"/>
              <w:keepLines w:val="0"/>
              <w:suppressLineNumbers w:val="0"/>
              <w:spacing w:before="0" w:beforeAutospacing="0" w:after="0" w:afterAutospacing="0"/>
              <w:ind w:right="0"/>
              <w:jc w:val="center"/>
              <w:rPr>
                <w:rFonts w:hint="default" w:ascii="Times New Roman" w:hAnsi="Times New Roman" w:eastAsia="宋体" w:cs="Times New Roman"/>
              </w:rPr>
            </w:pPr>
            <w:r>
              <w:rPr>
                <w:rFonts w:hint="default" w:ascii="Times New Roman" w:hAnsi="Times New Roman" w:eastAsia="宋体" w:cs="Times New Roman"/>
                <w:sz w:val="21"/>
                <w:szCs w:val="21"/>
              </w:rPr>
              <w:t>30（任意一次浓度）</w:t>
            </w:r>
          </w:p>
        </w:tc>
        <w:tc>
          <w:tcPr>
            <w:tcW w:w="704" w:type="pct"/>
            <w:shd w:val="clear" w:color="auto" w:fill="auto"/>
            <w:vAlign w:val="center"/>
          </w:tcPr>
          <w:p w14:paraId="379A69D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rPr>
              <w:t>1.62</w:t>
            </w:r>
          </w:p>
        </w:tc>
      </w:tr>
      <w:tr w14:paraId="5A16571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1" w:type="pct"/>
            <w:vMerge w:val="continue"/>
            <w:shd w:val="clear" w:color="auto" w:fill="auto"/>
            <w:vAlign w:val="center"/>
          </w:tcPr>
          <w:p w14:paraId="62987F13">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p>
        </w:tc>
        <w:tc>
          <w:tcPr>
            <w:tcW w:w="467" w:type="pct"/>
            <w:vMerge w:val="continue"/>
            <w:shd w:val="clear" w:color="auto" w:fill="auto"/>
            <w:vAlign w:val="center"/>
          </w:tcPr>
          <w:p w14:paraId="08D82A5E">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86" w:type="pct"/>
            <w:shd w:val="clear" w:color="auto" w:fill="auto"/>
            <w:vAlign w:val="center"/>
          </w:tcPr>
          <w:p w14:paraId="1AADD02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苯</w:t>
            </w:r>
          </w:p>
        </w:tc>
        <w:tc>
          <w:tcPr>
            <w:tcW w:w="665" w:type="pct"/>
            <w:vMerge w:val="continue"/>
            <w:shd w:val="clear" w:color="auto" w:fill="auto"/>
            <w:vAlign w:val="center"/>
          </w:tcPr>
          <w:p w14:paraId="3128CA6A">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1187" w:type="pct"/>
            <w:vMerge w:val="restart"/>
            <w:shd w:val="clear" w:color="auto" w:fill="auto"/>
            <w:vAlign w:val="center"/>
          </w:tcPr>
          <w:p w14:paraId="392DEC75">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w:t>
            </w:r>
          </w:p>
        </w:tc>
        <w:tc>
          <w:tcPr>
            <w:tcW w:w="717" w:type="pct"/>
            <w:shd w:val="clear" w:color="auto" w:fill="auto"/>
            <w:vAlign w:val="center"/>
          </w:tcPr>
          <w:p w14:paraId="1FFD02FA">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r>
              <w:rPr>
                <w:rFonts w:hint="default" w:ascii="Times New Roman" w:hAnsi="Times New Roman" w:eastAsia="宋体" w:cs="Times New Roman"/>
                <w:szCs w:val="21"/>
              </w:rPr>
              <w:t>0.4</w:t>
            </w:r>
          </w:p>
        </w:tc>
        <w:tc>
          <w:tcPr>
            <w:tcW w:w="704" w:type="pct"/>
            <w:shd w:val="clear" w:color="auto" w:fill="auto"/>
            <w:vAlign w:val="center"/>
          </w:tcPr>
          <w:p w14:paraId="22C49E22">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0.0486</w:t>
            </w:r>
          </w:p>
        </w:tc>
      </w:tr>
      <w:tr w14:paraId="17C68B3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1" w:type="pct"/>
            <w:vMerge w:val="continue"/>
            <w:shd w:val="clear" w:color="auto" w:fill="auto"/>
            <w:vAlign w:val="center"/>
          </w:tcPr>
          <w:p w14:paraId="472C91CF">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p>
        </w:tc>
        <w:tc>
          <w:tcPr>
            <w:tcW w:w="467" w:type="pct"/>
            <w:vMerge w:val="continue"/>
            <w:shd w:val="clear" w:color="auto" w:fill="auto"/>
            <w:vAlign w:val="center"/>
          </w:tcPr>
          <w:p w14:paraId="00F25276">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86" w:type="pct"/>
            <w:shd w:val="clear" w:color="auto" w:fill="auto"/>
            <w:vAlign w:val="center"/>
          </w:tcPr>
          <w:p w14:paraId="2F03BD4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甲苯</w:t>
            </w:r>
          </w:p>
        </w:tc>
        <w:tc>
          <w:tcPr>
            <w:tcW w:w="665" w:type="pct"/>
            <w:vMerge w:val="continue"/>
            <w:shd w:val="clear" w:color="auto" w:fill="auto"/>
            <w:vAlign w:val="center"/>
          </w:tcPr>
          <w:p w14:paraId="64118012">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1187" w:type="pct"/>
            <w:vMerge w:val="continue"/>
            <w:shd w:val="clear" w:color="auto" w:fill="auto"/>
            <w:vAlign w:val="center"/>
          </w:tcPr>
          <w:p w14:paraId="5AE58041">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17" w:type="pct"/>
            <w:shd w:val="clear" w:color="auto" w:fill="auto"/>
            <w:vAlign w:val="center"/>
          </w:tcPr>
          <w:p w14:paraId="14DC5D8D">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r>
              <w:rPr>
                <w:rFonts w:hint="default" w:ascii="Times New Roman" w:hAnsi="Times New Roman" w:eastAsia="宋体" w:cs="Times New Roman"/>
                <w:szCs w:val="21"/>
              </w:rPr>
              <w:t>2.4</w:t>
            </w:r>
          </w:p>
        </w:tc>
        <w:tc>
          <w:tcPr>
            <w:tcW w:w="704" w:type="pct"/>
            <w:shd w:val="clear" w:color="auto" w:fill="auto"/>
            <w:vAlign w:val="center"/>
          </w:tcPr>
          <w:p w14:paraId="31406BC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0.0486</w:t>
            </w:r>
          </w:p>
        </w:tc>
      </w:tr>
      <w:tr w14:paraId="1904B1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1" w:type="pct"/>
            <w:vMerge w:val="continue"/>
            <w:shd w:val="clear" w:color="auto" w:fill="auto"/>
            <w:vAlign w:val="center"/>
          </w:tcPr>
          <w:p w14:paraId="4DE6C5AA">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p>
        </w:tc>
        <w:tc>
          <w:tcPr>
            <w:tcW w:w="467" w:type="pct"/>
            <w:vMerge w:val="continue"/>
            <w:shd w:val="clear" w:color="auto" w:fill="auto"/>
            <w:vAlign w:val="center"/>
          </w:tcPr>
          <w:p w14:paraId="665B4049">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86" w:type="pct"/>
            <w:shd w:val="clear" w:color="auto" w:fill="auto"/>
            <w:vAlign w:val="center"/>
          </w:tcPr>
          <w:p w14:paraId="4C2FAA4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二甲苯</w:t>
            </w:r>
          </w:p>
        </w:tc>
        <w:tc>
          <w:tcPr>
            <w:tcW w:w="665" w:type="pct"/>
            <w:vMerge w:val="continue"/>
            <w:shd w:val="clear" w:color="auto" w:fill="auto"/>
            <w:vAlign w:val="center"/>
          </w:tcPr>
          <w:p w14:paraId="2B238F2C">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1187" w:type="pct"/>
            <w:vMerge w:val="continue"/>
            <w:shd w:val="clear" w:color="auto" w:fill="auto"/>
            <w:vAlign w:val="center"/>
          </w:tcPr>
          <w:p w14:paraId="1CB56F6D">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17" w:type="pct"/>
            <w:shd w:val="clear" w:color="auto" w:fill="auto"/>
            <w:vAlign w:val="center"/>
          </w:tcPr>
          <w:p w14:paraId="5DCCCE9C">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r>
              <w:rPr>
                <w:rFonts w:hint="default" w:ascii="Times New Roman" w:hAnsi="Times New Roman" w:eastAsia="宋体" w:cs="Times New Roman"/>
                <w:szCs w:val="21"/>
              </w:rPr>
              <w:t>1.2</w:t>
            </w:r>
          </w:p>
        </w:tc>
        <w:tc>
          <w:tcPr>
            <w:tcW w:w="704" w:type="pct"/>
            <w:shd w:val="clear" w:color="auto" w:fill="auto"/>
            <w:vAlign w:val="center"/>
          </w:tcPr>
          <w:p w14:paraId="1E1DBA0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0.0486</w:t>
            </w:r>
          </w:p>
        </w:tc>
      </w:tr>
      <w:tr w14:paraId="097ED5D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2" w:hRule="atLeast"/>
          <w:jc w:val="center"/>
        </w:trPr>
        <w:tc>
          <w:tcPr>
            <w:tcW w:w="471" w:type="pct"/>
            <w:vMerge w:val="continue"/>
            <w:shd w:val="clear" w:color="auto" w:fill="auto"/>
            <w:vAlign w:val="center"/>
          </w:tcPr>
          <w:p w14:paraId="44AC1F85">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p>
        </w:tc>
        <w:tc>
          <w:tcPr>
            <w:tcW w:w="467" w:type="pct"/>
            <w:vMerge w:val="restart"/>
            <w:shd w:val="clear" w:color="auto" w:fill="auto"/>
            <w:vAlign w:val="center"/>
          </w:tcPr>
          <w:p w14:paraId="6056948D">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危废贮存</w:t>
            </w:r>
          </w:p>
        </w:tc>
        <w:tc>
          <w:tcPr>
            <w:tcW w:w="786" w:type="pct"/>
            <w:shd w:val="clear" w:color="auto" w:fill="auto"/>
            <w:vAlign w:val="center"/>
          </w:tcPr>
          <w:p w14:paraId="51D8BD4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color w:val="000000"/>
                <w:sz w:val="21"/>
                <w:szCs w:val="21"/>
              </w:rPr>
              <w:t>VOCs</w:t>
            </w:r>
          </w:p>
        </w:tc>
        <w:tc>
          <w:tcPr>
            <w:tcW w:w="665" w:type="pct"/>
            <w:vMerge w:val="restart"/>
            <w:shd w:val="clear" w:color="auto" w:fill="auto"/>
            <w:vAlign w:val="center"/>
          </w:tcPr>
          <w:p w14:paraId="323043C9">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加强设备、贮存库封闭性，提高集气效率</w:t>
            </w:r>
          </w:p>
        </w:tc>
        <w:tc>
          <w:tcPr>
            <w:tcW w:w="1187" w:type="pct"/>
            <w:shd w:val="clear" w:color="auto" w:fill="auto"/>
            <w:vAlign w:val="center"/>
          </w:tcPr>
          <w:p w14:paraId="2590934C">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《挥发性有机物无组织排放控制标准》（GB37822-2019）</w:t>
            </w:r>
          </w:p>
        </w:tc>
        <w:tc>
          <w:tcPr>
            <w:tcW w:w="717" w:type="pct"/>
            <w:shd w:val="clear" w:color="auto" w:fill="auto"/>
            <w:vAlign w:val="center"/>
          </w:tcPr>
          <w:p w14:paraId="6AD9EFB4">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r>
              <w:rPr>
                <w:rFonts w:hint="default" w:ascii="Times New Roman" w:hAnsi="Times New Roman" w:eastAsia="宋体" w:cs="Times New Roman"/>
                <w:szCs w:val="21"/>
              </w:rPr>
              <w:t>10（1h平均浓度）；</w:t>
            </w:r>
          </w:p>
          <w:p w14:paraId="0C8F5C19">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r>
              <w:rPr>
                <w:rFonts w:hint="default" w:ascii="Times New Roman" w:hAnsi="Times New Roman" w:eastAsia="宋体" w:cs="Times New Roman"/>
                <w:szCs w:val="21"/>
              </w:rPr>
              <w:t>30（任意一次浓度）</w:t>
            </w:r>
          </w:p>
        </w:tc>
        <w:tc>
          <w:tcPr>
            <w:tcW w:w="704" w:type="pct"/>
            <w:shd w:val="clear" w:color="auto" w:fill="auto"/>
            <w:vAlign w:val="center"/>
          </w:tcPr>
          <w:p w14:paraId="31595C28">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0.2374</w:t>
            </w:r>
          </w:p>
        </w:tc>
      </w:tr>
      <w:tr w14:paraId="4D99F3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492" w:hRule="atLeast"/>
          <w:jc w:val="center"/>
        </w:trPr>
        <w:tc>
          <w:tcPr>
            <w:tcW w:w="471" w:type="pct"/>
            <w:vMerge w:val="continue"/>
            <w:shd w:val="clear" w:color="auto" w:fill="auto"/>
            <w:vAlign w:val="center"/>
          </w:tcPr>
          <w:p w14:paraId="06CFA73F">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p>
        </w:tc>
        <w:tc>
          <w:tcPr>
            <w:tcW w:w="467" w:type="pct"/>
            <w:vMerge w:val="continue"/>
            <w:shd w:val="clear" w:color="auto" w:fill="auto"/>
            <w:vAlign w:val="center"/>
          </w:tcPr>
          <w:p w14:paraId="18B38982">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86" w:type="pct"/>
            <w:shd w:val="clear" w:color="auto" w:fill="auto"/>
            <w:vAlign w:val="center"/>
          </w:tcPr>
          <w:p w14:paraId="12F4516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硫酸雾</w:t>
            </w:r>
          </w:p>
        </w:tc>
        <w:tc>
          <w:tcPr>
            <w:tcW w:w="665" w:type="pct"/>
            <w:vMerge w:val="continue"/>
            <w:shd w:val="clear" w:color="auto" w:fill="auto"/>
            <w:vAlign w:val="center"/>
          </w:tcPr>
          <w:p w14:paraId="61D009DC">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1187" w:type="pct"/>
            <w:shd w:val="clear" w:color="auto" w:fill="auto"/>
            <w:vAlign w:val="center"/>
          </w:tcPr>
          <w:p w14:paraId="09071899">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《大气污染物综合排放标准》（GB16297-1996）</w:t>
            </w:r>
          </w:p>
        </w:tc>
        <w:tc>
          <w:tcPr>
            <w:tcW w:w="717" w:type="pct"/>
            <w:shd w:val="clear" w:color="auto" w:fill="auto"/>
            <w:vAlign w:val="center"/>
          </w:tcPr>
          <w:p w14:paraId="6535E2C3">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1.2</w:t>
            </w:r>
          </w:p>
        </w:tc>
        <w:tc>
          <w:tcPr>
            <w:tcW w:w="704" w:type="pct"/>
            <w:shd w:val="clear" w:color="auto" w:fill="auto"/>
            <w:vAlign w:val="center"/>
          </w:tcPr>
          <w:p w14:paraId="35C9AD40">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0.0174</w:t>
            </w:r>
          </w:p>
        </w:tc>
      </w:tr>
      <w:tr w14:paraId="459685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94" w:hRule="atLeast"/>
          <w:jc w:val="center"/>
        </w:trPr>
        <w:tc>
          <w:tcPr>
            <w:tcW w:w="471" w:type="pct"/>
            <w:vMerge w:val="continue"/>
            <w:shd w:val="clear" w:color="auto" w:fill="auto"/>
            <w:vAlign w:val="center"/>
          </w:tcPr>
          <w:p w14:paraId="58F2A4E8">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p>
        </w:tc>
        <w:tc>
          <w:tcPr>
            <w:tcW w:w="467" w:type="pct"/>
            <w:vMerge w:val="continue"/>
            <w:shd w:val="clear" w:color="auto" w:fill="auto"/>
            <w:vAlign w:val="center"/>
          </w:tcPr>
          <w:p w14:paraId="1FDBFB80">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86" w:type="pct"/>
            <w:shd w:val="clear" w:color="auto" w:fill="auto"/>
            <w:vAlign w:val="center"/>
          </w:tcPr>
          <w:p w14:paraId="1C35EBC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sz w:val="20"/>
                <w:szCs w:val="21"/>
              </w:rPr>
              <w:t>NH</w:t>
            </w:r>
            <w:r>
              <w:rPr>
                <w:rFonts w:hint="default" w:ascii="Times New Roman" w:hAnsi="Times New Roman" w:eastAsia="宋体" w:cs="Times New Roman"/>
                <w:sz w:val="20"/>
                <w:szCs w:val="21"/>
                <w:vertAlign w:val="subscript"/>
              </w:rPr>
              <w:t>3</w:t>
            </w:r>
          </w:p>
        </w:tc>
        <w:tc>
          <w:tcPr>
            <w:tcW w:w="665" w:type="pct"/>
            <w:vMerge w:val="continue"/>
            <w:shd w:val="clear" w:color="auto" w:fill="auto"/>
            <w:vAlign w:val="center"/>
          </w:tcPr>
          <w:p w14:paraId="3F4BAB3F">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1187" w:type="pct"/>
            <w:vMerge w:val="restart"/>
            <w:shd w:val="clear" w:color="auto" w:fill="auto"/>
            <w:vAlign w:val="center"/>
          </w:tcPr>
          <w:p w14:paraId="59DAB467">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《恶臭污染物排放标准》（GB14554-93）</w:t>
            </w:r>
          </w:p>
        </w:tc>
        <w:tc>
          <w:tcPr>
            <w:tcW w:w="717" w:type="pct"/>
            <w:shd w:val="clear" w:color="auto" w:fill="auto"/>
            <w:vAlign w:val="center"/>
          </w:tcPr>
          <w:p w14:paraId="4C03F2DB">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r>
              <w:rPr>
                <w:rFonts w:hint="default" w:ascii="Times New Roman" w:hAnsi="Times New Roman" w:eastAsia="宋体" w:cs="Times New Roman"/>
                <w:color w:val="auto"/>
                <w:szCs w:val="21"/>
              </w:rPr>
              <w:t>1.5</w:t>
            </w:r>
          </w:p>
        </w:tc>
        <w:tc>
          <w:tcPr>
            <w:tcW w:w="704" w:type="pct"/>
            <w:shd w:val="clear" w:color="auto" w:fill="auto"/>
            <w:vAlign w:val="center"/>
          </w:tcPr>
          <w:p w14:paraId="299E3107">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szCs w:val="21"/>
                <w:lang w:val="en-US" w:eastAsia="zh-CN"/>
              </w:rPr>
              <w:t>0.00026</w:t>
            </w:r>
          </w:p>
        </w:tc>
      </w:tr>
      <w:tr w14:paraId="32D164B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16" w:hRule="atLeast"/>
          <w:jc w:val="center"/>
        </w:trPr>
        <w:tc>
          <w:tcPr>
            <w:tcW w:w="471" w:type="pct"/>
            <w:vMerge w:val="continue"/>
            <w:shd w:val="clear" w:color="auto" w:fill="auto"/>
            <w:vAlign w:val="center"/>
          </w:tcPr>
          <w:p w14:paraId="23DD90F2">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p>
        </w:tc>
        <w:tc>
          <w:tcPr>
            <w:tcW w:w="467" w:type="pct"/>
            <w:vMerge w:val="continue"/>
            <w:shd w:val="clear" w:color="auto" w:fill="auto"/>
            <w:vAlign w:val="center"/>
          </w:tcPr>
          <w:p w14:paraId="19FE20C8">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86" w:type="pct"/>
            <w:shd w:val="clear" w:color="auto" w:fill="auto"/>
            <w:vAlign w:val="center"/>
          </w:tcPr>
          <w:p w14:paraId="4BC35B4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sz w:val="20"/>
                <w:szCs w:val="21"/>
              </w:rPr>
              <w:t>H</w:t>
            </w:r>
            <w:r>
              <w:rPr>
                <w:rFonts w:hint="default" w:ascii="Times New Roman" w:hAnsi="Times New Roman" w:eastAsia="宋体" w:cs="Times New Roman"/>
                <w:sz w:val="20"/>
                <w:szCs w:val="21"/>
                <w:vertAlign w:val="subscript"/>
              </w:rPr>
              <w:t>2</w:t>
            </w:r>
            <w:r>
              <w:rPr>
                <w:rFonts w:hint="default" w:ascii="Times New Roman" w:hAnsi="Times New Roman" w:eastAsia="宋体" w:cs="Times New Roman"/>
                <w:sz w:val="20"/>
                <w:szCs w:val="21"/>
              </w:rPr>
              <w:t>S</w:t>
            </w:r>
          </w:p>
        </w:tc>
        <w:tc>
          <w:tcPr>
            <w:tcW w:w="665" w:type="pct"/>
            <w:vMerge w:val="continue"/>
            <w:shd w:val="clear" w:color="auto" w:fill="auto"/>
            <w:vAlign w:val="center"/>
          </w:tcPr>
          <w:p w14:paraId="7B615B4E">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1187" w:type="pct"/>
            <w:vMerge w:val="continue"/>
            <w:shd w:val="clear" w:color="auto" w:fill="auto"/>
            <w:vAlign w:val="center"/>
          </w:tcPr>
          <w:p w14:paraId="671EF68D">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17" w:type="pct"/>
            <w:shd w:val="clear" w:color="auto" w:fill="auto"/>
            <w:vAlign w:val="center"/>
          </w:tcPr>
          <w:p w14:paraId="795AFD92">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r>
              <w:rPr>
                <w:rFonts w:hint="default" w:ascii="Times New Roman" w:hAnsi="Times New Roman" w:eastAsia="宋体" w:cs="Times New Roman"/>
                <w:color w:val="auto"/>
                <w:szCs w:val="21"/>
              </w:rPr>
              <w:t>0.08</w:t>
            </w:r>
          </w:p>
        </w:tc>
        <w:tc>
          <w:tcPr>
            <w:tcW w:w="704" w:type="pct"/>
            <w:shd w:val="clear" w:color="auto" w:fill="auto"/>
            <w:vAlign w:val="center"/>
          </w:tcPr>
          <w:p w14:paraId="4FA0FBD3">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0.00068</w:t>
            </w:r>
          </w:p>
        </w:tc>
      </w:tr>
      <w:tr w14:paraId="4F2C29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1" w:type="pct"/>
            <w:vMerge w:val="restart"/>
            <w:shd w:val="clear" w:color="auto" w:fill="auto"/>
            <w:vAlign w:val="center"/>
          </w:tcPr>
          <w:p w14:paraId="434ACDE6">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szCs w:val="21"/>
              </w:rPr>
              <w:t>污水处理站</w:t>
            </w:r>
          </w:p>
        </w:tc>
        <w:tc>
          <w:tcPr>
            <w:tcW w:w="467" w:type="pct"/>
            <w:vMerge w:val="restart"/>
            <w:shd w:val="clear" w:color="auto" w:fill="auto"/>
            <w:vAlign w:val="center"/>
          </w:tcPr>
          <w:p w14:paraId="3E478D8E">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厌氧处理单元</w:t>
            </w:r>
          </w:p>
        </w:tc>
        <w:tc>
          <w:tcPr>
            <w:tcW w:w="786" w:type="pct"/>
            <w:shd w:val="clear" w:color="auto" w:fill="auto"/>
            <w:vAlign w:val="center"/>
          </w:tcPr>
          <w:p w14:paraId="53B2BC9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NH</w:t>
            </w:r>
            <w:r>
              <w:rPr>
                <w:rFonts w:hint="default" w:ascii="Times New Roman" w:hAnsi="Times New Roman" w:eastAsia="宋体" w:cs="Times New Roman"/>
                <w:sz w:val="20"/>
                <w:szCs w:val="21"/>
                <w:vertAlign w:val="subscript"/>
              </w:rPr>
              <w:t>3</w:t>
            </w:r>
          </w:p>
        </w:tc>
        <w:tc>
          <w:tcPr>
            <w:tcW w:w="665" w:type="pct"/>
            <w:vMerge w:val="restart"/>
            <w:shd w:val="clear" w:color="auto" w:fill="auto"/>
            <w:vAlign w:val="center"/>
          </w:tcPr>
          <w:p w14:paraId="2DB6A09A">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w:t>
            </w:r>
          </w:p>
        </w:tc>
        <w:tc>
          <w:tcPr>
            <w:tcW w:w="1187" w:type="pct"/>
            <w:vMerge w:val="restart"/>
            <w:shd w:val="clear" w:color="auto" w:fill="auto"/>
            <w:vAlign w:val="center"/>
          </w:tcPr>
          <w:p w14:paraId="3BE1ADEB">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《恶臭污染物排放标准》（GB14554-93）</w:t>
            </w:r>
          </w:p>
        </w:tc>
        <w:tc>
          <w:tcPr>
            <w:tcW w:w="717" w:type="pct"/>
            <w:shd w:val="clear" w:color="auto" w:fill="auto"/>
            <w:vAlign w:val="center"/>
          </w:tcPr>
          <w:p w14:paraId="6381D446">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1.5</w:t>
            </w:r>
          </w:p>
        </w:tc>
        <w:tc>
          <w:tcPr>
            <w:tcW w:w="704" w:type="pct"/>
            <w:shd w:val="clear" w:color="auto" w:fill="auto"/>
            <w:vAlign w:val="center"/>
          </w:tcPr>
          <w:p w14:paraId="71EF0AF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rPr>
              <w:t>0.0261</w:t>
            </w:r>
          </w:p>
        </w:tc>
      </w:tr>
      <w:tr w14:paraId="4CC95F6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1" w:type="pct"/>
            <w:vMerge w:val="continue"/>
            <w:shd w:val="clear" w:color="auto" w:fill="auto"/>
            <w:vAlign w:val="center"/>
          </w:tcPr>
          <w:p w14:paraId="6C9ED656">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p>
        </w:tc>
        <w:tc>
          <w:tcPr>
            <w:tcW w:w="467" w:type="pct"/>
            <w:vMerge w:val="continue"/>
            <w:shd w:val="clear" w:color="auto" w:fill="auto"/>
            <w:vAlign w:val="center"/>
          </w:tcPr>
          <w:p w14:paraId="5BA80F0F">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86" w:type="pct"/>
            <w:shd w:val="clear" w:color="auto" w:fill="auto"/>
            <w:vAlign w:val="center"/>
          </w:tcPr>
          <w:p w14:paraId="18A8748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sz w:val="20"/>
                <w:szCs w:val="21"/>
              </w:rPr>
              <w:t>H</w:t>
            </w:r>
            <w:r>
              <w:rPr>
                <w:rFonts w:hint="default" w:ascii="Times New Roman" w:hAnsi="Times New Roman" w:eastAsia="宋体" w:cs="Times New Roman"/>
                <w:sz w:val="20"/>
                <w:szCs w:val="21"/>
                <w:vertAlign w:val="subscript"/>
              </w:rPr>
              <w:t>2</w:t>
            </w:r>
            <w:r>
              <w:rPr>
                <w:rFonts w:hint="default" w:ascii="Times New Roman" w:hAnsi="Times New Roman" w:eastAsia="宋体" w:cs="Times New Roman"/>
                <w:sz w:val="20"/>
                <w:szCs w:val="21"/>
              </w:rPr>
              <w:t>S</w:t>
            </w:r>
          </w:p>
        </w:tc>
        <w:tc>
          <w:tcPr>
            <w:tcW w:w="665" w:type="pct"/>
            <w:vMerge w:val="continue"/>
            <w:shd w:val="clear" w:color="auto" w:fill="auto"/>
            <w:vAlign w:val="center"/>
          </w:tcPr>
          <w:p w14:paraId="240297D8">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1187" w:type="pct"/>
            <w:vMerge w:val="continue"/>
            <w:shd w:val="clear" w:color="auto" w:fill="auto"/>
            <w:vAlign w:val="center"/>
          </w:tcPr>
          <w:p w14:paraId="726AE348">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17" w:type="pct"/>
            <w:shd w:val="clear" w:color="auto" w:fill="auto"/>
            <w:vAlign w:val="center"/>
          </w:tcPr>
          <w:p w14:paraId="7436E7AF">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0.08</w:t>
            </w:r>
          </w:p>
        </w:tc>
        <w:tc>
          <w:tcPr>
            <w:tcW w:w="704" w:type="pct"/>
            <w:shd w:val="clear" w:color="auto" w:fill="auto"/>
            <w:vAlign w:val="center"/>
          </w:tcPr>
          <w:p w14:paraId="6562DBA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rPr>
              <w:t>0.0008</w:t>
            </w:r>
          </w:p>
        </w:tc>
      </w:tr>
      <w:tr w14:paraId="1C62C80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471" w:type="pct"/>
            <w:vMerge w:val="continue"/>
            <w:shd w:val="clear" w:color="auto" w:fill="auto"/>
            <w:vAlign w:val="center"/>
          </w:tcPr>
          <w:p w14:paraId="1C65AEAF">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p>
        </w:tc>
        <w:tc>
          <w:tcPr>
            <w:tcW w:w="467" w:type="pct"/>
            <w:vMerge w:val="continue"/>
            <w:shd w:val="clear" w:color="auto" w:fill="auto"/>
            <w:vAlign w:val="center"/>
          </w:tcPr>
          <w:p w14:paraId="6FFAB5C1">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86" w:type="pct"/>
            <w:shd w:val="clear" w:color="auto" w:fill="auto"/>
            <w:vAlign w:val="center"/>
          </w:tcPr>
          <w:p w14:paraId="43A680C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lang w:val="en-US" w:eastAsia="zh-CN"/>
              </w:rPr>
            </w:pPr>
            <w:r>
              <w:rPr>
                <w:rFonts w:hint="default" w:ascii="Times New Roman" w:hAnsi="Times New Roman" w:eastAsia="宋体" w:cs="Times New Roman"/>
                <w:sz w:val="20"/>
                <w:szCs w:val="21"/>
                <w:lang w:val="en-US" w:eastAsia="zh-CN"/>
              </w:rPr>
              <w:t>臭气浓度</w:t>
            </w:r>
          </w:p>
        </w:tc>
        <w:tc>
          <w:tcPr>
            <w:tcW w:w="665" w:type="pct"/>
            <w:shd w:val="clear" w:color="auto" w:fill="auto"/>
            <w:vAlign w:val="center"/>
          </w:tcPr>
          <w:p w14:paraId="25C6C304">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1187" w:type="pct"/>
            <w:vMerge w:val="continue"/>
            <w:shd w:val="clear" w:color="auto" w:fill="auto"/>
            <w:vAlign w:val="center"/>
          </w:tcPr>
          <w:p w14:paraId="202E553B">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p>
        </w:tc>
        <w:tc>
          <w:tcPr>
            <w:tcW w:w="717" w:type="pct"/>
            <w:shd w:val="clear" w:color="auto" w:fill="auto"/>
            <w:vAlign w:val="center"/>
          </w:tcPr>
          <w:p w14:paraId="6B0C1F7F">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20（无量纲）</w:t>
            </w:r>
          </w:p>
        </w:tc>
        <w:tc>
          <w:tcPr>
            <w:tcW w:w="704" w:type="pct"/>
            <w:shd w:val="clear" w:color="auto" w:fill="auto"/>
            <w:vAlign w:val="center"/>
          </w:tcPr>
          <w:p w14:paraId="4CF95600">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p>
        </w:tc>
      </w:tr>
      <w:tr w14:paraId="7CB9E0B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5000" w:type="pct"/>
            <w:gridSpan w:val="7"/>
            <w:shd w:val="clear" w:color="auto" w:fill="auto"/>
            <w:vAlign w:val="center"/>
          </w:tcPr>
          <w:p w14:paraId="4015B5C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无组织排放总计</w:t>
            </w:r>
          </w:p>
        </w:tc>
      </w:tr>
      <w:tr w14:paraId="222035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25" w:type="pct"/>
            <w:gridSpan w:val="3"/>
            <w:vMerge w:val="restart"/>
            <w:shd w:val="clear" w:color="auto" w:fill="auto"/>
            <w:vAlign w:val="center"/>
          </w:tcPr>
          <w:p w14:paraId="6DE8648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r>
              <w:rPr>
                <w:rFonts w:hint="default" w:ascii="Times New Roman" w:hAnsi="Times New Roman" w:eastAsia="宋体" w:cs="Times New Roman"/>
                <w:color w:val="000000"/>
                <w:sz w:val="21"/>
                <w:szCs w:val="21"/>
              </w:rPr>
              <w:t>无组织排放总计</w:t>
            </w:r>
          </w:p>
        </w:tc>
        <w:tc>
          <w:tcPr>
            <w:tcW w:w="2570" w:type="pct"/>
            <w:gridSpan w:val="3"/>
            <w:shd w:val="clear" w:color="auto" w:fill="auto"/>
            <w:vAlign w:val="center"/>
          </w:tcPr>
          <w:p w14:paraId="219C176F">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szCs w:val="21"/>
              </w:rPr>
              <w:t>VOCs</w:t>
            </w:r>
          </w:p>
        </w:tc>
        <w:tc>
          <w:tcPr>
            <w:tcW w:w="704" w:type="pct"/>
            <w:shd w:val="clear" w:color="auto" w:fill="auto"/>
            <w:vAlign w:val="center"/>
          </w:tcPr>
          <w:p w14:paraId="5D29C565">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1.8574</w:t>
            </w:r>
          </w:p>
        </w:tc>
      </w:tr>
      <w:tr w14:paraId="13BA69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25" w:type="pct"/>
            <w:gridSpan w:val="3"/>
            <w:vMerge w:val="continue"/>
            <w:shd w:val="clear" w:color="auto" w:fill="auto"/>
            <w:vAlign w:val="center"/>
          </w:tcPr>
          <w:p w14:paraId="369FA6F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p>
        </w:tc>
        <w:tc>
          <w:tcPr>
            <w:tcW w:w="2570" w:type="pct"/>
            <w:gridSpan w:val="3"/>
            <w:shd w:val="clear" w:color="auto" w:fill="auto"/>
            <w:vAlign w:val="center"/>
          </w:tcPr>
          <w:p w14:paraId="10EACAB4">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szCs w:val="21"/>
              </w:rPr>
            </w:pPr>
            <w:r>
              <w:rPr>
                <w:rFonts w:hint="default" w:ascii="Times New Roman" w:hAnsi="Times New Roman" w:eastAsia="宋体" w:cs="Times New Roman"/>
                <w:color w:val="000000"/>
                <w:sz w:val="21"/>
                <w:szCs w:val="21"/>
                <w:lang w:val="en-US" w:eastAsia="zh-CN"/>
              </w:rPr>
              <w:t>硫酸雾</w:t>
            </w:r>
          </w:p>
        </w:tc>
        <w:tc>
          <w:tcPr>
            <w:tcW w:w="704" w:type="pct"/>
            <w:shd w:val="clear" w:color="auto" w:fill="auto"/>
            <w:vAlign w:val="center"/>
          </w:tcPr>
          <w:p w14:paraId="720F35D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0.0174</w:t>
            </w:r>
          </w:p>
        </w:tc>
      </w:tr>
      <w:tr w14:paraId="27893CF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25" w:type="pct"/>
            <w:gridSpan w:val="3"/>
            <w:vMerge w:val="continue"/>
            <w:shd w:val="clear" w:color="auto" w:fill="auto"/>
            <w:vAlign w:val="center"/>
          </w:tcPr>
          <w:p w14:paraId="0774653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p>
        </w:tc>
        <w:tc>
          <w:tcPr>
            <w:tcW w:w="2570" w:type="pct"/>
            <w:gridSpan w:val="3"/>
            <w:shd w:val="clear" w:color="auto" w:fill="auto"/>
            <w:vAlign w:val="center"/>
          </w:tcPr>
          <w:p w14:paraId="07A201D5">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sz w:val="20"/>
                <w:szCs w:val="21"/>
              </w:rPr>
              <w:t>苯</w:t>
            </w:r>
          </w:p>
        </w:tc>
        <w:tc>
          <w:tcPr>
            <w:tcW w:w="704" w:type="pct"/>
            <w:shd w:val="clear" w:color="auto" w:fill="auto"/>
            <w:vAlign w:val="center"/>
          </w:tcPr>
          <w:p w14:paraId="27507D0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0.0486</w:t>
            </w:r>
          </w:p>
        </w:tc>
      </w:tr>
      <w:tr w14:paraId="181E11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25" w:type="pct"/>
            <w:gridSpan w:val="3"/>
            <w:vMerge w:val="continue"/>
            <w:shd w:val="clear" w:color="auto" w:fill="auto"/>
            <w:vAlign w:val="center"/>
          </w:tcPr>
          <w:p w14:paraId="758385D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p>
        </w:tc>
        <w:tc>
          <w:tcPr>
            <w:tcW w:w="2570" w:type="pct"/>
            <w:gridSpan w:val="3"/>
            <w:shd w:val="clear" w:color="auto" w:fill="auto"/>
            <w:vAlign w:val="center"/>
          </w:tcPr>
          <w:p w14:paraId="527620F1">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sz w:val="20"/>
                <w:szCs w:val="21"/>
              </w:rPr>
              <w:t>甲苯</w:t>
            </w:r>
          </w:p>
        </w:tc>
        <w:tc>
          <w:tcPr>
            <w:tcW w:w="704" w:type="pct"/>
            <w:shd w:val="clear" w:color="auto" w:fill="auto"/>
            <w:vAlign w:val="center"/>
          </w:tcPr>
          <w:p w14:paraId="3B0BF05E">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0.0486</w:t>
            </w:r>
          </w:p>
        </w:tc>
      </w:tr>
      <w:tr w14:paraId="3C5438B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25" w:type="pct"/>
            <w:gridSpan w:val="3"/>
            <w:vMerge w:val="continue"/>
            <w:shd w:val="clear" w:color="auto" w:fill="auto"/>
            <w:vAlign w:val="center"/>
          </w:tcPr>
          <w:p w14:paraId="283074A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p>
        </w:tc>
        <w:tc>
          <w:tcPr>
            <w:tcW w:w="2570" w:type="pct"/>
            <w:gridSpan w:val="3"/>
            <w:shd w:val="clear" w:color="auto" w:fill="auto"/>
            <w:vAlign w:val="center"/>
          </w:tcPr>
          <w:p w14:paraId="0C4401CD">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sz w:val="20"/>
                <w:szCs w:val="21"/>
              </w:rPr>
              <w:t>二甲苯</w:t>
            </w:r>
          </w:p>
        </w:tc>
        <w:tc>
          <w:tcPr>
            <w:tcW w:w="704" w:type="pct"/>
            <w:shd w:val="clear" w:color="auto" w:fill="auto"/>
            <w:vAlign w:val="center"/>
          </w:tcPr>
          <w:p w14:paraId="13419FB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0.0486</w:t>
            </w:r>
          </w:p>
        </w:tc>
      </w:tr>
      <w:tr w14:paraId="00D7E0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25" w:type="pct"/>
            <w:gridSpan w:val="3"/>
            <w:vMerge w:val="continue"/>
            <w:shd w:val="clear" w:color="auto" w:fill="auto"/>
            <w:vAlign w:val="center"/>
          </w:tcPr>
          <w:p w14:paraId="74EAE29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p>
        </w:tc>
        <w:tc>
          <w:tcPr>
            <w:tcW w:w="2570" w:type="pct"/>
            <w:gridSpan w:val="3"/>
            <w:shd w:val="clear" w:color="auto" w:fill="auto"/>
            <w:vAlign w:val="center"/>
          </w:tcPr>
          <w:p w14:paraId="0709B707">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sz w:val="20"/>
                <w:szCs w:val="21"/>
              </w:rPr>
              <w:t>NH</w:t>
            </w:r>
            <w:r>
              <w:rPr>
                <w:rFonts w:hint="default" w:ascii="Times New Roman" w:hAnsi="Times New Roman" w:eastAsia="宋体" w:cs="Times New Roman"/>
                <w:sz w:val="20"/>
                <w:szCs w:val="21"/>
                <w:vertAlign w:val="subscript"/>
              </w:rPr>
              <w:t>3</w:t>
            </w:r>
          </w:p>
        </w:tc>
        <w:tc>
          <w:tcPr>
            <w:tcW w:w="704" w:type="pct"/>
            <w:shd w:val="clear" w:color="auto" w:fill="auto"/>
            <w:vAlign w:val="center"/>
          </w:tcPr>
          <w:p w14:paraId="1D4F5026">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color w:val="000000"/>
                <w:szCs w:val="21"/>
              </w:rPr>
              <w:t>0.0</w:t>
            </w:r>
            <w:r>
              <w:rPr>
                <w:rFonts w:hint="default" w:ascii="Times New Roman" w:hAnsi="Times New Roman" w:eastAsia="宋体" w:cs="Times New Roman"/>
                <w:color w:val="000000"/>
                <w:szCs w:val="21"/>
                <w:lang w:val="en-US" w:eastAsia="zh-CN"/>
              </w:rPr>
              <w:t>2636</w:t>
            </w:r>
          </w:p>
        </w:tc>
      </w:tr>
      <w:tr w14:paraId="01372DE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jc w:val="center"/>
        </w:trPr>
        <w:tc>
          <w:tcPr>
            <w:tcW w:w="1725" w:type="pct"/>
            <w:gridSpan w:val="3"/>
            <w:vMerge w:val="continue"/>
            <w:shd w:val="clear" w:color="auto" w:fill="auto"/>
            <w:vAlign w:val="center"/>
          </w:tcPr>
          <w:p w14:paraId="6889E2D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0"/>
                <w:szCs w:val="21"/>
              </w:rPr>
            </w:pPr>
          </w:p>
        </w:tc>
        <w:tc>
          <w:tcPr>
            <w:tcW w:w="2570" w:type="pct"/>
            <w:gridSpan w:val="3"/>
            <w:shd w:val="clear" w:color="auto" w:fill="auto"/>
            <w:vAlign w:val="center"/>
          </w:tcPr>
          <w:p w14:paraId="46E0F1F7">
            <w:pPr>
              <w:pStyle w:val="120"/>
              <w:keepNext w:val="0"/>
              <w:keepLines w:val="0"/>
              <w:suppressLineNumbers w:val="0"/>
              <w:adjustRightInd/>
              <w:snapToGrid/>
              <w:spacing w:before="0" w:beforeAutospacing="0" w:after="0" w:afterAutospacing="0"/>
              <w:ind w:left="0" w:leftChars="0" w:right="0" w:rightChars="0"/>
              <w:rPr>
                <w:rFonts w:hint="default" w:ascii="Times New Roman" w:hAnsi="Times New Roman" w:eastAsia="宋体" w:cs="Times New Roman"/>
                <w:color w:val="auto"/>
                <w:szCs w:val="21"/>
              </w:rPr>
            </w:pPr>
            <w:r>
              <w:rPr>
                <w:rFonts w:hint="default" w:ascii="Times New Roman" w:hAnsi="Times New Roman" w:eastAsia="宋体" w:cs="Times New Roman"/>
                <w:sz w:val="20"/>
                <w:szCs w:val="21"/>
              </w:rPr>
              <w:t>H</w:t>
            </w:r>
            <w:r>
              <w:rPr>
                <w:rFonts w:hint="default" w:ascii="Times New Roman" w:hAnsi="Times New Roman" w:eastAsia="宋体" w:cs="Times New Roman"/>
                <w:sz w:val="20"/>
                <w:szCs w:val="21"/>
                <w:vertAlign w:val="subscript"/>
              </w:rPr>
              <w:t>2</w:t>
            </w:r>
            <w:r>
              <w:rPr>
                <w:rFonts w:hint="default" w:ascii="Times New Roman" w:hAnsi="Times New Roman" w:eastAsia="宋体" w:cs="Times New Roman"/>
                <w:sz w:val="20"/>
                <w:szCs w:val="21"/>
              </w:rPr>
              <w:t>S</w:t>
            </w:r>
          </w:p>
        </w:tc>
        <w:tc>
          <w:tcPr>
            <w:tcW w:w="704" w:type="pct"/>
            <w:shd w:val="clear" w:color="auto" w:fill="auto"/>
            <w:vAlign w:val="center"/>
          </w:tcPr>
          <w:p w14:paraId="0DE09CEB">
            <w:pPr>
              <w:keepNext w:val="0"/>
              <w:keepLines w:val="0"/>
              <w:suppressLineNumbers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rPr>
              <w:t>0.0</w:t>
            </w:r>
            <w:r>
              <w:rPr>
                <w:rFonts w:hint="default" w:ascii="Times New Roman" w:hAnsi="Times New Roman" w:eastAsia="宋体" w:cs="Times New Roman"/>
                <w:lang w:val="en-US" w:eastAsia="zh-CN"/>
              </w:rPr>
              <w:t>0148</w:t>
            </w:r>
          </w:p>
        </w:tc>
      </w:tr>
    </w:tbl>
    <w:p w14:paraId="5A6B10AF">
      <w:pPr>
        <w:pStyle w:val="3"/>
        <w:spacing w:before="0" w:after="0" w:line="360" w:lineRule="auto"/>
        <w:jc w:val="left"/>
        <w:rPr>
          <w:rFonts w:hint="default" w:ascii="Times New Roman" w:hAnsi="Times New Roman" w:eastAsia="宋体" w:cs="Times New Roman"/>
        </w:rPr>
      </w:pPr>
      <w:bookmarkStart w:id="326" w:name="_Toc117856762"/>
      <w:bookmarkStart w:id="327" w:name="_Toc833"/>
      <w:bookmarkStart w:id="328" w:name="_Toc106961901"/>
      <w:r>
        <w:rPr>
          <w:rFonts w:hint="default" w:ascii="Times New Roman" w:hAnsi="Times New Roman" w:eastAsia="宋体" w:cs="Times New Roman"/>
          <w:kern w:val="0"/>
          <w:sz w:val="30"/>
          <w:szCs w:val="28"/>
        </w:rPr>
        <w:t>7.3地表水环境影响分析</w:t>
      </w:r>
      <w:bookmarkEnd w:id="326"/>
      <w:bookmarkEnd w:id="327"/>
      <w:bookmarkEnd w:id="328"/>
    </w:p>
    <w:p w14:paraId="60A583B5">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根据《环境影响评价技术导则 地表水环境》（HJ2.3-2018），本项目综合</w:t>
      </w:r>
      <w:r>
        <w:rPr>
          <w:rFonts w:hint="default" w:ascii="Times New Roman" w:hAnsi="Times New Roman" w:eastAsia="宋体" w:cs="Times New Roman"/>
          <w:lang w:val="en-US" w:eastAsia="zh-CN"/>
        </w:rPr>
        <w:t>清洗</w:t>
      </w:r>
      <w:r>
        <w:rPr>
          <w:rFonts w:hint="default" w:ascii="Times New Roman" w:hAnsi="Times New Roman" w:eastAsia="宋体" w:cs="Times New Roman"/>
        </w:rPr>
        <w:t>废水</w:t>
      </w:r>
      <w:r>
        <w:rPr>
          <w:rFonts w:hint="default" w:ascii="Times New Roman" w:hAnsi="Times New Roman" w:eastAsia="宋体" w:cs="Times New Roman"/>
          <w:lang w:val="en-US" w:eastAsia="zh-CN"/>
        </w:rPr>
        <w:t>处理后全部回用于生产，</w:t>
      </w:r>
      <w:r>
        <w:rPr>
          <w:rFonts w:hint="default" w:ascii="Times New Roman" w:hAnsi="Times New Roman" w:eastAsia="宋体" w:cs="Times New Roman"/>
        </w:rPr>
        <w:t>生活污水</w:t>
      </w:r>
      <w:r>
        <w:rPr>
          <w:rFonts w:hint="default" w:ascii="Times New Roman" w:hAnsi="Times New Roman" w:eastAsia="宋体" w:cs="Times New Roman"/>
          <w:lang w:val="en-US" w:eastAsia="zh-CN"/>
        </w:rPr>
        <w:t>为</w:t>
      </w:r>
      <w:r>
        <w:rPr>
          <w:rFonts w:hint="default" w:ascii="Times New Roman" w:hAnsi="Times New Roman" w:eastAsia="宋体" w:cs="Times New Roman"/>
        </w:rPr>
        <w:t>间接排放，确定本项目地表水环境影响评价工作等级为三级B，评价内容包括：水污染控制和水环境影响减缓措施有效性评价；依托污水处理设施的环境可行性评价。</w:t>
      </w:r>
    </w:p>
    <w:p w14:paraId="763D6A04">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7.3.1项目废水产排情况</w:t>
      </w:r>
    </w:p>
    <w:p w14:paraId="44992501">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4"/>
        </w:rPr>
        <w:t>由污染源分析可知，</w:t>
      </w:r>
      <w:r>
        <w:rPr>
          <w:rFonts w:hint="default" w:ascii="Times New Roman" w:hAnsi="Times New Roman" w:eastAsia="宋体" w:cs="Times New Roman"/>
          <w:sz w:val="24"/>
          <w:szCs w:val="21"/>
        </w:rPr>
        <w:t>本项目产生的废水包括生产废水和员工生活污水，生产废水主要来源于废包装桶整形翻新过程产生的清洗废水、废金属包装容器破碎清洗过程清洗废水、废塑料包装物破碎清洗过程清洗废水</w:t>
      </w:r>
      <w:r>
        <w:rPr>
          <w:rFonts w:hint="default" w:ascii="Times New Roman" w:hAnsi="Times New Roman" w:eastAsia="宋体" w:cs="Times New Roman"/>
          <w:sz w:val="24"/>
          <w:szCs w:val="21"/>
          <w:lang w:eastAsia="zh-CN"/>
        </w:rPr>
        <w:t>，</w:t>
      </w:r>
      <w:r>
        <w:rPr>
          <w:rFonts w:hint="default" w:ascii="Times New Roman" w:hAnsi="Times New Roman" w:eastAsia="宋体" w:cs="Times New Roman"/>
          <w:sz w:val="24"/>
          <w:szCs w:val="21"/>
          <w:lang w:val="en-US" w:eastAsia="zh-CN"/>
        </w:rPr>
        <w:t>以及厂区的初期雨水</w:t>
      </w:r>
      <w:r>
        <w:rPr>
          <w:rFonts w:hint="default" w:ascii="Times New Roman" w:hAnsi="Times New Roman" w:eastAsia="宋体" w:cs="Times New Roman"/>
          <w:sz w:val="24"/>
          <w:szCs w:val="21"/>
        </w:rPr>
        <w:t>。</w:t>
      </w:r>
    </w:p>
    <w:p w14:paraId="2D5C8F62">
      <w:pPr>
        <w:pStyle w:val="48"/>
        <w:spacing w:before="0" w:line="360" w:lineRule="auto"/>
        <w:ind w:firstLine="482"/>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（1）生产废水</w:t>
      </w:r>
    </w:p>
    <w:p w14:paraId="06AFB5DC">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项目各生产线废水统一通过厂区内的排水管道汇入项目自建的污水处理站，经处理达标后</w:t>
      </w:r>
      <w:r>
        <w:rPr>
          <w:rFonts w:hint="default" w:ascii="Times New Roman" w:hAnsi="Times New Roman" w:eastAsia="宋体" w:cs="Times New Roman"/>
          <w:sz w:val="24"/>
          <w:szCs w:val="21"/>
          <w:lang w:val="en-US" w:eastAsia="zh-CN"/>
        </w:rPr>
        <w:t>通过预设管道转存至危险废物综合处置车间配套的蓄水池（50m</w:t>
      </w:r>
      <w:r>
        <w:rPr>
          <w:rFonts w:hint="default" w:ascii="Times New Roman" w:hAnsi="Times New Roman" w:eastAsia="宋体" w:cs="Times New Roman"/>
          <w:sz w:val="24"/>
          <w:szCs w:val="21"/>
          <w:vertAlign w:val="superscript"/>
          <w:lang w:val="en-US" w:eastAsia="zh-CN"/>
        </w:rPr>
        <w:t>3</w:t>
      </w:r>
      <w:r>
        <w:rPr>
          <w:rFonts w:hint="default" w:ascii="Times New Roman" w:hAnsi="Times New Roman" w:eastAsia="宋体" w:cs="Times New Roman"/>
          <w:sz w:val="24"/>
          <w:szCs w:val="21"/>
          <w:lang w:val="en-US" w:eastAsia="zh-CN"/>
        </w:rPr>
        <w:t>），之后全部回用于危险废物的再生清洗工序，根据建设单位的回用计划，拟回用一次后再次进入污水处理站，处理达到</w:t>
      </w:r>
      <w:r>
        <w:rPr>
          <w:rFonts w:hint="default" w:ascii="Times New Roman" w:hAnsi="Times New Roman" w:eastAsia="宋体" w:cs="Times New Roman"/>
          <w:sz w:val="24"/>
          <w:szCs w:val="21"/>
        </w:rPr>
        <w:t>经处理达</w:t>
      </w:r>
      <w:r>
        <w:rPr>
          <w:rFonts w:hint="default" w:ascii="Times New Roman" w:hAnsi="Times New Roman" w:eastAsia="宋体" w:cs="Times New Roman"/>
          <w:sz w:val="24"/>
          <w:szCs w:val="21"/>
          <w:lang w:val="en-US" w:eastAsia="zh-CN"/>
        </w:rPr>
        <w:t>到</w:t>
      </w:r>
      <w:r>
        <w:rPr>
          <w:rFonts w:hint="default" w:ascii="Times New Roman" w:hAnsi="Times New Roman" w:eastAsia="宋体" w:cs="Times New Roman"/>
          <w:sz w:val="24"/>
          <w:szCs w:val="21"/>
        </w:rPr>
        <w:t>《污水综合排放标准》（GB8978-1996）表4 三级标准，</w:t>
      </w:r>
      <w:r>
        <w:rPr>
          <w:rFonts w:hint="default" w:ascii="Times New Roman" w:hAnsi="Times New Roman" w:eastAsia="宋体" w:cs="Times New Roman"/>
          <w:sz w:val="24"/>
          <w:szCs w:val="21"/>
          <w:lang w:val="en-US" w:eastAsia="zh-CN"/>
        </w:rPr>
        <w:t>且</w:t>
      </w:r>
      <w:r>
        <w:rPr>
          <w:rFonts w:hint="default" w:ascii="Times New Roman" w:hAnsi="Times New Roman" w:eastAsia="宋体" w:cs="Times New Roman"/>
          <w:sz w:val="24"/>
          <w:szCs w:val="21"/>
        </w:rPr>
        <w:t>同时满足松木污水处理厂进水水质要求后排入园区污水管网。</w:t>
      </w:r>
    </w:p>
    <w:p w14:paraId="20592598">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本项目自建的污水处理站拟采用“</w:t>
      </w:r>
      <w:r>
        <w:rPr>
          <w:rFonts w:hint="default" w:ascii="Times New Roman" w:hAnsi="Times New Roman" w:eastAsia="宋体" w:cs="Times New Roman"/>
          <w:sz w:val="24"/>
          <w:szCs w:val="24"/>
          <w:lang w:eastAsia="zh-CN"/>
        </w:rPr>
        <w:t>pH调节+絮凝+气浮+芬顿氧化+水解酸化+AO处理+沉淀</w:t>
      </w:r>
      <w:r>
        <w:rPr>
          <w:rFonts w:hint="default" w:ascii="Times New Roman" w:hAnsi="Times New Roman" w:eastAsia="宋体" w:cs="Times New Roman"/>
          <w:sz w:val="24"/>
          <w:szCs w:val="21"/>
        </w:rPr>
        <w:t>”处理工艺处理各生产线清洗工序产生的废水，根据《芬顿氧化法废水处理工程技术规范》（HJ 1095-2020）、《污水混凝与絮凝处理工程技术规范》（HJ 2006-2010）、《水解酸化反应器污水处理工程技术规范》（HJ 2047-2015）和《厌氧-缺氧-好氧活性污泥法污水处理工程技术规范》（HJ 576-2010）等技术规范，综合废水处理效率及排放情况见下表。</w:t>
      </w:r>
    </w:p>
    <w:p w14:paraId="071DEC3F">
      <w:pPr>
        <w:pStyle w:val="48"/>
        <w:spacing w:before="0" w:line="360" w:lineRule="auto"/>
        <w:ind w:firstLine="0" w:firstLineChars="0"/>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表7.3-1 污水处理站废水污染源强核算及相关参数一览表</w:t>
      </w:r>
    </w:p>
    <w:tbl>
      <w:tblPr>
        <w:tblStyle w:val="59"/>
        <w:tblW w:w="4997"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76"/>
        <w:gridCol w:w="992"/>
        <w:gridCol w:w="1175"/>
        <w:gridCol w:w="916"/>
        <w:gridCol w:w="887"/>
        <w:gridCol w:w="891"/>
        <w:gridCol w:w="922"/>
        <w:gridCol w:w="756"/>
        <w:gridCol w:w="756"/>
        <w:gridCol w:w="756"/>
      </w:tblGrid>
      <w:tr w14:paraId="263C956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Align w:val="center"/>
          </w:tcPr>
          <w:p w14:paraId="79F621E1">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zh-CN"/>
              </w:rPr>
              <w:t>废水种类</w:t>
            </w:r>
          </w:p>
        </w:tc>
        <w:tc>
          <w:tcPr>
            <w:tcW w:w="563" w:type="pct"/>
            <w:vAlign w:val="center"/>
          </w:tcPr>
          <w:p w14:paraId="22E78473">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废水产生量</w:t>
            </w:r>
          </w:p>
          <w:p w14:paraId="2FDE54D0">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（t/a）</w:t>
            </w:r>
          </w:p>
        </w:tc>
        <w:tc>
          <w:tcPr>
            <w:tcW w:w="665" w:type="pct"/>
            <w:vAlign w:val="center"/>
          </w:tcPr>
          <w:p w14:paraId="5DBEA503">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污染物</w:t>
            </w:r>
          </w:p>
        </w:tc>
        <w:tc>
          <w:tcPr>
            <w:tcW w:w="445" w:type="pct"/>
            <w:vAlign w:val="center"/>
          </w:tcPr>
          <w:p w14:paraId="50480922">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产生浓度</w:t>
            </w:r>
          </w:p>
          <w:p w14:paraId="2BF8C2BF">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（mg/L）</w:t>
            </w:r>
          </w:p>
        </w:tc>
        <w:tc>
          <w:tcPr>
            <w:tcW w:w="504" w:type="pct"/>
            <w:vAlign w:val="center"/>
          </w:tcPr>
          <w:p w14:paraId="4124E9F7">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产生量</w:t>
            </w:r>
          </w:p>
          <w:p w14:paraId="401D9ACB">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（t/a）</w:t>
            </w:r>
          </w:p>
        </w:tc>
        <w:tc>
          <w:tcPr>
            <w:tcW w:w="506" w:type="pct"/>
            <w:vAlign w:val="center"/>
          </w:tcPr>
          <w:p w14:paraId="6A8FE900">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处理效率</w:t>
            </w:r>
          </w:p>
          <w:p w14:paraId="57586B30">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w:t>
            </w:r>
          </w:p>
        </w:tc>
        <w:tc>
          <w:tcPr>
            <w:tcW w:w="523" w:type="pct"/>
            <w:vAlign w:val="center"/>
          </w:tcPr>
          <w:p w14:paraId="6A9C50C7">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排放浓度</w:t>
            </w:r>
          </w:p>
          <w:p w14:paraId="40FDA9C6">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（mg/L）</w:t>
            </w:r>
          </w:p>
        </w:tc>
        <w:tc>
          <w:tcPr>
            <w:tcW w:w="430" w:type="pct"/>
            <w:vAlign w:val="center"/>
          </w:tcPr>
          <w:p w14:paraId="05C69A1A">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排放量</w:t>
            </w:r>
          </w:p>
          <w:p w14:paraId="4521CF46">
            <w:pPr>
              <w:pStyle w:val="60"/>
              <w:adjustRightInd w:val="0"/>
              <w:snapToGrid w:val="0"/>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（t/a）</w:t>
            </w:r>
          </w:p>
        </w:tc>
        <w:tc>
          <w:tcPr>
            <w:tcW w:w="430" w:type="pct"/>
            <w:vAlign w:val="center"/>
          </w:tcPr>
          <w:p w14:paraId="2A4FAD99">
            <w:pPr>
              <w:pStyle w:val="60"/>
              <w:adjustRightInd w:val="0"/>
              <w:snapToGrid w:val="0"/>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污水处理产处理后浓度</w:t>
            </w:r>
          </w:p>
        </w:tc>
        <w:tc>
          <w:tcPr>
            <w:tcW w:w="430" w:type="pct"/>
            <w:vAlign w:val="center"/>
          </w:tcPr>
          <w:p w14:paraId="0A90F5B8">
            <w:pPr>
              <w:pStyle w:val="60"/>
              <w:adjustRightInd w:val="0"/>
              <w:snapToGrid w:val="0"/>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进入环境总量</w:t>
            </w:r>
          </w:p>
        </w:tc>
      </w:tr>
      <w:tr w14:paraId="6D9AB2A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Merge w:val="restart"/>
            <w:vAlign w:val="center"/>
          </w:tcPr>
          <w:p w14:paraId="45B1DE98">
            <w:pPr>
              <w:pStyle w:val="60"/>
              <w:adjustRightInd w:val="0"/>
              <w:snapToGrid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综合</w:t>
            </w:r>
            <w:r>
              <w:rPr>
                <w:rFonts w:hint="default" w:ascii="Times New Roman" w:hAnsi="Times New Roman" w:eastAsia="宋体" w:cs="Times New Roman"/>
                <w:sz w:val="21"/>
                <w:szCs w:val="21"/>
                <w:lang w:val="en-US" w:eastAsia="zh-CN"/>
              </w:rPr>
              <w:t>清洗</w:t>
            </w:r>
          </w:p>
          <w:p w14:paraId="0AA9B469">
            <w:pPr>
              <w:pStyle w:val="60"/>
              <w:adjustRightInd w:val="0"/>
              <w:snapToGrid w:val="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废水</w:t>
            </w:r>
          </w:p>
        </w:tc>
        <w:tc>
          <w:tcPr>
            <w:tcW w:w="563" w:type="pct"/>
            <w:vMerge w:val="restart"/>
            <w:vAlign w:val="center"/>
          </w:tcPr>
          <w:p w14:paraId="2B399A85">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kern w:val="0"/>
                <w:szCs w:val="21"/>
              </w:rPr>
              <w:t>7392</w:t>
            </w:r>
          </w:p>
        </w:tc>
        <w:tc>
          <w:tcPr>
            <w:tcW w:w="665" w:type="pct"/>
            <w:vAlign w:val="center"/>
          </w:tcPr>
          <w:p w14:paraId="60530AC7">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pH（无量纲）</w:t>
            </w:r>
          </w:p>
        </w:tc>
        <w:tc>
          <w:tcPr>
            <w:tcW w:w="445" w:type="pct"/>
            <w:vAlign w:val="center"/>
          </w:tcPr>
          <w:p w14:paraId="7087079D">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szCs w:val="21"/>
                <w:lang w:eastAsia="en-US"/>
              </w:rPr>
              <w:t>9~10</w:t>
            </w:r>
          </w:p>
        </w:tc>
        <w:tc>
          <w:tcPr>
            <w:tcW w:w="504" w:type="pct"/>
            <w:vAlign w:val="center"/>
          </w:tcPr>
          <w:p w14:paraId="6A977646">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w:t>
            </w:r>
          </w:p>
        </w:tc>
        <w:tc>
          <w:tcPr>
            <w:tcW w:w="506" w:type="pct"/>
            <w:vAlign w:val="center"/>
          </w:tcPr>
          <w:p w14:paraId="17DE7EF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w:t>
            </w:r>
          </w:p>
        </w:tc>
        <w:tc>
          <w:tcPr>
            <w:tcW w:w="523" w:type="pct"/>
            <w:vAlign w:val="center"/>
          </w:tcPr>
          <w:p w14:paraId="7DCC4DA1">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6~9</w:t>
            </w:r>
          </w:p>
        </w:tc>
        <w:tc>
          <w:tcPr>
            <w:tcW w:w="430" w:type="pct"/>
            <w:vAlign w:val="center"/>
          </w:tcPr>
          <w:p w14:paraId="24D4F12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w:t>
            </w:r>
          </w:p>
        </w:tc>
        <w:tc>
          <w:tcPr>
            <w:tcW w:w="430" w:type="pct"/>
            <w:vAlign w:val="center"/>
          </w:tcPr>
          <w:p w14:paraId="7E89676D">
            <w:pPr>
              <w:pStyle w:val="60"/>
              <w:adjustRightInd w:val="0"/>
              <w:snapToGrid w:val="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c>
          <w:tcPr>
            <w:tcW w:w="430" w:type="pct"/>
            <w:vAlign w:val="center"/>
          </w:tcPr>
          <w:p w14:paraId="1C4A1514">
            <w:pPr>
              <w:pStyle w:val="60"/>
              <w:adjustRightInd w:val="0"/>
              <w:snapToGrid w:val="0"/>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w:t>
            </w:r>
          </w:p>
        </w:tc>
      </w:tr>
      <w:tr w14:paraId="6709084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Merge w:val="continue"/>
            <w:vAlign w:val="center"/>
          </w:tcPr>
          <w:p w14:paraId="28CC7BB3">
            <w:pPr>
              <w:pStyle w:val="60"/>
              <w:adjustRightInd w:val="0"/>
              <w:snapToGrid w:val="0"/>
              <w:rPr>
                <w:rFonts w:hint="default" w:ascii="Times New Roman" w:hAnsi="Times New Roman" w:eastAsia="宋体" w:cs="Times New Roman"/>
                <w:sz w:val="21"/>
                <w:szCs w:val="21"/>
                <w:lang w:eastAsia="en-US"/>
              </w:rPr>
            </w:pPr>
          </w:p>
        </w:tc>
        <w:tc>
          <w:tcPr>
            <w:tcW w:w="563" w:type="pct"/>
            <w:vMerge w:val="continue"/>
            <w:vAlign w:val="center"/>
          </w:tcPr>
          <w:p w14:paraId="560173DC">
            <w:pPr>
              <w:pStyle w:val="60"/>
              <w:adjustRightInd w:val="0"/>
              <w:snapToGrid w:val="0"/>
              <w:rPr>
                <w:rFonts w:hint="default" w:ascii="Times New Roman" w:hAnsi="Times New Roman" w:eastAsia="宋体" w:cs="Times New Roman"/>
                <w:color w:val="000000"/>
                <w:szCs w:val="21"/>
                <w:lang w:eastAsia="en-US"/>
              </w:rPr>
            </w:pPr>
          </w:p>
        </w:tc>
        <w:tc>
          <w:tcPr>
            <w:tcW w:w="665" w:type="pct"/>
            <w:vAlign w:val="center"/>
          </w:tcPr>
          <w:p w14:paraId="4918FBA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szCs w:val="21"/>
                <w:lang w:eastAsia="en-US"/>
              </w:rPr>
              <w:t>苯</w:t>
            </w:r>
          </w:p>
        </w:tc>
        <w:tc>
          <w:tcPr>
            <w:tcW w:w="445" w:type="pct"/>
            <w:vAlign w:val="center"/>
          </w:tcPr>
          <w:p w14:paraId="280F130D">
            <w:pPr>
              <w:widowControl/>
              <w:autoSpaceDE w:val="0"/>
              <w:autoSpaceDN w:val="0"/>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kern w:val="0"/>
                <w:szCs w:val="21"/>
              </w:rPr>
              <w:t>0.</w:t>
            </w:r>
            <w:r>
              <w:rPr>
                <w:rFonts w:hint="default" w:ascii="Times New Roman" w:hAnsi="Times New Roman" w:eastAsia="宋体" w:cs="Times New Roman"/>
                <w:color w:val="000000"/>
                <w:kern w:val="0"/>
                <w:szCs w:val="21"/>
                <w:lang w:val="en-US" w:eastAsia="zh-CN"/>
              </w:rPr>
              <w:t>4</w:t>
            </w:r>
          </w:p>
        </w:tc>
        <w:tc>
          <w:tcPr>
            <w:tcW w:w="504" w:type="pct"/>
            <w:vAlign w:val="center"/>
          </w:tcPr>
          <w:p w14:paraId="1DB908BF">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506" w:type="pct"/>
            <w:vAlign w:val="center"/>
          </w:tcPr>
          <w:p w14:paraId="3119F1A4">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50</w:t>
            </w:r>
          </w:p>
        </w:tc>
        <w:tc>
          <w:tcPr>
            <w:tcW w:w="523" w:type="pct"/>
            <w:vAlign w:val="center"/>
          </w:tcPr>
          <w:p w14:paraId="24A32405">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430" w:type="pct"/>
            <w:vAlign w:val="center"/>
          </w:tcPr>
          <w:p w14:paraId="09EE6DD5">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430" w:type="pct"/>
            <w:vAlign w:val="center"/>
          </w:tcPr>
          <w:p w14:paraId="0C5BDEF5">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430" w:type="pct"/>
            <w:vAlign w:val="center"/>
          </w:tcPr>
          <w:p w14:paraId="341103AA">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r>
      <w:tr w14:paraId="667934F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Merge w:val="continue"/>
            <w:vAlign w:val="center"/>
          </w:tcPr>
          <w:p w14:paraId="7E4CFE7E">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563" w:type="pct"/>
            <w:vMerge w:val="continue"/>
            <w:vAlign w:val="center"/>
          </w:tcPr>
          <w:p w14:paraId="4F5D20BB">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65" w:type="pct"/>
            <w:vAlign w:val="center"/>
          </w:tcPr>
          <w:p w14:paraId="01DB3FE7">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甲苯</w:t>
            </w:r>
          </w:p>
        </w:tc>
        <w:tc>
          <w:tcPr>
            <w:tcW w:w="445" w:type="pct"/>
            <w:vAlign w:val="center"/>
          </w:tcPr>
          <w:p w14:paraId="2A68B43A">
            <w:pPr>
              <w:widowControl/>
              <w:autoSpaceDE w:val="0"/>
              <w:autoSpaceDN w:val="0"/>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kern w:val="0"/>
                <w:szCs w:val="21"/>
              </w:rPr>
              <w:t xml:space="preserve">0.4 </w:t>
            </w:r>
          </w:p>
        </w:tc>
        <w:tc>
          <w:tcPr>
            <w:tcW w:w="504" w:type="pct"/>
            <w:vAlign w:val="center"/>
          </w:tcPr>
          <w:p w14:paraId="180A04A7">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0.003</w:t>
            </w:r>
          </w:p>
        </w:tc>
        <w:tc>
          <w:tcPr>
            <w:tcW w:w="506" w:type="pct"/>
            <w:vAlign w:val="center"/>
          </w:tcPr>
          <w:p w14:paraId="714943BB">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50</w:t>
            </w:r>
          </w:p>
        </w:tc>
        <w:tc>
          <w:tcPr>
            <w:tcW w:w="523" w:type="pct"/>
            <w:vAlign w:val="center"/>
          </w:tcPr>
          <w:p w14:paraId="0367378B">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430" w:type="pct"/>
            <w:vAlign w:val="center"/>
          </w:tcPr>
          <w:p w14:paraId="2C61E350">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0.0015</w:t>
            </w:r>
          </w:p>
        </w:tc>
        <w:tc>
          <w:tcPr>
            <w:tcW w:w="430" w:type="pct"/>
            <w:vAlign w:val="center"/>
          </w:tcPr>
          <w:p w14:paraId="11FC533F">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c>
          <w:tcPr>
            <w:tcW w:w="430" w:type="pct"/>
            <w:vAlign w:val="center"/>
          </w:tcPr>
          <w:p w14:paraId="2CF32EB6">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w:t>
            </w:r>
          </w:p>
        </w:tc>
      </w:tr>
      <w:tr w14:paraId="61A99A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Merge w:val="continue"/>
            <w:vAlign w:val="center"/>
          </w:tcPr>
          <w:p w14:paraId="7B00F63A">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563" w:type="pct"/>
            <w:vMerge w:val="continue"/>
            <w:vAlign w:val="center"/>
          </w:tcPr>
          <w:p w14:paraId="3D8830D8">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65" w:type="pct"/>
            <w:vAlign w:val="center"/>
          </w:tcPr>
          <w:p w14:paraId="23070BC9">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COD</w:t>
            </w:r>
            <w:r>
              <w:rPr>
                <w:rFonts w:hint="default" w:ascii="Times New Roman" w:hAnsi="Times New Roman" w:eastAsia="宋体" w:cs="Times New Roman"/>
                <w:sz w:val="21"/>
                <w:szCs w:val="21"/>
                <w:vertAlign w:val="subscript"/>
                <w:lang w:eastAsia="en-US"/>
              </w:rPr>
              <w:t>Cr</w:t>
            </w:r>
          </w:p>
        </w:tc>
        <w:tc>
          <w:tcPr>
            <w:tcW w:w="445" w:type="pct"/>
            <w:vAlign w:val="center"/>
          </w:tcPr>
          <w:p w14:paraId="0CC18447">
            <w:pPr>
              <w:widowControl/>
              <w:autoSpaceDE w:val="0"/>
              <w:autoSpaceDN w:val="0"/>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kern w:val="0"/>
                <w:szCs w:val="21"/>
                <w:lang w:val="en-US" w:eastAsia="zh-CN"/>
              </w:rPr>
              <w:t>1407.59</w:t>
            </w:r>
          </w:p>
        </w:tc>
        <w:tc>
          <w:tcPr>
            <w:tcW w:w="504" w:type="pct"/>
            <w:vAlign w:val="center"/>
          </w:tcPr>
          <w:p w14:paraId="27979FFA">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10.40</w:t>
            </w:r>
          </w:p>
        </w:tc>
        <w:tc>
          <w:tcPr>
            <w:tcW w:w="506" w:type="pct"/>
            <w:vAlign w:val="center"/>
          </w:tcPr>
          <w:p w14:paraId="11FE234F">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90</w:t>
            </w:r>
          </w:p>
        </w:tc>
        <w:tc>
          <w:tcPr>
            <w:tcW w:w="523" w:type="pct"/>
            <w:vAlign w:val="center"/>
          </w:tcPr>
          <w:p w14:paraId="3E894EF7">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140.76</w:t>
            </w:r>
          </w:p>
        </w:tc>
        <w:tc>
          <w:tcPr>
            <w:tcW w:w="430" w:type="pct"/>
            <w:vAlign w:val="center"/>
          </w:tcPr>
          <w:p w14:paraId="13640EF6">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1.04</w:t>
            </w:r>
          </w:p>
        </w:tc>
        <w:tc>
          <w:tcPr>
            <w:tcW w:w="430" w:type="pct"/>
            <w:vAlign w:val="center"/>
          </w:tcPr>
          <w:p w14:paraId="751D902C">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50</w:t>
            </w:r>
          </w:p>
        </w:tc>
        <w:tc>
          <w:tcPr>
            <w:tcW w:w="430" w:type="pct"/>
            <w:vAlign w:val="center"/>
          </w:tcPr>
          <w:p w14:paraId="56C2462E">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0.37</w:t>
            </w:r>
          </w:p>
        </w:tc>
      </w:tr>
      <w:tr w14:paraId="721618F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Merge w:val="continue"/>
            <w:vAlign w:val="center"/>
          </w:tcPr>
          <w:p w14:paraId="6906CB89">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563" w:type="pct"/>
            <w:vMerge w:val="continue"/>
            <w:vAlign w:val="center"/>
          </w:tcPr>
          <w:p w14:paraId="17407140">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65" w:type="pct"/>
            <w:vAlign w:val="center"/>
          </w:tcPr>
          <w:p w14:paraId="3C3AF818">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BOD</w:t>
            </w:r>
            <w:r>
              <w:rPr>
                <w:rFonts w:hint="default" w:ascii="Times New Roman" w:hAnsi="Times New Roman" w:eastAsia="宋体" w:cs="Times New Roman"/>
                <w:sz w:val="21"/>
                <w:szCs w:val="21"/>
                <w:vertAlign w:val="subscript"/>
                <w:lang w:eastAsia="en-US"/>
              </w:rPr>
              <w:t>5</w:t>
            </w:r>
          </w:p>
        </w:tc>
        <w:tc>
          <w:tcPr>
            <w:tcW w:w="445" w:type="pct"/>
            <w:vAlign w:val="center"/>
          </w:tcPr>
          <w:p w14:paraId="0FA7A162">
            <w:pPr>
              <w:widowControl/>
              <w:autoSpaceDE w:val="0"/>
              <w:autoSpaceDN w:val="0"/>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kern w:val="0"/>
                <w:szCs w:val="21"/>
                <w:lang w:val="en-US" w:eastAsia="zh-CN"/>
              </w:rPr>
              <w:t>354.8</w:t>
            </w:r>
          </w:p>
        </w:tc>
        <w:tc>
          <w:tcPr>
            <w:tcW w:w="504" w:type="pct"/>
            <w:vAlign w:val="center"/>
          </w:tcPr>
          <w:p w14:paraId="00F3765B">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2.62</w:t>
            </w:r>
          </w:p>
        </w:tc>
        <w:tc>
          <w:tcPr>
            <w:tcW w:w="506" w:type="pct"/>
            <w:vAlign w:val="center"/>
          </w:tcPr>
          <w:p w14:paraId="41088837">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95</w:t>
            </w:r>
          </w:p>
        </w:tc>
        <w:tc>
          <w:tcPr>
            <w:tcW w:w="523" w:type="pct"/>
            <w:vAlign w:val="center"/>
          </w:tcPr>
          <w:p w14:paraId="443091F2">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17.74</w:t>
            </w:r>
          </w:p>
        </w:tc>
        <w:tc>
          <w:tcPr>
            <w:tcW w:w="430" w:type="pct"/>
            <w:vAlign w:val="center"/>
          </w:tcPr>
          <w:p w14:paraId="0B487792">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430" w:type="pct"/>
            <w:vAlign w:val="center"/>
          </w:tcPr>
          <w:p w14:paraId="5C1166D1">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w:t>
            </w:r>
          </w:p>
        </w:tc>
        <w:tc>
          <w:tcPr>
            <w:tcW w:w="430" w:type="pct"/>
            <w:vAlign w:val="center"/>
          </w:tcPr>
          <w:p w14:paraId="20B3B103">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0.074</w:t>
            </w:r>
          </w:p>
        </w:tc>
      </w:tr>
      <w:tr w14:paraId="0A33A99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Merge w:val="continue"/>
            <w:vAlign w:val="center"/>
          </w:tcPr>
          <w:p w14:paraId="3C4755E8">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563" w:type="pct"/>
            <w:vMerge w:val="continue"/>
            <w:vAlign w:val="center"/>
          </w:tcPr>
          <w:p w14:paraId="1AD2C53B">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65" w:type="pct"/>
            <w:vAlign w:val="center"/>
          </w:tcPr>
          <w:p w14:paraId="44BC9D7C">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SS</w:t>
            </w:r>
          </w:p>
        </w:tc>
        <w:tc>
          <w:tcPr>
            <w:tcW w:w="445" w:type="pct"/>
            <w:vAlign w:val="center"/>
          </w:tcPr>
          <w:p w14:paraId="66A223BA">
            <w:pPr>
              <w:widowControl/>
              <w:autoSpaceDE w:val="0"/>
              <w:autoSpaceDN w:val="0"/>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kern w:val="0"/>
                <w:szCs w:val="21"/>
                <w:lang w:val="en-US" w:eastAsia="zh-CN"/>
              </w:rPr>
              <w:t>820.63</w:t>
            </w:r>
          </w:p>
        </w:tc>
        <w:tc>
          <w:tcPr>
            <w:tcW w:w="504" w:type="pct"/>
            <w:vAlign w:val="center"/>
          </w:tcPr>
          <w:p w14:paraId="5106C3E7">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6.07</w:t>
            </w:r>
          </w:p>
        </w:tc>
        <w:tc>
          <w:tcPr>
            <w:tcW w:w="506" w:type="pct"/>
            <w:vAlign w:val="center"/>
          </w:tcPr>
          <w:p w14:paraId="5BE629D8">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95</w:t>
            </w:r>
          </w:p>
        </w:tc>
        <w:tc>
          <w:tcPr>
            <w:tcW w:w="523" w:type="pct"/>
            <w:vAlign w:val="center"/>
          </w:tcPr>
          <w:p w14:paraId="36365C25">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41.03</w:t>
            </w:r>
          </w:p>
        </w:tc>
        <w:tc>
          <w:tcPr>
            <w:tcW w:w="430" w:type="pct"/>
            <w:vAlign w:val="center"/>
          </w:tcPr>
          <w:p w14:paraId="1EF85479">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0.30</w:t>
            </w:r>
          </w:p>
        </w:tc>
        <w:tc>
          <w:tcPr>
            <w:tcW w:w="430" w:type="pct"/>
            <w:vAlign w:val="center"/>
          </w:tcPr>
          <w:p w14:paraId="66C9F0B8">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10</w:t>
            </w:r>
          </w:p>
        </w:tc>
        <w:tc>
          <w:tcPr>
            <w:tcW w:w="430" w:type="pct"/>
            <w:vAlign w:val="center"/>
          </w:tcPr>
          <w:p w14:paraId="2F99A40D">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0.074</w:t>
            </w:r>
          </w:p>
        </w:tc>
      </w:tr>
      <w:tr w14:paraId="2186961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Merge w:val="continue"/>
            <w:vAlign w:val="center"/>
          </w:tcPr>
          <w:p w14:paraId="6001DB8F">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563" w:type="pct"/>
            <w:vMerge w:val="continue"/>
            <w:vAlign w:val="center"/>
          </w:tcPr>
          <w:p w14:paraId="013B5CE9">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65" w:type="pct"/>
            <w:vAlign w:val="center"/>
          </w:tcPr>
          <w:p w14:paraId="589A2874">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石油类</w:t>
            </w:r>
          </w:p>
        </w:tc>
        <w:tc>
          <w:tcPr>
            <w:tcW w:w="445" w:type="pct"/>
            <w:vAlign w:val="center"/>
          </w:tcPr>
          <w:p w14:paraId="42F3C090">
            <w:pPr>
              <w:widowControl/>
              <w:autoSpaceDE w:val="0"/>
              <w:autoSpaceDN w:val="0"/>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kern w:val="0"/>
                <w:szCs w:val="21"/>
                <w:lang w:val="en-US" w:eastAsia="zh-CN"/>
              </w:rPr>
              <w:t>119.9</w:t>
            </w:r>
          </w:p>
        </w:tc>
        <w:tc>
          <w:tcPr>
            <w:tcW w:w="504" w:type="pct"/>
            <w:vAlign w:val="center"/>
          </w:tcPr>
          <w:p w14:paraId="5F6C0397">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0.89</w:t>
            </w:r>
          </w:p>
        </w:tc>
        <w:tc>
          <w:tcPr>
            <w:tcW w:w="506" w:type="pct"/>
            <w:vAlign w:val="center"/>
          </w:tcPr>
          <w:p w14:paraId="103E147C">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85</w:t>
            </w:r>
          </w:p>
        </w:tc>
        <w:tc>
          <w:tcPr>
            <w:tcW w:w="523" w:type="pct"/>
            <w:vAlign w:val="center"/>
          </w:tcPr>
          <w:p w14:paraId="1CD7637D">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17.99</w:t>
            </w:r>
          </w:p>
        </w:tc>
        <w:tc>
          <w:tcPr>
            <w:tcW w:w="430" w:type="pct"/>
            <w:vAlign w:val="center"/>
          </w:tcPr>
          <w:p w14:paraId="70364AE1">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0.13</w:t>
            </w:r>
          </w:p>
        </w:tc>
        <w:tc>
          <w:tcPr>
            <w:tcW w:w="430" w:type="pct"/>
            <w:vAlign w:val="center"/>
          </w:tcPr>
          <w:p w14:paraId="5EF9234E">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1</w:t>
            </w:r>
          </w:p>
        </w:tc>
        <w:tc>
          <w:tcPr>
            <w:tcW w:w="430" w:type="pct"/>
            <w:vAlign w:val="center"/>
          </w:tcPr>
          <w:p w14:paraId="31CF6DD5">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0.0074</w:t>
            </w:r>
          </w:p>
        </w:tc>
      </w:tr>
      <w:tr w14:paraId="083B734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Merge w:val="continue"/>
            <w:vAlign w:val="center"/>
          </w:tcPr>
          <w:p w14:paraId="3FD6C0A8">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563" w:type="pct"/>
            <w:vMerge w:val="continue"/>
            <w:vAlign w:val="center"/>
          </w:tcPr>
          <w:p w14:paraId="09E9754E">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65" w:type="pct"/>
            <w:vAlign w:val="center"/>
          </w:tcPr>
          <w:p w14:paraId="0C94CA26">
            <w:pPr>
              <w:pStyle w:val="60"/>
              <w:adjustRightInd w:val="0"/>
              <w:snapToGrid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445" w:type="pct"/>
            <w:vAlign w:val="center"/>
          </w:tcPr>
          <w:p w14:paraId="092A32FF">
            <w:pPr>
              <w:widowControl/>
              <w:autoSpaceDE w:val="0"/>
              <w:autoSpaceDN w:val="0"/>
              <w:adjustRightInd w:val="0"/>
              <w:snapToGrid w:val="0"/>
              <w:jc w:val="center"/>
              <w:rPr>
                <w:rFonts w:hint="default" w:ascii="Times New Roman" w:hAnsi="Times New Roman" w:eastAsia="宋体" w:cs="Times New Roman"/>
                <w:color w:val="000000"/>
                <w:szCs w:val="21"/>
                <w:lang w:eastAsia="en-US"/>
              </w:rPr>
            </w:pPr>
            <w:r>
              <w:rPr>
                <w:rFonts w:hint="default" w:ascii="Times New Roman" w:hAnsi="Times New Roman" w:eastAsia="宋体" w:cs="Times New Roman"/>
                <w:color w:val="000000"/>
                <w:kern w:val="0"/>
                <w:szCs w:val="21"/>
                <w:lang w:val="en-US" w:eastAsia="zh-CN"/>
              </w:rPr>
              <w:t>94</w:t>
            </w:r>
          </w:p>
        </w:tc>
        <w:tc>
          <w:tcPr>
            <w:tcW w:w="504" w:type="pct"/>
            <w:vAlign w:val="center"/>
          </w:tcPr>
          <w:p w14:paraId="132F993C">
            <w:pPr>
              <w:keepNext w:val="0"/>
              <w:keepLines w:val="0"/>
              <w:widowControl/>
              <w:suppressLineNumbers w:val="0"/>
              <w:autoSpaceDE w:val="0"/>
              <w:autoSpaceDN w:val="0"/>
              <w:jc w:val="center"/>
              <w:textAlignment w:val="center"/>
              <w:rPr>
                <w:rFonts w:hint="default" w:ascii="Times New Roman" w:hAnsi="Times New Roman" w:eastAsia="宋体" w:cs="Times New Roman"/>
                <w:color w:val="000000"/>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0.69</w:t>
            </w:r>
          </w:p>
        </w:tc>
        <w:tc>
          <w:tcPr>
            <w:tcW w:w="506" w:type="pct"/>
            <w:vAlign w:val="center"/>
          </w:tcPr>
          <w:p w14:paraId="654FDD4A">
            <w:pPr>
              <w:pStyle w:val="60"/>
              <w:adjustRightInd w:val="0"/>
              <w:snapToGrid w:val="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80</w:t>
            </w:r>
          </w:p>
        </w:tc>
        <w:tc>
          <w:tcPr>
            <w:tcW w:w="523" w:type="pct"/>
            <w:vAlign w:val="center"/>
          </w:tcPr>
          <w:p w14:paraId="7C84F515">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430" w:type="pct"/>
            <w:vAlign w:val="center"/>
          </w:tcPr>
          <w:p w14:paraId="79C07891">
            <w:pPr>
              <w:keepNext w:val="0"/>
              <w:keepLines w:val="0"/>
              <w:widowControl/>
              <w:suppressLineNumbers w:val="0"/>
              <w:autoSpaceDE w:val="0"/>
              <w:autoSpaceDN w:val="0"/>
              <w:jc w:val="center"/>
              <w:textAlignment w:val="center"/>
              <w:rPr>
                <w:rFonts w:hint="default" w:ascii="Times New Roman" w:hAnsi="Times New Roman" w:eastAsia="宋体" w:cs="Times New Roman"/>
                <w:color w:val="000000"/>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0.14</w:t>
            </w:r>
          </w:p>
        </w:tc>
        <w:tc>
          <w:tcPr>
            <w:tcW w:w="430" w:type="pct"/>
            <w:vAlign w:val="center"/>
          </w:tcPr>
          <w:p w14:paraId="0F99AF07">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5</w:t>
            </w:r>
          </w:p>
        </w:tc>
        <w:tc>
          <w:tcPr>
            <w:tcW w:w="430" w:type="pct"/>
            <w:vAlign w:val="center"/>
          </w:tcPr>
          <w:p w14:paraId="624F6371">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0.037</w:t>
            </w:r>
          </w:p>
        </w:tc>
      </w:tr>
      <w:tr w14:paraId="3218FC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c>
          <w:tcPr>
            <w:tcW w:w="498" w:type="pct"/>
            <w:vMerge w:val="continue"/>
            <w:vAlign w:val="center"/>
          </w:tcPr>
          <w:p w14:paraId="469D15B6">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563" w:type="pct"/>
            <w:vMerge w:val="continue"/>
            <w:vAlign w:val="center"/>
          </w:tcPr>
          <w:p w14:paraId="0FEF08F0">
            <w:pPr>
              <w:autoSpaceDE w:val="0"/>
              <w:autoSpaceDN w:val="0"/>
              <w:adjustRightInd w:val="0"/>
              <w:snapToGrid w:val="0"/>
              <w:jc w:val="center"/>
              <w:rPr>
                <w:rFonts w:hint="default" w:ascii="Times New Roman" w:hAnsi="Times New Roman" w:eastAsia="宋体" w:cs="Times New Roman"/>
                <w:kern w:val="0"/>
                <w:sz w:val="21"/>
                <w:szCs w:val="21"/>
                <w:lang w:eastAsia="en-US"/>
              </w:rPr>
            </w:pPr>
          </w:p>
        </w:tc>
        <w:tc>
          <w:tcPr>
            <w:tcW w:w="665" w:type="pct"/>
            <w:vAlign w:val="center"/>
          </w:tcPr>
          <w:p w14:paraId="7FD0A88E">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LAS</w:t>
            </w:r>
          </w:p>
        </w:tc>
        <w:tc>
          <w:tcPr>
            <w:tcW w:w="445" w:type="pct"/>
            <w:vAlign w:val="center"/>
          </w:tcPr>
          <w:p w14:paraId="4C257CDF">
            <w:pPr>
              <w:widowControl/>
              <w:autoSpaceDE w:val="0"/>
              <w:autoSpaceDN w:val="0"/>
              <w:adjustRightInd w:val="0"/>
              <w:snapToGrid w:val="0"/>
              <w:jc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color w:val="000000"/>
                <w:kern w:val="0"/>
                <w:szCs w:val="21"/>
                <w:lang w:val="en-US" w:eastAsia="zh-CN"/>
              </w:rPr>
              <w:t>39.79</w:t>
            </w:r>
          </w:p>
        </w:tc>
        <w:tc>
          <w:tcPr>
            <w:tcW w:w="504" w:type="pct"/>
            <w:vAlign w:val="center"/>
          </w:tcPr>
          <w:p w14:paraId="09194AF6">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0.29</w:t>
            </w:r>
          </w:p>
        </w:tc>
        <w:tc>
          <w:tcPr>
            <w:tcW w:w="506" w:type="pct"/>
            <w:vAlign w:val="center"/>
          </w:tcPr>
          <w:p w14:paraId="4146C383">
            <w:pPr>
              <w:pStyle w:val="60"/>
              <w:adjustRightInd w:val="0"/>
              <w:snapToGrid w:val="0"/>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80</w:t>
            </w:r>
          </w:p>
        </w:tc>
        <w:tc>
          <w:tcPr>
            <w:tcW w:w="523" w:type="pct"/>
            <w:vAlign w:val="center"/>
          </w:tcPr>
          <w:p w14:paraId="34FA64B8">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7.958</w:t>
            </w:r>
          </w:p>
        </w:tc>
        <w:tc>
          <w:tcPr>
            <w:tcW w:w="430" w:type="pct"/>
            <w:vAlign w:val="center"/>
          </w:tcPr>
          <w:p w14:paraId="3998326E">
            <w:pPr>
              <w:keepNext w:val="0"/>
              <w:keepLines w:val="0"/>
              <w:widowControl/>
              <w:suppressLineNumbers w:val="0"/>
              <w:autoSpaceDE w:val="0"/>
              <w:autoSpaceDN w:val="0"/>
              <w:jc w:val="center"/>
              <w:textAlignment w:val="center"/>
              <w:rPr>
                <w:rFonts w:hint="default" w:ascii="Times New Roman" w:hAnsi="Times New Roman" w:eastAsia="宋体" w:cs="Times New Roman"/>
                <w:sz w:val="21"/>
                <w:szCs w:val="21"/>
                <w:lang w:eastAsia="en-US"/>
              </w:rPr>
            </w:pPr>
            <w:r>
              <w:rPr>
                <w:rFonts w:hint="default" w:ascii="Times New Roman" w:hAnsi="Times New Roman" w:eastAsia="宋体" w:cs="Times New Roman"/>
                <w:i w:val="0"/>
                <w:iCs w:val="0"/>
                <w:color w:val="000000"/>
                <w:kern w:val="0"/>
                <w:sz w:val="21"/>
                <w:szCs w:val="21"/>
                <w:u w:val="none"/>
                <w:lang w:val="en-US" w:eastAsia="zh-CN" w:bidi="ar"/>
              </w:rPr>
              <w:t>0.058</w:t>
            </w:r>
          </w:p>
        </w:tc>
        <w:tc>
          <w:tcPr>
            <w:tcW w:w="430" w:type="pct"/>
            <w:vAlign w:val="center"/>
          </w:tcPr>
          <w:p w14:paraId="5B738825">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0.5</w:t>
            </w:r>
          </w:p>
        </w:tc>
        <w:tc>
          <w:tcPr>
            <w:tcW w:w="430" w:type="pct"/>
            <w:vAlign w:val="center"/>
          </w:tcPr>
          <w:p w14:paraId="1A76B130">
            <w:pPr>
              <w:keepNext w:val="0"/>
              <w:keepLines w:val="0"/>
              <w:widowControl/>
              <w:suppressLineNumbers w:val="0"/>
              <w:autoSpaceDE w:val="0"/>
              <w:autoSpaceDN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0.0037</w:t>
            </w:r>
          </w:p>
        </w:tc>
      </w:tr>
    </w:tbl>
    <w:p w14:paraId="39AB0C0A">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（2）生活污水</w:t>
      </w:r>
    </w:p>
    <w:p w14:paraId="7250FAFE">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本项目</w:t>
      </w:r>
      <w:r>
        <w:rPr>
          <w:rFonts w:hint="default" w:ascii="Times New Roman" w:hAnsi="Times New Roman" w:eastAsia="宋体" w:cs="Times New Roman"/>
          <w:sz w:val="24"/>
        </w:rPr>
        <w:t>生活污水排放量为1.6</w:t>
      </w:r>
      <w:r>
        <w:rPr>
          <w:rFonts w:hint="default" w:ascii="Times New Roman" w:hAnsi="Times New Roman" w:eastAsia="宋体" w:cs="Times New Roman"/>
          <w:kern w:val="0"/>
          <w:sz w:val="24"/>
        </w:rPr>
        <w:t>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/d</w:t>
      </w:r>
      <w:r>
        <w:rPr>
          <w:rFonts w:hint="default" w:ascii="Times New Roman" w:hAnsi="Times New Roman" w:eastAsia="宋体" w:cs="Times New Roman"/>
          <w:sz w:val="24"/>
        </w:rPr>
        <w:t>、528m</w:t>
      </w:r>
      <w:r>
        <w:rPr>
          <w:rFonts w:hint="default" w:ascii="Times New Roman" w:hAnsi="Times New Roman" w:eastAsia="宋体" w:cs="Times New Roman"/>
          <w:sz w:val="24"/>
          <w:vertAlign w:val="superscript"/>
        </w:rPr>
        <w:t>3</w:t>
      </w:r>
      <w:r>
        <w:rPr>
          <w:rFonts w:hint="default" w:ascii="Times New Roman" w:hAnsi="Times New Roman" w:eastAsia="宋体" w:cs="Times New Roman"/>
          <w:sz w:val="24"/>
        </w:rPr>
        <w:t>/a，生活污水拟经办公楼配套的化粪池处理达标后进入园区污水管网。</w:t>
      </w:r>
    </w:p>
    <w:p w14:paraId="0E2CDB5D">
      <w:pPr>
        <w:spacing w:line="360" w:lineRule="auto"/>
        <w:jc w:val="center"/>
        <w:textAlignment w:val="baseline"/>
        <w:rPr>
          <w:rFonts w:hint="default" w:ascii="Times New Roman" w:hAnsi="Times New Roman" w:eastAsia="宋体" w:cs="Times New Roman"/>
          <w:bCs/>
          <w:sz w:val="24"/>
        </w:rPr>
      </w:pPr>
      <w:r>
        <w:rPr>
          <w:rFonts w:hint="default" w:ascii="Times New Roman" w:hAnsi="Times New Roman" w:eastAsia="宋体" w:cs="Times New Roman"/>
          <w:b/>
          <w:szCs w:val="21"/>
        </w:rPr>
        <w:t>表7.3-2  生活污水产生量及污染物产生量一览表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178"/>
        <w:gridCol w:w="1364"/>
        <w:gridCol w:w="759"/>
        <w:gridCol w:w="1061"/>
        <w:gridCol w:w="1061"/>
        <w:gridCol w:w="1063"/>
        <w:gridCol w:w="1213"/>
        <w:gridCol w:w="1419"/>
      </w:tblGrid>
      <w:tr w14:paraId="082897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4" w:type="pct"/>
            <w:gridSpan w:val="2"/>
            <w:vMerge w:val="restart"/>
            <w:vAlign w:val="center"/>
          </w:tcPr>
          <w:p w14:paraId="3AB6B4FB">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项目</w:t>
            </w:r>
          </w:p>
        </w:tc>
        <w:tc>
          <w:tcPr>
            <w:tcW w:w="3606" w:type="pct"/>
            <w:gridSpan w:val="6"/>
            <w:vAlign w:val="center"/>
          </w:tcPr>
          <w:p w14:paraId="69E7E78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主要污染物</w:t>
            </w:r>
          </w:p>
        </w:tc>
      </w:tr>
      <w:tr w14:paraId="747BB8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394" w:type="pct"/>
            <w:gridSpan w:val="2"/>
            <w:vMerge w:val="continue"/>
            <w:vAlign w:val="center"/>
          </w:tcPr>
          <w:p w14:paraId="3323A54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p>
        </w:tc>
        <w:tc>
          <w:tcPr>
            <w:tcW w:w="416" w:type="pct"/>
            <w:tcBorders>
              <w:right w:val="single" w:color="auto" w:sz="4" w:space="0"/>
            </w:tcBorders>
            <w:vAlign w:val="center"/>
          </w:tcPr>
          <w:p w14:paraId="1BCF79DD">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pH</w:t>
            </w:r>
          </w:p>
        </w:tc>
        <w:tc>
          <w:tcPr>
            <w:tcW w:w="582" w:type="pct"/>
            <w:tcBorders>
              <w:left w:val="single" w:color="auto" w:sz="4" w:space="0"/>
            </w:tcBorders>
            <w:vAlign w:val="center"/>
          </w:tcPr>
          <w:p w14:paraId="4C64123B">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COD</w:t>
            </w:r>
          </w:p>
        </w:tc>
        <w:tc>
          <w:tcPr>
            <w:tcW w:w="582" w:type="pct"/>
            <w:vAlign w:val="center"/>
          </w:tcPr>
          <w:p w14:paraId="7C784A5A">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BOD</w:t>
            </w:r>
            <w:r>
              <w:rPr>
                <w:rFonts w:hint="default" w:ascii="Times New Roman" w:hAnsi="Times New Roman" w:eastAsia="宋体" w:cs="Times New Roman"/>
                <w:b/>
                <w:szCs w:val="21"/>
                <w:vertAlign w:val="subscript"/>
              </w:rPr>
              <w:t>5</w:t>
            </w:r>
          </w:p>
        </w:tc>
        <w:tc>
          <w:tcPr>
            <w:tcW w:w="583" w:type="pct"/>
            <w:vAlign w:val="center"/>
          </w:tcPr>
          <w:p w14:paraId="5BB57607">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SS</w:t>
            </w:r>
          </w:p>
        </w:tc>
        <w:tc>
          <w:tcPr>
            <w:tcW w:w="665" w:type="pct"/>
            <w:vAlign w:val="center"/>
          </w:tcPr>
          <w:p w14:paraId="0502297B">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NH</w:t>
            </w:r>
            <w:r>
              <w:rPr>
                <w:rFonts w:hint="default" w:ascii="Times New Roman" w:hAnsi="Times New Roman" w:eastAsia="宋体" w:cs="Times New Roman"/>
                <w:b/>
                <w:szCs w:val="21"/>
                <w:vertAlign w:val="subscript"/>
              </w:rPr>
              <w:t>3</w:t>
            </w:r>
            <w:r>
              <w:rPr>
                <w:rFonts w:hint="default" w:ascii="Times New Roman" w:hAnsi="Times New Roman" w:eastAsia="宋体" w:cs="Times New Roman"/>
                <w:b/>
                <w:szCs w:val="21"/>
              </w:rPr>
              <w:t>-N</w:t>
            </w:r>
          </w:p>
        </w:tc>
        <w:tc>
          <w:tcPr>
            <w:tcW w:w="778" w:type="pct"/>
            <w:vAlign w:val="center"/>
          </w:tcPr>
          <w:p w14:paraId="0818484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
                <w:szCs w:val="21"/>
              </w:rPr>
            </w:pPr>
            <w:r>
              <w:rPr>
                <w:rFonts w:hint="default" w:ascii="Times New Roman" w:hAnsi="Times New Roman" w:eastAsia="宋体" w:cs="Times New Roman"/>
                <w:b/>
                <w:szCs w:val="21"/>
              </w:rPr>
              <w:t>动植物油</w:t>
            </w:r>
          </w:p>
        </w:tc>
      </w:tr>
      <w:tr w14:paraId="4282BF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restart"/>
            <w:tcBorders>
              <w:right w:val="single" w:color="auto" w:sz="4" w:space="0"/>
            </w:tcBorders>
            <w:vAlign w:val="center"/>
          </w:tcPr>
          <w:p w14:paraId="63FB45B6">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生活污水</w:t>
            </w:r>
          </w:p>
          <w:p w14:paraId="7ED7A36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kern w:val="0"/>
                <w:szCs w:val="21"/>
              </w:rPr>
              <w:t>528</w:t>
            </w:r>
            <w:r>
              <w:rPr>
                <w:rFonts w:hint="default" w:ascii="Times New Roman" w:hAnsi="Times New Roman" w:eastAsia="宋体" w:cs="Times New Roman"/>
                <w:szCs w:val="21"/>
              </w:rPr>
              <w:t>m</w:t>
            </w:r>
            <w:r>
              <w:rPr>
                <w:rFonts w:hint="default" w:ascii="Times New Roman" w:hAnsi="Times New Roman" w:eastAsia="宋体" w:cs="Times New Roman"/>
                <w:szCs w:val="21"/>
                <w:vertAlign w:val="superscript"/>
              </w:rPr>
              <w:t>3</w:t>
            </w:r>
            <w:r>
              <w:rPr>
                <w:rFonts w:hint="default" w:ascii="Times New Roman" w:hAnsi="Times New Roman" w:eastAsia="宋体" w:cs="Times New Roman"/>
                <w:szCs w:val="21"/>
              </w:rPr>
              <w:t>/a</w:t>
            </w:r>
          </w:p>
        </w:tc>
        <w:tc>
          <w:tcPr>
            <w:tcW w:w="748" w:type="pct"/>
            <w:tcBorders>
              <w:left w:val="single" w:color="auto" w:sz="4" w:space="0"/>
            </w:tcBorders>
            <w:vAlign w:val="center"/>
          </w:tcPr>
          <w:p w14:paraId="2B15FC2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zCs w:val="21"/>
              </w:rPr>
            </w:pPr>
            <w:r>
              <w:rPr>
                <w:rFonts w:hint="default" w:ascii="Times New Roman" w:hAnsi="Times New Roman" w:eastAsia="宋体" w:cs="Times New Roman"/>
                <w:bCs/>
                <w:szCs w:val="21"/>
              </w:rPr>
              <w:t>产生情况</w:t>
            </w:r>
          </w:p>
        </w:tc>
        <w:tc>
          <w:tcPr>
            <w:tcW w:w="416" w:type="pct"/>
            <w:tcBorders>
              <w:right w:val="single" w:color="auto" w:sz="4" w:space="0"/>
            </w:tcBorders>
            <w:vAlign w:val="center"/>
          </w:tcPr>
          <w:p w14:paraId="78F387D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6~9</w:t>
            </w:r>
          </w:p>
        </w:tc>
        <w:tc>
          <w:tcPr>
            <w:tcW w:w="582" w:type="pct"/>
            <w:tcBorders>
              <w:left w:val="single" w:color="auto" w:sz="4" w:space="0"/>
            </w:tcBorders>
            <w:vAlign w:val="center"/>
          </w:tcPr>
          <w:p w14:paraId="28EAAAB9">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350mg/L</w:t>
            </w:r>
          </w:p>
          <w:p w14:paraId="6394FF1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0.18t/a</w:t>
            </w:r>
          </w:p>
        </w:tc>
        <w:tc>
          <w:tcPr>
            <w:tcW w:w="582" w:type="pct"/>
            <w:vAlign w:val="center"/>
          </w:tcPr>
          <w:p w14:paraId="5032E83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200mg/L</w:t>
            </w:r>
          </w:p>
          <w:p w14:paraId="3A597DD8">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0.11t/a</w:t>
            </w:r>
          </w:p>
        </w:tc>
        <w:tc>
          <w:tcPr>
            <w:tcW w:w="583" w:type="pct"/>
            <w:vAlign w:val="center"/>
          </w:tcPr>
          <w:p w14:paraId="77517978">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200mg/L</w:t>
            </w:r>
          </w:p>
          <w:p w14:paraId="0B5D4F1A">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0.11t/a</w:t>
            </w:r>
          </w:p>
        </w:tc>
        <w:tc>
          <w:tcPr>
            <w:tcW w:w="665" w:type="pct"/>
            <w:vAlign w:val="center"/>
          </w:tcPr>
          <w:p w14:paraId="0FB26A3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25mg/L</w:t>
            </w:r>
          </w:p>
          <w:p w14:paraId="26500B1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0.013t/a</w:t>
            </w:r>
          </w:p>
        </w:tc>
        <w:tc>
          <w:tcPr>
            <w:tcW w:w="778" w:type="pct"/>
            <w:vAlign w:val="center"/>
          </w:tcPr>
          <w:p w14:paraId="0F62F10D">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50mg/L</w:t>
            </w:r>
          </w:p>
          <w:p w14:paraId="496696FB">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0.026t/a</w:t>
            </w:r>
          </w:p>
        </w:tc>
      </w:tr>
      <w:tr w14:paraId="1310C5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646" w:type="pct"/>
            <w:vMerge w:val="continue"/>
            <w:tcBorders>
              <w:right w:val="single" w:color="auto" w:sz="4" w:space="0"/>
            </w:tcBorders>
            <w:vAlign w:val="center"/>
          </w:tcPr>
          <w:p w14:paraId="6F9AE43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p>
        </w:tc>
        <w:tc>
          <w:tcPr>
            <w:tcW w:w="748" w:type="pct"/>
            <w:tcBorders>
              <w:left w:val="single" w:color="auto" w:sz="4" w:space="0"/>
            </w:tcBorders>
            <w:vAlign w:val="center"/>
          </w:tcPr>
          <w:p w14:paraId="72AFA20C">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排放情况</w:t>
            </w:r>
          </w:p>
        </w:tc>
        <w:tc>
          <w:tcPr>
            <w:tcW w:w="416" w:type="pct"/>
            <w:tcBorders>
              <w:right w:val="single" w:color="auto" w:sz="4" w:space="0"/>
            </w:tcBorders>
            <w:vAlign w:val="center"/>
          </w:tcPr>
          <w:p w14:paraId="7EBCED65">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6~9</w:t>
            </w:r>
          </w:p>
        </w:tc>
        <w:tc>
          <w:tcPr>
            <w:tcW w:w="582" w:type="pct"/>
            <w:tcBorders>
              <w:left w:val="single" w:color="auto" w:sz="4" w:space="0"/>
            </w:tcBorders>
            <w:vAlign w:val="center"/>
          </w:tcPr>
          <w:p w14:paraId="0A58AA0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300mg/L</w:t>
            </w:r>
          </w:p>
          <w:p w14:paraId="6DC3B7E4">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0.16t/a</w:t>
            </w:r>
          </w:p>
        </w:tc>
        <w:tc>
          <w:tcPr>
            <w:tcW w:w="582" w:type="pct"/>
            <w:vAlign w:val="center"/>
          </w:tcPr>
          <w:p w14:paraId="6007A12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150mg/L</w:t>
            </w:r>
          </w:p>
          <w:p w14:paraId="351315AE">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0.079t/a</w:t>
            </w:r>
          </w:p>
        </w:tc>
        <w:tc>
          <w:tcPr>
            <w:tcW w:w="583" w:type="pct"/>
            <w:vAlign w:val="center"/>
          </w:tcPr>
          <w:p w14:paraId="02477986">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150mg/L</w:t>
            </w:r>
          </w:p>
          <w:p w14:paraId="18964C48">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0.079t/a</w:t>
            </w:r>
          </w:p>
        </w:tc>
        <w:tc>
          <w:tcPr>
            <w:tcW w:w="665" w:type="pct"/>
            <w:vAlign w:val="center"/>
          </w:tcPr>
          <w:p w14:paraId="6A6343A1">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20mg/L</w:t>
            </w:r>
          </w:p>
          <w:p w14:paraId="033FFFB6">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0.011t/a</w:t>
            </w:r>
          </w:p>
        </w:tc>
        <w:tc>
          <w:tcPr>
            <w:tcW w:w="778" w:type="pct"/>
            <w:vAlign w:val="center"/>
          </w:tcPr>
          <w:p w14:paraId="1C78C5AB">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50mg/L</w:t>
            </w:r>
          </w:p>
          <w:p w14:paraId="3914CB42">
            <w:pPr>
              <w:keepNext w:val="0"/>
              <w:keepLines w:val="0"/>
              <w:suppressLineNumbers w:val="0"/>
              <w:adjustRightInd w:val="0"/>
              <w:snapToGrid w:val="0"/>
              <w:spacing w:before="0" w:beforeAutospacing="0" w:after="0" w:afterAutospacing="0"/>
              <w:ind w:left="0" w:right="0"/>
              <w:jc w:val="center"/>
              <w:textAlignment w:val="baseline"/>
              <w:rPr>
                <w:rFonts w:hint="default" w:ascii="Times New Roman" w:hAnsi="Times New Roman" w:eastAsia="宋体" w:cs="Times New Roman"/>
                <w:bCs/>
                <w:szCs w:val="21"/>
              </w:rPr>
            </w:pPr>
            <w:r>
              <w:rPr>
                <w:rFonts w:hint="default" w:ascii="Times New Roman" w:hAnsi="Times New Roman" w:eastAsia="宋体" w:cs="Times New Roman"/>
                <w:bCs/>
                <w:szCs w:val="21"/>
              </w:rPr>
              <w:t>0.026t/a</w:t>
            </w:r>
          </w:p>
        </w:tc>
      </w:tr>
    </w:tbl>
    <w:p w14:paraId="30AABA96">
      <w:pPr>
        <w:pStyle w:val="12"/>
        <w:keepNext w:val="0"/>
        <w:keepLines w:val="0"/>
        <w:pageBreakBefore w:val="0"/>
        <w:widowControl w:val="0"/>
        <w:kinsoku/>
        <w:wordWrap/>
        <w:overflowPunct/>
        <w:topLinePunct w:val="0"/>
        <w:autoSpaceDE w:val="0"/>
        <w:autoSpaceDN w:val="0"/>
        <w:bidi w:val="0"/>
        <w:adjustRightInd/>
        <w:snapToGrid/>
        <w:spacing w:line="360" w:lineRule="auto"/>
        <w:ind w:left="119" w:right="128" w:firstLine="480"/>
        <w:jc w:val="both"/>
        <w:textAlignment w:val="auto"/>
        <w:rPr>
          <w:rFonts w:hint="default" w:ascii="Times New Roman" w:hAnsi="Times New Roman" w:eastAsia="宋体" w:cs="Times New Roman"/>
        </w:rPr>
      </w:pPr>
      <w:r>
        <w:rPr>
          <w:rFonts w:hint="default" w:ascii="Times New Roman" w:hAnsi="Times New Roman" w:eastAsia="宋体" w:cs="Times New Roman"/>
        </w:rPr>
        <mc:AlternateContent>
          <mc:Choice Requires="wps">
            <w:drawing>
              <wp:anchor distT="0" distB="0" distL="114300" distR="114300" simplePos="0" relativeHeight="251662336" behindDoc="1" locked="0" layoutInCell="1" allowOverlap="1">
                <wp:simplePos x="0" y="0"/>
                <wp:positionH relativeFrom="page">
                  <wp:posOffset>5034280</wp:posOffset>
                </wp:positionH>
                <wp:positionV relativeFrom="paragraph">
                  <wp:posOffset>-1398270</wp:posOffset>
                </wp:positionV>
                <wp:extent cx="37465" cy="6985"/>
                <wp:effectExtent l="0" t="0" r="0" b="0"/>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37465" cy="698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96.4pt;margin-top:-110.1pt;height:0.55pt;width:2.95pt;mso-position-horizontal-relative:page;z-index:-251654144;mso-width-relative:page;mso-height-relative:page;" fillcolor="#000000" filled="t" stroked="f" coordsize="21600,21600" o:gfxdata="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QWNldsAAAAN&#10;AQAADwAAAAAAAAABACAAAAAiAAAAZHJzL2Rvd25yZXYueG1sUEsBAhQAFAAAAAgAh07iQFnpNkoZ&#10;AgAAJAQAAA4AAAAAAAAAAQAgAAAAKgEAAGRycy9lMm9Eb2MueG1sUEsFBgAAAAAGAAYAWQEAALUF&#10;AAAAAA==&#10;">
                <v:fill on="t" focussize="0,0"/>
                <v:stroke on="f"/>
                <v:imagedata o:title=""/>
                <o:lock v:ext="edit" aspectratio="f"/>
              </v:rect>
            </w:pict>
          </mc:Fallback>
        </mc:AlternateContent>
      </w:r>
      <w:r>
        <w:rPr>
          <w:rFonts w:hint="default" w:ascii="Times New Roman" w:hAnsi="Times New Roman" w:eastAsia="宋体" w:cs="Times New Roman"/>
        </w:rPr>
        <w:t>由上表可知，生产废水经自建的污水处理站处理后，以及生活污水经化粪池处理后，水污染物排放浓度均能达到《污水综合排放标准》（GB8978- 1996）表4中三级标准要求。本项目所采用的废水处理工艺满足水污染防治可行技术要求，能够确保废水稳定达标排放且环境影响可以接受。</w:t>
      </w:r>
    </w:p>
    <w:p w14:paraId="528AE917">
      <w:pPr>
        <w:pStyle w:val="12"/>
        <w:keepNext w:val="0"/>
        <w:keepLines w:val="0"/>
        <w:pageBreakBefore w:val="0"/>
        <w:widowControl w:val="0"/>
        <w:kinsoku/>
        <w:wordWrap/>
        <w:overflowPunct/>
        <w:topLinePunct w:val="0"/>
        <w:autoSpaceDE w:val="0"/>
        <w:autoSpaceDN w:val="0"/>
        <w:bidi w:val="0"/>
        <w:adjustRightInd/>
        <w:snapToGrid/>
        <w:spacing w:after="0" w:line="360" w:lineRule="auto"/>
        <w:ind w:left="119" w:firstLine="482"/>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lang w:eastAsia="zh-CN"/>
        </w:rPr>
        <w:t>（</w:t>
      </w:r>
      <w:r>
        <w:rPr>
          <w:rFonts w:hint="default" w:ascii="Times New Roman" w:hAnsi="Times New Roman" w:eastAsia="宋体" w:cs="Times New Roman"/>
          <w:b/>
          <w:bCs/>
          <w:lang w:val="en-US" w:eastAsia="zh-CN"/>
        </w:rPr>
        <w:t>3</w:t>
      </w:r>
      <w:r>
        <w:rPr>
          <w:rFonts w:hint="default" w:ascii="Times New Roman" w:hAnsi="Times New Roman" w:eastAsia="宋体" w:cs="Times New Roman"/>
          <w:b/>
          <w:bCs/>
          <w:lang w:eastAsia="zh-CN"/>
        </w:rPr>
        <w:t>）</w:t>
      </w:r>
      <w:r>
        <w:rPr>
          <w:rFonts w:hint="default" w:ascii="Times New Roman" w:hAnsi="Times New Roman" w:eastAsia="宋体" w:cs="Times New Roman"/>
          <w:b/>
          <w:bCs/>
          <w:sz w:val="24"/>
          <w:szCs w:val="24"/>
        </w:rPr>
        <w:t>初期雨水</w:t>
      </w:r>
    </w:p>
    <w:p w14:paraId="6B338A46">
      <w:pPr>
        <w:pStyle w:val="12"/>
        <w:keepNext w:val="0"/>
        <w:keepLines w:val="0"/>
        <w:pageBreakBefore w:val="0"/>
        <w:widowControl w:val="0"/>
        <w:kinsoku/>
        <w:wordWrap/>
        <w:overflowPunct/>
        <w:topLinePunct w:val="0"/>
        <w:autoSpaceDE w:val="0"/>
        <w:autoSpaceDN w:val="0"/>
        <w:bidi w:val="0"/>
        <w:adjustRightInd/>
        <w:snapToGrid/>
        <w:spacing w:line="360" w:lineRule="auto"/>
        <w:ind w:left="119" w:right="128" w:firstLine="480"/>
        <w:jc w:val="both"/>
        <w:textAlignment w:val="auto"/>
        <w:rPr>
          <w:rFonts w:hint="default" w:ascii="Times New Roman" w:hAnsi="Times New Roman" w:eastAsia="宋体" w:cs="Times New Roman"/>
        </w:rPr>
      </w:pPr>
      <w:r>
        <w:rPr>
          <w:rFonts w:hint="default" w:ascii="Times New Roman" w:hAnsi="Times New Roman" w:eastAsia="宋体" w:cs="Times New Roman"/>
          <w:kern w:val="0"/>
          <w:sz w:val="24"/>
        </w:rPr>
        <w:t>由污染源分析估算初期雨水约为35</w:t>
      </w:r>
      <w:r>
        <w:rPr>
          <w:rFonts w:hint="default" w:ascii="Times New Roman" w:hAnsi="Times New Roman" w:eastAsia="宋体" w:cs="Times New Roman"/>
          <w:kern w:val="0"/>
          <w:sz w:val="24"/>
          <w:lang w:val="en-US" w:eastAsia="zh-CN"/>
        </w:rPr>
        <w:t>.</w:t>
      </w:r>
      <w:r>
        <w:rPr>
          <w:rFonts w:hint="default" w:ascii="Times New Roman" w:hAnsi="Times New Roman" w:eastAsia="宋体" w:cs="Times New Roman"/>
          <w:kern w:val="0"/>
          <w:sz w:val="24"/>
        </w:rPr>
        <w:t>8m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，项目拟在</w:t>
      </w:r>
      <w:r>
        <w:rPr>
          <w:rFonts w:hint="default" w:ascii="Times New Roman" w:hAnsi="Times New Roman" w:eastAsia="宋体" w:cs="Times New Roman"/>
          <w:kern w:val="0"/>
          <w:sz w:val="24"/>
          <w:lang w:val="en-US" w:eastAsia="zh-CN"/>
        </w:rPr>
        <w:t>B栋车间外东南侧</w:t>
      </w:r>
      <w:r>
        <w:rPr>
          <w:rFonts w:hint="default" w:ascii="Times New Roman" w:hAnsi="Times New Roman" w:eastAsia="宋体" w:cs="Times New Roman"/>
          <w:kern w:val="0"/>
          <w:sz w:val="24"/>
        </w:rPr>
        <w:t>设置容积为</w:t>
      </w:r>
      <w:r>
        <w:rPr>
          <w:rFonts w:hint="eastAsia" w:ascii="Times New Roman" w:hAnsi="Times New Roman" w:cs="Times New Roman"/>
          <w:kern w:val="0"/>
          <w:sz w:val="24"/>
          <w:lang w:val="en-US" w:eastAsia="zh-CN"/>
        </w:rPr>
        <w:t>5</w:t>
      </w:r>
      <w:r>
        <w:rPr>
          <w:rFonts w:hint="default" w:ascii="Times New Roman" w:hAnsi="Times New Roman" w:eastAsia="宋体" w:cs="Times New Roman"/>
          <w:kern w:val="0"/>
          <w:sz w:val="24"/>
        </w:rPr>
        <w:t>0m</w:t>
      </w:r>
      <w:r>
        <w:rPr>
          <w:rFonts w:hint="default" w:ascii="Times New Roman" w:hAnsi="Times New Roman" w:eastAsia="宋体" w:cs="Times New Roman"/>
          <w:kern w:val="0"/>
          <w:sz w:val="24"/>
          <w:vertAlign w:val="superscript"/>
        </w:rPr>
        <w:t>3</w:t>
      </w:r>
      <w:r>
        <w:rPr>
          <w:rFonts w:hint="default" w:ascii="Times New Roman" w:hAnsi="Times New Roman" w:eastAsia="宋体" w:cs="Times New Roman"/>
          <w:kern w:val="0"/>
          <w:sz w:val="24"/>
        </w:rPr>
        <w:t>的初期雨水收集池，收集的初期雨水拟通过定期投加絮凝剂的方式进行絮凝沉淀</w:t>
      </w:r>
      <w:r>
        <w:rPr>
          <w:rFonts w:hint="default" w:ascii="Times New Roman" w:hAnsi="Times New Roman" w:eastAsia="宋体" w:cs="Times New Roman"/>
          <w:kern w:val="0"/>
          <w:sz w:val="24"/>
          <w:lang w:val="en-US" w:eastAsia="zh-CN"/>
        </w:rPr>
        <w:t>/撇渣</w:t>
      </w:r>
      <w:r>
        <w:rPr>
          <w:rFonts w:hint="default" w:ascii="Times New Roman" w:hAnsi="Times New Roman" w:eastAsia="宋体" w:cs="Times New Roman"/>
          <w:kern w:val="0"/>
          <w:sz w:val="24"/>
        </w:rPr>
        <w:t>处理，处理后尾水可回用于生产，这部分</w:t>
      </w:r>
      <w:r>
        <w:rPr>
          <w:rFonts w:hint="default" w:ascii="Times New Roman" w:hAnsi="Times New Roman" w:eastAsia="宋体" w:cs="Times New Roman"/>
          <w:kern w:val="0"/>
          <w:sz w:val="24"/>
          <w:lang w:val="en-US" w:eastAsia="zh-CN"/>
        </w:rPr>
        <w:t>同时</w:t>
      </w:r>
      <w:r>
        <w:rPr>
          <w:rFonts w:hint="default" w:ascii="Times New Roman" w:hAnsi="Times New Roman" w:eastAsia="宋体" w:cs="Times New Roman"/>
          <w:kern w:val="0"/>
          <w:sz w:val="24"/>
        </w:rPr>
        <w:t>作为备用水源</w:t>
      </w:r>
      <w:r>
        <w:rPr>
          <w:rFonts w:hint="default" w:ascii="Times New Roman" w:hAnsi="Times New Roman" w:eastAsia="宋体" w:cs="Times New Roman"/>
          <w:kern w:val="0"/>
          <w:sz w:val="24"/>
          <w:lang w:eastAsia="zh-CN"/>
        </w:rPr>
        <w:t>，</w:t>
      </w:r>
      <w:r>
        <w:rPr>
          <w:rFonts w:hint="default" w:ascii="Times New Roman" w:hAnsi="Times New Roman" w:eastAsia="宋体" w:cs="Times New Roman"/>
          <w:kern w:val="0"/>
          <w:sz w:val="24"/>
          <w:lang w:val="en-US" w:eastAsia="zh-CN"/>
        </w:rPr>
        <w:t>可减少项目新水的使用量，节约用水。</w:t>
      </w:r>
    </w:p>
    <w:p w14:paraId="3FA47C82">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7.3.2水污染控制和水环境影响减缓措施有效性评价</w:t>
      </w:r>
    </w:p>
    <w:p w14:paraId="089FB509">
      <w:pPr>
        <w:pStyle w:val="12"/>
        <w:spacing w:line="360" w:lineRule="auto"/>
        <w:ind w:right="128" w:firstLine="480"/>
        <w:jc w:val="both"/>
        <w:rPr>
          <w:rFonts w:hint="default" w:ascii="Times New Roman" w:hAnsi="Times New Roman" w:eastAsia="宋体" w:cs="Times New Roman"/>
        </w:rPr>
      </w:pPr>
      <w:r>
        <w:rPr>
          <w:rFonts w:hint="default" w:ascii="Times New Roman" w:hAnsi="Times New Roman" w:eastAsia="宋体" w:cs="Times New Roman"/>
        </w:rPr>
        <mc:AlternateContent>
          <mc:Choice Requires="wps">
            <w:drawing>
              <wp:anchor distT="0" distB="0" distL="114300" distR="114300" simplePos="0" relativeHeight="251661312" behindDoc="1" locked="0" layoutInCell="1" allowOverlap="1">
                <wp:simplePos x="0" y="0"/>
                <wp:positionH relativeFrom="page">
                  <wp:posOffset>5034280</wp:posOffset>
                </wp:positionH>
                <wp:positionV relativeFrom="paragraph">
                  <wp:posOffset>-1398270</wp:posOffset>
                </wp:positionV>
                <wp:extent cx="37465" cy="6985"/>
                <wp:effectExtent l="0" t="0" r="0" b="0"/>
                <wp:wrapNone/>
                <wp:docPr id="14" name="矩形 14"/>
                <wp:cNvGraphicFramePr/>
                <a:graphic xmlns:a="http://schemas.openxmlformats.org/drawingml/2006/main">
                  <a:graphicData uri="http://schemas.microsoft.com/office/word/2010/wordprocessingShape">
                    <wps:wsp>
                      <wps:cNvSpPr>
                        <a:spLocks noChangeArrowheads="1"/>
                      </wps:cNvSpPr>
                      <wps:spPr bwMode="auto">
                        <a:xfrm>
                          <a:off x="0" y="0"/>
                          <a:ext cx="37465" cy="698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396.4pt;margin-top:-110.1pt;height:0.55pt;width:2.95pt;mso-position-horizontal-relative:page;z-index:-251655168;mso-width-relative:page;mso-height-relative:page;" fillcolor="#000000" filled="t" stroked="f" coordsize="21600,21600" o:gfxdata="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QWNldsAAAAN&#10;AQAADwAAAAAAAAABACAAAAAiAAAAZHJzL2Rvd25yZXYueG1sUEsBAhQAFAAAAAgAh07iQMd8xQoZ&#10;AgAAJAQAAA4AAAAAAAAAAQAgAAAAKgEAAGRycy9lMm9Eb2MueG1sUEsFBgAAAAAGAAYAWQEAALUF&#10;AAAAAA==&#10;">
                <v:fill on="t" focussize="0,0"/>
                <v:stroke on="f"/>
                <v:imagedata o:title=""/>
                <o:lock v:ext="edit" aspectratio="f"/>
              </v:rect>
            </w:pict>
          </mc:Fallback>
        </mc:AlternateContent>
      </w:r>
      <w:r>
        <w:rPr>
          <w:rFonts w:hint="default" w:ascii="Times New Roman" w:hAnsi="Times New Roman" w:eastAsia="宋体" w:cs="Times New Roman"/>
        </w:rPr>
        <w:t>（1）生产废水</w:t>
      </w:r>
    </w:p>
    <w:p w14:paraId="663A22FD">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本项目综合废水产生量为</w:t>
      </w:r>
      <w:r>
        <w:rPr>
          <w:rFonts w:hint="default" w:ascii="Times New Roman" w:hAnsi="Times New Roman" w:eastAsia="宋体" w:cs="Times New Roman"/>
          <w:sz w:val="24"/>
          <w:szCs w:val="21"/>
          <w:lang w:val="en-US" w:eastAsia="zh-CN"/>
        </w:rPr>
        <w:t>22.4</w:t>
      </w:r>
      <w:r>
        <w:rPr>
          <w:rFonts w:hint="default" w:ascii="Times New Roman" w:hAnsi="Times New Roman" w:eastAsia="宋体" w:cs="Times New Roman"/>
          <w:sz w:val="24"/>
          <w:szCs w:val="21"/>
        </w:rPr>
        <w:t>m</w:t>
      </w:r>
      <w:r>
        <w:rPr>
          <w:rFonts w:hint="default" w:ascii="Times New Roman" w:hAnsi="Times New Roman" w:eastAsia="宋体" w:cs="Times New Roman"/>
          <w:sz w:val="24"/>
          <w:szCs w:val="21"/>
          <w:vertAlign w:val="superscript"/>
        </w:rPr>
        <w:t>3</w:t>
      </w:r>
      <w:r>
        <w:rPr>
          <w:rFonts w:hint="default" w:ascii="Times New Roman" w:hAnsi="Times New Roman" w:eastAsia="宋体" w:cs="Times New Roman"/>
          <w:sz w:val="24"/>
          <w:szCs w:val="21"/>
        </w:rPr>
        <w:t>/d（</w:t>
      </w:r>
      <w:r>
        <w:rPr>
          <w:rFonts w:hint="default" w:ascii="Times New Roman" w:hAnsi="Times New Roman" w:eastAsia="宋体" w:cs="Times New Roman"/>
          <w:sz w:val="24"/>
          <w:szCs w:val="21"/>
          <w:lang w:val="en-US" w:eastAsia="zh-CN"/>
        </w:rPr>
        <w:t>7392</w:t>
      </w:r>
      <w:r>
        <w:rPr>
          <w:rFonts w:hint="default" w:ascii="Times New Roman" w:hAnsi="Times New Roman" w:eastAsia="宋体" w:cs="Times New Roman"/>
          <w:sz w:val="24"/>
          <w:szCs w:val="21"/>
        </w:rPr>
        <w:t>m</w:t>
      </w:r>
      <w:r>
        <w:rPr>
          <w:rFonts w:hint="default" w:ascii="Times New Roman" w:hAnsi="Times New Roman" w:eastAsia="宋体" w:cs="Times New Roman"/>
          <w:sz w:val="24"/>
          <w:szCs w:val="21"/>
          <w:vertAlign w:val="superscript"/>
        </w:rPr>
        <w:t>3</w:t>
      </w:r>
      <w:r>
        <w:rPr>
          <w:rFonts w:hint="default" w:ascii="Times New Roman" w:hAnsi="Times New Roman" w:eastAsia="宋体" w:cs="Times New Roman"/>
          <w:sz w:val="24"/>
          <w:szCs w:val="21"/>
        </w:rPr>
        <w:t>/a）</w:t>
      </w:r>
      <w:r>
        <w:rPr>
          <w:rFonts w:hint="default" w:ascii="Times New Roman" w:hAnsi="Times New Roman" w:eastAsia="宋体" w:cs="Times New Roman"/>
          <w:sz w:val="24"/>
          <w:szCs w:val="24"/>
        </w:rPr>
        <w:t>，废水中主要含pH、苯、甲苯、CODcr、BOD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、SS、石油类和LAS等污染物，本项目拟采用“</w:t>
      </w:r>
      <w:r>
        <w:rPr>
          <w:rFonts w:hint="default" w:ascii="Times New Roman" w:hAnsi="Times New Roman" w:eastAsia="宋体" w:cs="Times New Roman"/>
          <w:sz w:val="24"/>
          <w:szCs w:val="24"/>
          <w:lang w:eastAsia="zh-CN"/>
        </w:rPr>
        <w:t>pH调节+絮凝+气浮+芬顿氧化+水解酸化+AO处理+沉淀</w:t>
      </w:r>
      <w:r>
        <w:rPr>
          <w:rFonts w:hint="default" w:ascii="Times New Roman" w:hAnsi="Times New Roman" w:eastAsia="宋体" w:cs="Times New Roman"/>
          <w:sz w:val="24"/>
          <w:szCs w:val="24"/>
        </w:rPr>
        <w:t>”工艺对综合废水进行处理，污水处理站拟设计处理能力为</w:t>
      </w:r>
      <w:r>
        <w:rPr>
          <w:rFonts w:hint="default"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rPr>
        <w:t>0t/</w:t>
      </w:r>
      <w:r>
        <w:rPr>
          <w:rFonts w:hint="default" w:ascii="Times New Roman" w:hAnsi="Times New Roman" w:eastAsia="宋体" w:cs="Times New Roman"/>
          <w:sz w:val="24"/>
          <w:szCs w:val="24"/>
          <w:lang w:val="en-US" w:eastAsia="zh-CN"/>
        </w:rPr>
        <w:t>d</w:t>
      </w:r>
      <w:r>
        <w:rPr>
          <w:rFonts w:hint="default" w:ascii="Times New Roman" w:hAnsi="Times New Roman" w:eastAsia="宋体" w:cs="Times New Roman"/>
          <w:sz w:val="24"/>
          <w:szCs w:val="24"/>
        </w:rPr>
        <w:t>，能够处理本项目综合废水中含有的水污染物，不会超过其处理能力，处理后的废水能够稳定达标排放，满足处理的可行性要求。</w:t>
      </w:r>
    </w:p>
    <w:p w14:paraId="01BEDA1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（2）生活污水</w:t>
      </w:r>
    </w:p>
    <w:p w14:paraId="3983353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本项目生活污水产生量为1.6</w:t>
      </w:r>
      <w:r>
        <w:rPr>
          <w:rFonts w:hint="default" w:ascii="Times New Roman" w:hAnsi="Times New Roman" w:eastAsia="宋体" w:cs="Times New Roman"/>
          <w:sz w:val="24"/>
          <w:szCs w:val="21"/>
        </w:rPr>
        <w:t>m</w:t>
      </w:r>
      <w:r>
        <w:rPr>
          <w:rFonts w:hint="default" w:ascii="Times New Roman" w:hAnsi="Times New Roman" w:eastAsia="宋体" w:cs="Times New Roman"/>
          <w:sz w:val="24"/>
          <w:szCs w:val="21"/>
          <w:vertAlign w:val="superscript"/>
        </w:rPr>
        <w:t>3</w:t>
      </w:r>
      <w:r>
        <w:rPr>
          <w:rFonts w:hint="default" w:ascii="Times New Roman" w:hAnsi="Times New Roman" w:eastAsia="宋体" w:cs="Times New Roman"/>
          <w:sz w:val="24"/>
          <w:szCs w:val="21"/>
        </w:rPr>
        <w:t>/d</w:t>
      </w:r>
      <w:r>
        <w:rPr>
          <w:rFonts w:hint="default" w:ascii="Times New Roman" w:hAnsi="Times New Roman" w:eastAsia="宋体" w:cs="Times New Roman"/>
          <w:sz w:val="24"/>
          <w:szCs w:val="24"/>
        </w:rPr>
        <w:t>，含有BOD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、CODcr、SS、动植物油和NH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 等水污染物。项目拟采用化粪池进行处理，化粪池的设计处理能力约为10</w:t>
      </w:r>
      <w:r>
        <w:rPr>
          <w:rFonts w:hint="default" w:ascii="Times New Roman" w:hAnsi="Times New Roman" w:eastAsia="宋体" w:cs="Times New Roman"/>
          <w:sz w:val="24"/>
          <w:szCs w:val="21"/>
        </w:rPr>
        <w:t>m</w:t>
      </w:r>
      <w:r>
        <w:rPr>
          <w:rFonts w:hint="default" w:ascii="Times New Roman" w:hAnsi="Times New Roman" w:eastAsia="宋体" w:cs="Times New Roman"/>
          <w:sz w:val="24"/>
          <w:szCs w:val="21"/>
          <w:vertAlign w:val="superscript"/>
        </w:rPr>
        <w:t>3</w:t>
      </w:r>
      <w:r>
        <w:rPr>
          <w:rFonts w:hint="default" w:ascii="Times New Roman" w:hAnsi="Times New Roman" w:eastAsia="宋体" w:cs="Times New Roman"/>
          <w:sz w:val="24"/>
          <w:szCs w:val="21"/>
        </w:rPr>
        <w:t>/d</w:t>
      </w:r>
      <w:r>
        <w:rPr>
          <w:rFonts w:hint="default" w:ascii="Times New Roman" w:hAnsi="Times New Roman" w:eastAsia="宋体" w:cs="Times New Roman"/>
          <w:sz w:val="24"/>
          <w:szCs w:val="24"/>
        </w:rPr>
        <w:t>，能够处理本项目生活污水中含有的水污染物，不会超过其处理能力，满足依托的环境可行性要求。</w:t>
      </w:r>
    </w:p>
    <w:p w14:paraId="45D213F7">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7.3.3地表水环境影响分析结论</w:t>
      </w:r>
    </w:p>
    <w:p w14:paraId="4821A745">
      <w:pPr>
        <w:spacing w:line="360" w:lineRule="auto"/>
        <w:ind w:firstLine="480" w:firstLineChars="200"/>
        <w:rPr>
          <w:rFonts w:hint="default" w:ascii="Times New Roman" w:hAnsi="Times New Roman" w:eastAsia="宋体" w:cs="Times New Roman"/>
          <w:kern w:val="0"/>
          <w:sz w:val="24"/>
        </w:rPr>
      </w:pPr>
      <w:r>
        <w:rPr>
          <w:rFonts w:hint="default" w:ascii="Times New Roman" w:hAnsi="Times New Roman" w:eastAsia="宋体" w:cs="Times New Roman"/>
          <w:sz w:val="24"/>
          <w:szCs w:val="21"/>
        </w:rPr>
        <w:t>项目各生产线废水统一通过厂区内的排水管道汇入项目自建的污水处理站，经处理达标后</w:t>
      </w:r>
      <w:r>
        <w:rPr>
          <w:rFonts w:hint="default" w:ascii="Times New Roman" w:hAnsi="Times New Roman" w:eastAsia="宋体" w:cs="Times New Roman"/>
          <w:sz w:val="24"/>
          <w:szCs w:val="21"/>
          <w:lang w:val="en-US" w:eastAsia="zh-CN"/>
        </w:rPr>
        <w:t>通过预设管道转存至危险废物综合处置车间配套的蓄水池（50m</w:t>
      </w:r>
      <w:r>
        <w:rPr>
          <w:rFonts w:hint="default" w:ascii="Times New Roman" w:hAnsi="Times New Roman" w:eastAsia="宋体" w:cs="Times New Roman"/>
          <w:sz w:val="24"/>
          <w:szCs w:val="21"/>
          <w:vertAlign w:val="superscript"/>
          <w:lang w:val="en-US" w:eastAsia="zh-CN"/>
        </w:rPr>
        <w:t>3</w:t>
      </w:r>
      <w:r>
        <w:rPr>
          <w:rFonts w:hint="default" w:ascii="Times New Roman" w:hAnsi="Times New Roman" w:eastAsia="宋体" w:cs="Times New Roman"/>
          <w:sz w:val="24"/>
          <w:szCs w:val="21"/>
          <w:lang w:val="en-US" w:eastAsia="zh-CN"/>
        </w:rPr>
        <w:t>），之后回用于危险废物的再生清洗工序，拟回用一次后再次进入污水处理站，处理达到</w:t>
      </w:r>
      <w:r>
        <w:rPr>
          <w:rFonts w:hint="default" w:ascii="Times New Roman" w:hAnsi="Times New Roman" w:eastAsia="宋体" w:cs="Times New Roman"/>
          <w:sz w:val="24"/>
          <w:szCs w:val="21"/>
        </w:rPr>
        <w:t>经处理达</w:t>
      </w:r>
      <w:r>
        <w:rPr>
          <w:rFonts w:hint="default" w:ascii="Times New Roman" w:hAnsi="Times New Roman" w:eastAsia="宋体" w:cs="Times New Roman"/>
          <w:sz w:val="24"/>
          <w:szCs w:val="21"/>
          <w:lang w:val="en-US" w:eastAsia="zh-CN"/>
        </w:rPr>
        <w:t>到</w:t>
      </w:r>
      <w:r>
        <w:rPr>
          <w:rFonts w:hint="default" w:ascii="Times New Roman" w:hAnsi="Times New Roman" w:eastAsia="宋体" w:cs="Times New Roman"/>
          <w:sz w:val="24"/>
          <w:szCs w:val="21"/>
        </w:rPr>
        <w:t>《污水综合排放标准》（GB8978-1996）表4三级标准，</w:t>
      </w:r>
      <w:r>
        <w:rPr>
          <w:rFonts w:hint="default" w:ascii="Times New Roman" w:hAnsi="Times New Roman" w:eastAsia="宋体" w:cs="Times New Roman"/>
          <w:sz w:val="24"/>
          <w:szCs w:val="21"/>
          <w:lang w:val="en-US" w:eastAsia="zh-CN"/>
        </w:rPr>
        <w:t>且</w:t>
      </w:r>
      <w:r>
        <w:rPr>
          <w:rFonts w:hint="default" w:ascii="Times New Roman" w:hAnsi="Times New Roman" w:eastAsia="宋体" w:cs="Times New Roman"/>
          <w:sz w:val="24"/>
          <w:szCs w:val="21"/>
        </w:rPr>
        <w:t>同时满足松木污水处理厂进水水质要求后排入园区污水管网</w:t>
      </w:r>
      <w:r>
        <w:rPr>
          <w:rFonts w:hint="default" w:ascii="Times New Roman" w:hAnsi="Times New Roman" w:eastAsia="宋体" w:cs="Times New Roman"/>
          <w:sz w:val="24"/>
          <w:szCs w:val="21"/>
          <w:lang w:val="en-US" w:eastAsia="zh-CN"/>
        </w:rPr>
        <w:t>；</w:t>
      </w:r>
      <w:r>
        <w:rPr>
          <w:rFonts w:hint="default" w:ascii="Times New Roman" w:hAnsi="Times New Roman" w:eastAsia="宋体" w:cs="Times New Roman"/>
          <w:kern w:val="0"/>
          <w:sz w:val="24"/>
          <w:lang w:val="en-US" w:eastAsia="zh-CN"/>
        </w:rPr>
        <w:t>生活污水</w:t>
      </w:r>
      <w:r>
        <w:rPr>
          <w:rFonts w:hint="default" w:ascii="Times New Roman" w:hAnsi="Times New Roman" w:eastAsia="宋体" w:cs="Times New Roman"/>
          <w:kern w:val="0"/>
          <w:sz w:val="24"/>
        </w:rPr>
        <w:t>经收集后能实现达标排放，不会对周边环境造成大的影响。</w:t>
      </w:r>
    </w:p>
    <w:p w14:paraId="4060178B">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7.3.4水污染物排放信息统计</w:t>
      </w:r>
    </w:p>
    <w:p w14:paraId="477BBE26">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根据《环境影响评价技术导则-地表水环境》（HJ 2.3-2018）的要求，结合污染源分析结果，对项目废水污染物排放信息进行统计。废水类别、污染物及污染治理设施信息详见表7.3-3、废水间接排放口基本情况详见表7.3-4、废水污染物排放执行标准详见表7.3-5、废水污染物排放信息详见表7.3-6。</w:t>
      </w:r>
    </w:p>
    <w:p w14:paraId="1E3B0AC8">
      <w:pPr>
        <w:spacing w:line="360" w:lineRule="auto"/>
        <w:jc w:val="center"/>
        <w:rPr>
          <w:rFonts w:hint="default" w:ascii="Times New Roman" w:hAnsi="Times New Roman" w:eastAsia="宋体" w:cs="Times New Roman"/>
          <w:b/>
        </w:rPr>
      </w:pPr>
      <w:r>
        <w:rPr>
          <w:rFonts w:hint="default" w:ascii="Times New Roman" w:hAnsi="Times New Roman" w:eastAsia="宋体" w:cs="Times New Roman"/>
          <w:b/>
        </w:rPr>
        <w:t>表7.3-3 废水类别、污染物及污染治理设施信息表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438"/>
        <w:gridCol w:w="594"/>
        <w:gridCol w:w="1001"/>
        <w:gridCol w:w="686"/>
        <w:gridCol w:w="596"/>
        <w:gridCol w:w="883"/>
        <w:gridCol w:w="691"/>
        <w:gridCol w:w="653"/>
        <w:gridCol w:w="906"/>
        <w:gridCol w:w="844"/>
        <w:gridCol w:w="1826"/>
      </w:tblGrid>
      <w:tr w14:paraId="6183AA2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40" w:type="pct"/>
            <w:vMerge w:val="restart"/>
            <w:tcBorders>
              <w:bottom w:val="single" w:color="000000" w:sz="2" w:space="0"/>
              <w:right w:val="single" w:color="000000" w:sz="2" w:space="0"/>
            </w:tcBorders>
            <w:vAlign w:val="center"/>
          </w:tcPr>
          <w:p w14:paraId="431171C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326" w:type="pct"/>
            <w:vMerge w:val="restart"/>
            <w:tcBorders>
              <w:left w:val="single" w:color="000000" w:sz="2" w:space="0"/>
              <w:bottom w:val="single" w:color="000000" w:sz="2" w:space="0"/>
              <w:right w:val="single" w:color="000000" w:sz="2" w:space="0"/>
            </w:tcBorders>
            <w:vAlign w:val="center"/>
          </w:tcPr>
          <w:p w14:paraId="3458CAE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废水类别</w:t>
            </w:r>
          </w:p>
        </w:tc>
        <w:tc>
          <w:tcPr>
            <w:tcW w:w="549" w:type="pct"/>
            <w:vMerge w:val="restart"/>
            <w:tcBorders>
              <w:left w:val="single" w:color="000000" w:sz="2" w:space="0"/>
              <w:bottom w:val="single" w:color="000000" w:sz="2" w:space="0"/>
              <w:right w:val="single" w:color="000000" w:sz="2" w:space="0"/>
            </w:tcBorders>
            <w:vAlign w:val="center"/>
          </w:tcPr>
          <w:p w14:paraId="03097B0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污染物种类</w:t>
            </w:r>
          </w:p>
        </w:tc>
        <w:tc>
          <w:tcPr>
            <w:tcW w:w="376" w:type="pct"/>
            <w:vMerge w:val="restart"/>
            <w:tcBorders>
              <w:left w:val="single" w:color="000000" w:sz="2" w:space="0"/>
              <w:bottom w:val="single" w:color="000000" w:sz="2" w:space="0"/>
              <w:right w:val="single" w:color="000000" w:sz="2" w:space="0"/>
            </w:tcBorders>
            <w:vAlign w:val="center"/>
          </w:tcPr>
          <w:p w14:paraId="4186DBD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排放去向</w:t>
            </w:r>
          </w:p>
        </w:tc>
        <w:tc>
          <w:tcPr>
            <w:tcW w:w="327" w:type="pct"/>
            <w:vMerge w:val="restart"/>
            <w:tcBorders>
              <w:left w:val="single" w:color="000000" w:sz="2" w:space="0"/>
              <w:bottom w:val="single" w:color="000000" w:sz="2" w:space="0"/>
              <w:right w:val="single" w:color="000000" w:sz="2" w:space="0"/>
            </w:tcBorders>
            <w:vAlign w:val="center"/>
          </w:tcPr>
          <w:p w14:paraId="3941065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排放规律</w:t>
            </w:r>
          </w:p>
        </w:tc>
        <w:tc>
          <w:tcPr>
            <w:tcW w:w="1220" w:type="pct"/>
            <w:gridSpan w:val="3"/>
            <w:tcBorders>
              <w:left w:val="single" w:color="000000" w:sz="2" w:space="0"/>
              <w:bottom w:val="single" w:color="000000" w:sz="2" w:space="0"/>
              <w:right w:val="single" w:color="000000" w:sz="2" w:space="0"/>
            </w:tcBorders>
            <w:vAlign w:val="center"/>
          </w:tcPr>
          <w:p w14:paraId="4C6AB57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污染治理设施</w:t>
            </w:r>
          </w:p>
        </w:tc>
        <w:tc>
          <w:tcPr>
            <w:tcW w:w="497" w:type="pct"/>
            <w:vMerge w:val="restart"/>
            <w:tcBorders>
              <w:left w:val="single" w:color="000000" w:sz="2" w:space="0"/>
              <w:bottom w:val="single" w:color="000000" w:sz="2" w:space="0"/>
              <w:right w:val="single" w:color="000000" w:sz="2" w:space="0"/>
            </w:tcBorders>
            <w:vAlign w:val="center"/>
          </w:tcPr>
          <w:p w14:paraId="37CD446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排放口编号</w:t>
            </w:r>
          </w:p>
        </w:tc>
        <w:tc>
          <w:tcPr>
            <w:tcW w:w="463" w:type="pct"/>
            <w:vMerge w:val="restart"/>
            <w:tcBorders>
              <w:left w:val="single" w:color="000000" w:sz="2" w:space="0"/>
              <w:bottom w:val="single" w:color="000000" w:sz="2" w:space="0"/>
              <w:right w:val="single" w:color="000000" w:sz="2" w:space="0"/>
            </w:tcBorders>
            <w:vAlign w:val="center"/>
          </w:tcPr>
          <w:p w14:paraId="6DC670C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排放口设置是否符合</w:t>
            </w:r>
          </w:p>
          <w:p w14:paraId="2AA93C5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要求</w:t>
            </w:r>
          </w:p>
        </w:tc>
        <w:tc>
          <w:tcPr>
            <w:tcW w:w="1003" w:type="pct"/>
            <w:vMerge w:val="restart"/>
            <w:tcBorders>
              <w:left w:val="single" w:color="000000" w:sz="2" w:space="0"/>
              <w:bottom w:val="single" w:color="000000" w:sz="2" w:space="0"/>
            </w:tcBorders>
            <w:vAlign w:val="center"/>
          </w:tcPr>
          <w:p w14:paraId="5A17858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排放口类型</w:t>
            </w:r>
          </w:p>
        </w:tc>
      </w:tr>
      <w:tr w14:paraId="7F700C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40" w:type="pct"/>
            <w:vMerge w:val="continue"/>
            <w:tcBorders>
              <w:top w:val="nil"/>
              <w:bottom w:val="single" w:color="000000" w:sz="2" w:space="0"/>
              <w:right w:val="single" w:color="000000" w:sz="2" w:space="0"/>
            </w:tcBorders>
            <w:vAlign w:val="center"/>
          </w:tcPr>
          <w:p w14:paraId="4BBAEC6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26" w:type="pct"/>
            <w:vMerge w:val="continue"/>
            <w:tcBorders>
              <w:top w:val="nil"/>
              <w:left w:val="single" w:color="000000" w:sz="2" w:space="0"/>
              <w:bottom w:val="single" w:color="000000" w:sz="2" w:space="0"/>
              <w:right w:val="single" w:color="000000" w:sz="2" w:space="0"/>
            </w:tcBorders>
            <w:vAlign w:val="center"/>
          </w:tcPr>
          <w:p w14:paraId="2DCCB8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549" w:type="pct"/>
            <w:vMerge w:val="continue"/>
            <w:tcBorders>
              <w:top w:val="nil"/>
              <w:left w:val="single" w:color="000000" w:sz="2" w:space="0"/>
              <w:bottom w:val="single" w:color="000000" w:sz="2" w:space="0"/>
              <w:right w:val="single" w:color="000000" w:sz="2" w:space="0"/>
            </w:tcBorders>
            <w:vAlign w:val="center"/>
          </w:tcPr>
          <w:p w14:paraId="4385F42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76" w:type="pct"/>
            <w:vMerge w:val="continue"/>
            <w:tcBorders>
              <w:top w:val="nil"/>
              <w:left w:val="single" w:color="000000" w:sz="2" w:space="0"/>
              <w:bottom w:val="single" w:color="000000" w:sz="2" w:space="0"/>
              <w:right w:val="single" w:color="000000" w:sz="2" w:space="0"/>
            </w:tcBorders>
            <w:vAlign w:val="center"/>
          </w:tcPr>
          <w:p w14:paraId="5090F6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27" w:type="pct"/>
            <w:vMerge w:val="continue"/>
            <w:tcBorders>
              <w:top w:val="nil"/>
              <w:left w:val="single" w:color="000000" w:sz="2" w:space="0"/>
              <w:bottom w:val="single" w:color="000000" w:sz="2" w:space="0"/>
              <w:right w:val="single" w:color="000000" w:sz="2" w:space="0"/>
            </w:tcBorders>
            <w:vAlign w:val="center"/>
          </w:tcPr>
          <w:p w14:paraId="5F4BBB3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84" w:type="pct"/>
            <w:tcBorders>
              <w:top w:val="single" w:color="000000" w:sz="2" w:space="0"/>
              <w:left w:val="single" w:color="000000" w:sz="2" w:space="0"/>
              <w:bottom w:val="single" w:color="000000" w:sz="2" w:space="0"/>
              <w:right w:val="single" w:color="000000" w:sz="2" w:space="0"/>
            </w:tcBorders>
            <w:vAlign w:val="center"/>
          </w:tcPr>
          <w:p w14:paraId="045C92F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设施编号</w:t>
            </w:r>
          </w:p>
        </w:tc>
        <w:tc>
          <w:tcPr>
            <w:tcW w:w="379" w:type="pct"/>
            <w:tcBorders>
              <w:top w:val="single" w:color="000000" w:sz="2" w:space="0"/>
              <w:left w:val="single" w:color="000000" w:sz="2" w:space="0"/>
              <w:bottom w:val="single" w:color="000000" w:sz="2" w:space="0"/>
              <w:right w:val="single" w:color="000000" w:sz="2" w:space="0"/>
            </w:tcBorders>
            <w:vAlign w:val="center"/>
          </w:tcPr>
          <w:p w14:paraId="52D349F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设施名称</w:t>
            </w:r>
          </w:p>
        </w:tc>
        <w:tc>
          <w:tcPr>
            <w:tcW w:w="358" w:type="pct"/>
            <w:tcBorders>
              <w:top w:val="single" w:color="000000" w:sz="2" w:space="0"/>
              <w:left w:val="single" w:color="000000" w:sz="2" w:space="0"/>
              <w:bottom w:val="single" w:color="000000" w:sz="2" w:space="0"/>
              <w:right w:val="single" w:color="000000" w:sz="2" w:space="0"/>
            </w:tcBorders>
            <w:vAlign w:val="center"/>
          </w:tcPr>
          <w:p w14:paraId="6C794A5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设施工艺</w:t>
            </w:r>
          </w:p>
        </w:tc>
        <w:tc>
          <w:tcPr>
            <w:tcW w:w="497" w:type="pct"/>
            <w:vMerge w:val="continue"/>
            <w:tcBorders>
              <w:top w:val="nil"/>
              <w:left w:val="single" w:color="000000" w:sz="2" w:space="0"/>
              <w:bottom w:val="single" w:color="000000" w:sz="2" w:space="0"/>
              <w:right w:val="single" w:color="000000" w:sz="2" w:space="0"/>
            </w:tcBorders>
            <w:vAlign w:val="center"/>
          </w:tcPr>
          <w:p w14:paraId="6136D2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63" w:type="pct"/>
            <w:vMerge w:val="continue"/>
            <w:tcBorders>
              <w:top w:val="nil"/>
              <w:left w:val="single" w:color="000000" w:sz="2" w:space="0"/>
              <w:bottom w:val="single" w:color="000000" w:sz="2" w:space="0"/>
              <w:right w:val="single" w:color="000000" w:sz="2" w:space="0"/>
            </w:tcBorders>
            <w:vAlign w:val="center"/>
          </w:tcPr>
          <w:p w14:paraId="5FA8919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1003" w:type="pct"/>
            <w:vMerge w:val="continue"/>
            <w:tcBorders>
              <w:top w:val="nil"/>
              <w:left w:val="single" w:color="000000" w:sz="2" w:space="0"/>
              <w:bottom w:val="single" w:color="000000" w:sz="2" w:space="0"/>
            </w:tcBorders>
            <w:vAlign w:val="center"/>
          </w:tcPr>
          <w:p w14:paraId="23D8DD3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r>
      <w:tr w14:paraId="2967B54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40" w:type="pct"/>
            <w:tcBorders>
              <w:top w:val="single" w:color="000000" w:sz="2" w:space="0"/>
              <w:bottom w:val="single" w:color="000000" w:sz="2" w:space="0"/>
              <w:right w:val="single" w:color="000000" w:sz="2" w:space="0"/>
            </w:tcBorders>
            <w:vAlign w:val="center"/>
          </w:tcPr>
          <w:p w14:paraId="7BF45A3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326" w:type="pct"/>
            <w:tcBorders>
              <w:top w:val="single" w:color="000000" w:sz="2" w:space="0"/>
              <w:left w:val="single" w:color="000000" w:sz="2" w:space="0"/>
              <w:bottom w:val="single" w:color="000000" w:sz="2" w:space="0"/>
              <w:right w:val="single" w:color="000000" w:sz="2" w:space="0"/>
            </w:tcBorders>
            <w:vAlign w:val="center"/>
          </w:tcPr>
          <w:p w14:paraId="630C397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生活污水</w:t>
            </w:r>
          </w:p>
        </w:tc>
        <w:tc>
          <w:tcPr>
            <w:tcW w:w="549" w:type="pct"/>
            <w:tcBorders>
              <w:top w:val="single" w:color="000000" w:sz="2" w:space="0"/>
              <w:left w:val="single" w:color="000000" w:sz="2" w:space="0"/>
              <w:bottom w:val="single" w:color="000000" w:sz="2" w:space="0"/>
              <w:right w:val="single" w:color="000000" w:sz="2" w:space="0"/>
            </w:tcBorders>
            <w:vAlign w:val="center"/>
          </w:tcPr>
          <w:p w14:paraId="694349A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COD、BOD5、</w:t>
            </w:r>
          </w:p>
          <w:p w14:paraId="621853C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氨氮、SS</w:t>
            </w:r>
          </w:p>
        </w:tc>
        <w:tc>
          <w:tcPr>
            <w:tcW w:w="376" w:type="pct"/>
            <w:tcBorders>
              <w:top w:val="single" w:color="000000" w:sz="2" w:space="0"/>
              <w:left w:val="single" w:color="000000" w:sz="2" w:space="0"/>
              <w:bottom w:val="single" w:color="000000" w:sz="2" w:space="0"/>
              <w:right w:val="single" w:color="000000" w:sz="2" w:space="0"/>
            </w:tcBorders>
            <w:vAlign w:val="center"/>
          </w:tcPr>
          <w:p w14:paraId="65DA931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松木污水处理厂</w:t>
            </w:r>
          </w:p>
        </w:tc>
        <w:tc>
          <w:tcPr>
            <w:tcW w:w="327" w:type="pct"/>
            <w:tcBorders>
              <w:top w:val="single" w:color="000000" w:sz="2" w:space="0"/>
              <w:left w:val="single" w:color="000000" w:sz="2" w:space="0"/>
              <w:bottom w:val="single" w:color="000000" w:sz="2" w:space="0"/>
              <w:right w:val="single" w:color="000000" w:sz="2" w:space="0"/>
            </w:tcBorders>
            <w:vAlign w:val="center"/>
          </w:tcPr>
          <w:p w14:paraId="6EADDAC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间歇排放</w:t>
            </w:r>
          </w:p>
        </w:tc>
        <w:tc>
          <w:tcPr>
            <w:tcW w:w="484" w:type="pct"/>
            <w:tcBorders>
              <w:top w:val="single" w:color="000000" w:sz="2" w:space="0"/>
              <w:left w:val="single" w:color="000000" w:sz="2" w:space="0"/>
              <w:bottom w:val="single" w:color="000000" w:sz="2" w:space="0"/>
              <w:right w:val="single" w:color="000000" w:sz="2" w:space="0"/>
            </w:tcBorders>
            <w:vAlign w:val="center"/>
          </w:tcPr>
          <w:p w14:paraId="495AC73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TW001</w:t>
            </w:r>
          </w:p>
        </w:tc>
        <w:tc>
          <w:tcPr>
            <w:tcW w:w="379" w:type="pct"/>
            <w:tcBorders>
              <w:top w:val="single" w:color="000000" w:sz="2" w:space="0"/>
              <w:left w:val="single" w:color="000000" w:sz="2" w:space="0"/>
              <w:bottom w:val="single" w:color="000000" w:sz="2" w:space="0"/>
              <w:right w:val="single" w:color="000000" w:sz="2" w:space="0"/>
            </w:tcBorders>
            <w:vAlign w:val="center"/>
          </w:tcPr>
          <w:p w14:paraId="61A0F75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化粪池</w:t>
            </w:r>
          </w:p>
        </w:tc>
        <w:tc>
          <w:tcPr>
            <w:tcW w:w="358" w:type="pct"/>
            <w:tcBorders>
              <w:top w:val="single" w:color="000000" w:sz="2" w:space="0"/>
              <w:left w:val="single" w:color="000000" w:sz="2" w:space="0"/>
              <w:bottom w:val="single" w:color="000000" w:sz="2" w:space="0"/>
              <w:right w:val="single" w:color="000000" w:sz="2" w:space="0"/>
            </w:tcBorders>
            <w:vAlign w:val="center"/>
          </w:tcPr>
          <w:p w14:paraId="3AFC704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497" w:type="pct"/>
            <w:tcBorders>
              <w:top w:val="single" w:color="000000" w:sz="2" w:space="0"/>
              <w:left w:val="single" w:color="000000" w:sz="2" w:space="0"/>
              <w:bottom w:val="single" w:color="000000" w:sz="2" w:space="0"/>
              <w:right w:val="single" w:color="000000" w:sz="2" w:space="0"/>
            </w:tcBorders>
            <w:vAlign w:val="center"/>
          </w:tcPr>
          <w:p w14:paraId="465A8AE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DW001</w:t>
            </w:r>
          </w:p>
        </w:tc>
        <w:tc>
          <w:tcPr>
            <w:tcW w:w="463" w:type="pct"/>
            <w:tcBorders>
              <w:top w:val="single" w:color="000000" w:sz="2" w:space="0"/>
              <w:left w:val="single" w:color="000000" w:sz="2" w:space="0"/>
              <w:bottom w:val="single" w:color="000000" w:sz="2" w:space="0"/>
              <w:right w:val="single" w:color="000000" w:sz="2" w:space="0"/>
            </w:tcBorders>
            <w:vAlign w:val="center"/>
          </w:tcPr>
          <w:p w14:paraId="7A6882A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sym w:font="Wingdings" w:char="F06E"/>
            </w:r>
            <w:r>
              <w:rPr>
                <w:rFonts w:hint="default" w:ascii="Times New Roman" w:hAnsi="Times New Roman" w:eastAsia="宋体" w:cs="Times New Roman"/>
                <w:sz w:val="21"/>
                <w:szCs w:val="21"/>
              </w:rPr>
              <w:t>是</w:t>
            </w:r>
          </w:p>
          <w:p w14:paraId="4E4DC30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c>
          <w:tcPr>
            <w:tcW w:w="1003" w:type="pct"/>
            <w:tcBorders>
              <w:top w:val="single" w:color="000000" w:sz="2" w:space="0"/>
              <w:left w:val="single" w:color="000000" w:sz="2" w:space="0"/>
              <w:bottom w:val="single" w:color="000000" w:sz="2" w:space="0"/>
            </w:tcBorders>
            <w:vAlign w:val="center"/>
          </w:tcPr>
          <w:p w14:paraId="068EF2A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sym w:font="Wingdings" w:char="F06E"/>
            </w:r>
            <w:r>
              <w:rPr>
                <w:rFonts w:hint="default" w:ascii="Times New Roman" w:hAnsi="Times New Roman" w:eastAsia="宋体" w:cs="Times New Roman"/>
                <w:sz w:val="21"/>
                <w:szCs w:val="21"/>
              </w:rPr>
              <w:t>企业总排</w:t>
            </w:r>
          </w:p>
          <w:p w14:paraId="42946AF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□雨水排放</w:t>
            </w:r>
          </w:p>
          <w:p w14:paraId="12FE1CBC">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□清净下水排放</w:t>
            </w:r>
          </w:p>
          <w:p w14:paraId="6CE78E4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□温排水排放</w:t>
            </w:r>
          </w:p>
          <w:p w14:paraId="2B920F4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□车间或车间处理设施排放口</w:t>
            </w:r>
          </w:p>
        </w:tc>
      </w:tr>
      <w:tr w14:paraId="5DE44FB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40" w:type="pct"/>
            <w:tcBorders>
              <w:top w:val="single" w:color="000000" w:sz="2" w:space="0"/>
              <w:right w:val="single" w:color="000000" w:sz="2" w:space="0"/>
            </w:tcBorders>
            <w:vAlign w:val="center"/>
          </w:tcPr>
          <w:p w14:paraId="011A1CE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w:t>
            </w:r>
          </w:p>
        </w:tc>
        <w:tc>
          <w:tcPr>
            <w:tcW w:w="326" w:type="pct"/>
            <w:tcBorders>
              <w:top w:val="single" w:color="000000" w:sz="2" w:space="0"/>
              <w:left w:val="single" w:color="000000" w:sz="2" w:space="0"/>
              <w:right w:val="single" w:color="000000" w:sz="2" w:space="0"/>
            </w:tcBorders>
            <w:vAlign w:val="center"/>
          </w:tcPr>
          <w:p w14:paraId="7113E4D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生产废水</w:t>
            </w:r>
          </w:p>
        </w:tc>
        <w:tc>
          <w:tcPr>
            <w:tcW w:w="549" w:type="pct"/>
            <w:tcBorders>
              <w:top w:val="single" w:color="000000" w:sz="2" w:space="0"/>
              <w:left w:val="single" w:color="000000" w:sz="2" w:space="0"/>
              <w:right w:val="single" w:color="000000" w:sz="2" w:space="0"/>
            </w:tcBorders>
            <w:vAlign w:val="center"/>
          </w:tcPr>
          <w:p w14:paraId="34E3210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pH、COD、BOD5、石油类、苯、甲苯、LAS</w:t>
            </w:r>
          </w:p>
        </w:tc>
        <w:tc>
          <w:tcPr>
            <w:tcW w:w="376" w:type="pct"/>
            <w:tcBorders>
              <w:top w:val="single" w:color="000000" w:sz="2" w:space="0"/>
              <w:left w:val="single" w:color="000000" w:sz="2" w:space="0"/>
              <w:right w:val="single" w:color="000000" w:sz="2" w:space="0"/>
            </w:tcBorders>
            <w:vAlign w:val="center"/>
          </w:tcPr>
          <w:p w14:paraId="215D84A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松木污水处理厂</w:t>
            </w:r>
          </w:p>
        </w:tc>
        <w:tc>
          <w:tcPr>
            <w:tcW w:w="327" w:type="pct"/>
            <w:tcBorders>
              <w:top w:val="single" w:color="000000" w:sz="2" w:space="0"/>
              <w:left w:val="single" w:color="000000" w:sz="2" w:space="0"/>
              <w:right w:val="single" w:color="000000" w:sz="2" w:space="0"/>
            </w:tcBorders>
            <w:vAlign w:val="center"/>
          </w:tcPr>
          <w:p w14:paraId="7DA2705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连续排放</w:t>
            </w:r>
          </w:p>
        </w:tc>
        <w:tc>
          <w:tcPr>
            <w:tcW w:w="484" w:type="pct"/>
            <w:tcBorders>
              <w:top w:val="single" w:color="000000" w:sz="2" w:space="0"/>
              <w:left w:val="single" w:color="000000" w:sz="2" w:space="0"/>
              <w:right w:val="single" w:color="000000" w:sz="2" w:space="0"/>
            </w:tcBorders>
            <w:vAlign w:val="center"/>
          </w:tcPr>
          <w:p w14:paraId="39B35D7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TW002</w:t>
            </w:r>
          </w:p>
        </w:tc>
        <w:tc>
          <w:tcPr>
            <w:tcW w:w="379" w:type="pct"/>
            <w:tcBorders>
              <w:top w:val="single" w:color="000000" w:sz="2" w:space="0"/>
              <w:left w:val="single" w:color="000000" w:sz="2" w:space="0"/>
              <w:right w:val="single" w:color="000000" w:sz="2" w:space="0"/>
            </w:tcBorders>
            <w:vAlign w:val="center"/>
          </w:tcPr>
          <w:p w14:paraId="04C6BBC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污水处理站</w:t>
            </w:r>
          </w:p>
        </w:tc>
        <w:tc>
          <w:tcPr>
            <w:tcW w:w="358" w:type="pct"/>
            <w:tcBorders>
              <w:top w:val="single" w:color="000000" w:sz="2" w:space="0"/>
              <w:left w:val="single" w:color="000000" w:sz="2" w:space="0"/>
              <w:right w:val="single" w:color="000000" w:sz="2" w:space="0"/>
            </w:tcBorders>
            <w:vAlign w:val="center"/>
          </w:tcPr>
          <w:p w14:paraId="700A37D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pH调节+絮凝+气浮+芬顿氧化+水解酸化+AO处理+沉淀</w:t>
            </w:r>
          </w:p>
        </w:tc>
        <w:tc>
          <w:tcPr>
            <w:tcW w:w="497" w:type="pct"/>
            <w:tcBorders>
              <w:top w:val="single" w:color="000000" w:sz="2" w:space="0"/>
              <w:left w:val="single" w:color="000000" w:sz="2" w:space="0"/>
              <w:right w:val="single" w:color="000000" w:sz="2" w:space="0"/>
            </w:tcBorders>
            <w:vAlign w:val="center"/>
          </w:tcPr>
          <w:p w14:paraId="58266FAD">
            <w:pPr>
              <w:pStyle w:val="60"/>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rPr>
              <w:t>DW00</w:t>
            </w:r>
            <w:r>
              <w:rPr>
                <w:rFonts w:hint="eastAsia" w:ascii="Times New Roman" w:hAnsi="Times New Roman" w:cs="Times New Roman"/>
                <w:sz w:val="21"/>
                <w:szCs w:val="21"/>
                <w:lang w:val="en-US" w:eastAsia="zh-CN"/>
              </w:rPr>
              <w:t>1</w:t>
            </w:r>
          </w:p>
        </w:tc>
        <w:tc>
          <w:tcPr>
            <w:tcW w:w="463" w:type="pct"/>
            <w:tcBorders>
              <w:top w:val="single" w:color="000000" w:sz="2" w:space="0"/>
              <w:left w:val="single" w:color="000000" w:sz="2" w:space="0"/>
              <w:right w:val="single" w:color="000000" w:sz="2" w:space="0"/>
            </w:tcBorders>
            <w:vAlign w:val="center"/>
          </w:tcPr>
          <w:p w14:paraId="189A13F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sym w:font="Wingdings" w:char="F06E"/>
            </w:r>
            <w:r>
              <w:rPr>
                <w:rFonts w:hint="default" w:ascii="Times New Roman" w:hAnsi="Times New Roman" w:eastAsia="宋体" w:cs="Times New Roman"/>
                <w:sz w:val="21"/>
                <w:szCs w:val="21"/>
              </w:rPr>
              <w:t>是</w:t>
            </w:r>
          </w:p>
          <w:p w14:paraId="3EB322C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□否</w:t>
            </w:r>
          </w:p>
        </w:tc>
        <w:tc>
          <w:tcPr>
            <w:tcW w:w="1003" w:type="pct"/>
            <w:tcBorders>
              <w:top w:val="single" w:color="000000" w:sz="2" w:space="0"/>
              <w:left w:val="single" w:color="000000" w:sz="2" w:space="0"/>
            </w:tcBorders>
            <w:vAlign w:val="center"/>
          </w:tcPr>
          <w:p w14:paraId="0820005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sym w:font="Wingdings" w:char="F06E"/>
            </w:r>
            <w:r>
              <w:rPr>
                <w:rFonts w:hint="default" w:ascii="Times New Roman" w:hAnsi="Times New Roman" w:eastAsia="宋体" w:cs="Times New Roman"/>
                <w:sz w:val="21"/>
                <w:szCs w:val="21"/>
              </w:rPr>
              <w:t>企业总排</w:t>
            </w:r>
          </w:p>
          <w:p w14:paraId="7CD6DE1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□雨水排放</w:t>
            </w:r>
          </w:p>
          <w:p w14:paraId="621EC1A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清净下水排放</w:t>
            </w:r>
          </w:p>
          <w:p w14:paraId="0711F8B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□温排水排放</w:t>
            </w:r>
          </w:p>
          <w:p w14:paraId="6693149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□车间或车间处理设施排放口</w:t>
            </w:r>
          </w:p>
        </w:tc>
      </w:tr>
    </w:tbl>
    <w:p w14:paraId="660BFF06">
      <w:pPr>
        <w:pStyle w:val="12"/>
        <w:spacing w:line="360" w:lineRule="auto"/>
        <w:ind w:firstLine="48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 xml:space="preserve">表7.3-4 </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t>废水间接排放口基本情况表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427"/>
        <w:gridCol w:w="890"/>
        <w:gridCol w:w="1233"/>
        <w:gridCol w:w="1125"/>
        <w:gridCol w:w="794"/>
        <w:gridCol w:w="490"/>
        <w:gridCol w:w="693"/>
        <w:gridCol w:w="427"/>
        <w:gridCol w:w="633"/>
        <w:gridCol w:w="1059"/>
        <w:gridCol w:w="1347"/>
      </w:tblGrid>
      <w:tr w14:paraId="6CD656C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33" w:type="pct"/>
            <w:vMerge w:val="restart"/>
            <w:tcBorders>
              <w:bottom w:val="single" w:color="000000" w:sz="2" w:space="0"/>
              <w:right w:val="single" w:color="000000" w:sz="2" w:space="0"/>
            </w:tcBorders>
            <w:vAlign w:val="center"/>
          </w:tcPr>
          <w:p w14:paraId="578AC72C">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488" w:type="pct"/>
            <w:vMerge w:val="restart"/>
            <w:tcBorders>
              <w:left w:val="single" w:color="000000" w:sz="2" w:space="0"/>
              <w:bottom w:val="single" w:color="000000" w:sz="2" w:space="0"/>
              <w:right w:val="single" w:color="000000" w:sz="2" w:space="0"/>
            </w:tcBorders>
            <w:vAlign w:val="center"/>
          </w:tcPr>
          <w:p w14:paraId="6184DDB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排放口编号</w:t>
            </w:r>
          </w:p>
        </w:tc>
        <w:tc>
          <w:tcPr>
            <w:tcW w:w="1293" w:type="pct"/>
            <w:gridSpan w:val="2"/>
            <w:tcBorders>
              <w:left w:val="single" w:color="000000" w:sz="2" w:space="0"/>
              <w:bottom w:val="single" w:color="000000" w:sz="2" w:space="0"/>
              <w:right w:val="single" w:color="000000" w:sz="2" w:space="0"/>
            </w:tcBorders>
            <w:vAlign w:val="center"/>
          </w:tcPr>
          <w:p w14:paraId="5CFD7D2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排放口地理坐标</w:t>
            </w:r>
          </w:p>
        </w:tc>
        <w:tc>
          <w:tcPr>
            <w:tcW w:w="435" w:type="pct"/>
            <w:vMerge w:val="restart"/>
            <w:tcBorders>
              <w:left w:val="single" w:color="000000" w:sz="2" w:space="0"/>
              <w:bottom w:val="single" w:color="000000" w:sz="2" w:space="0"/>
              <w:right w:val="single" w:color="000000" w:sz="2" w:space="0"/>
            </w:tcBorders>
            <w:vAlign w:val="center"/>
          </w:tcPr>
          <w:p w14:paraId="75215B0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废水排放量/</w:t>
            </w:r>
          </w:p>
          <w:p w14:paraId="159D99E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（万</w:t>
            </w:r>
          </w:p>
          <w:p w14:paraId="7FEAEB4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t/a）</w:t>
            </w:r>
          </w:p>
        </w:tc>
        <w:tc>
          <w:tcPr>
            <w:tcW w:w="269" w:type="pct"/>
            <w:vMerge w:val="restart"/>
            <w:tcBorders>
              <w:left w:val="single" w:color="000000" w:sz="2" w:space="0"/>
              <w:bottom w:val="single" w:color="000000" w:sz="2" w:space="0"/>
              <w:right w:val="single" w:color="000000" w:sz="2" w:space="0"/>
            </w:tcBorders>
            <w:vAlign w:val="center"/>
          </w:tcPr>
          <w:p w14:paraId="4544047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排放去向</w:t>
            </w:r>
          </w:p>
        </w:tc>
        <w:tc>
          <w:tcPr>
            <w:tcW w:w="380" w:type="pct"/>
            <w:vMerge w:val="restart"/>
            <w:tcBorders>
              <w:left w:val="single" w:color="000000" w:sz="2" w:space="0"/>
              <w:bottom w:val="single" w:color="000000" w:sz="2" w:space="0"/>
              <w:right w:val="single" w:color="000000" w:sz="2" w:space="0"/>
            </w:tcBorders>
            <w:vAlign w:val="center"/>
          </w:tcPr>
          <w:p w14:paraId="4E3AF15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排放规律</w:t>
            </w:r>
          </w:p>
        </w:tc>
        <w:tc>
          <w:tcPr>
            <w:tcW w:w="233" w:type="pct"/>
            <w:vMerge w:val="restart"/>
            <w:tcBorders>
              <w:left w:val="single" w:color="000000" w:sz="2" w:space="0"/>
              <w:bottom w:val="single" w:color="000000" w:sz="2" w:space="0"/>
              <w:right w:val="single" w:color="000000" w:sz="2" w:space="0"/>
            </w:tcBorders>
            <w:vAlign w:val="center"/>
          </w:tcPr>
          <w:p w14:paraId="738D407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间歇排放时段</w:t>
            </w:r>
          </w:p>
        </w:tc>
        <w:tc>
          <w:tcPr>
            <w:tcW w:w="1665" w:type="pct"/>
            <w:gridSpan w:val="3"/>
            <w:tcBorders>
              <w:left w:val="single" w:color="000000" w:sz="2" w:space="0"/>
              <w:bottom w:val="single" w:color="000000" w:sz="2" w:space="0"/>
            </w:tcBorders>
            <w:vAlign w:val="center"/>
          </w:tcPr>
          <w:p w14:paraId="2B04AB0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受纳污水处理厂信息</w:t>
            </w:r>
          </w:p>
        </w:tc>
      </w:tr>
      <w:tr w14:paraId="31E846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33" w:type="pct"/>
            <w:vMerge w:val="continue"/>
            <w:tcBorders>
              <w:top w:val="nil"/>
              <w:bottom w:val="single" w:color="000000" w:sz="2" w:space="0"/>
              <w:right w:val="single" w:color="000000" w:sz="2" w:space="0"/>
            </w:tcBorders>
            <w:vAlign w:val="center"/>
          </w:tcPr>
          <w:p w14:paraId="5145788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p>
        </w:tc>
        <w:tc>
          <w:tcPr>
            <w:tcW w:w="488" w:type="pct"/>
            <w:vMerge w:val="continue"/>
            <w:tcBorders>
              <w:top w:val="nil"/>
              <w:left w:val="single" w:color="000000" w:sz="2" w:space="0"/>
              <w:bottom w:val="single" w:color="000000" w:sz="2" w:space="0"/>
              <w:right w:val="single" w:color="000000" w:sz="2" w:space="0"/>
            </w:tcBorders>
            <w:vAlign w:val="center"/>
          </w:tcPr>
          <w:p w14:paraId="3D3BEC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p>
        </w:tc>
        <w:tc>
          <w:tcPr>
            <w:tcW w:w="676" w:type="pct"/>
            <w:tcBorders>
              <w:top w:val="single" w:color="000000" w:sz="2" w:space="0"/>
              <w:left w:val="single" w:color="000000" w:sz="2" w:space="0"/>
              <w:bottom w:val="single" w:color="000000" w:sz="2" w:space="0"/>
              <w:right w:val="single" w:color="000000" w:sz="2" w:space="0"/>
            </w:tcBorders>
            <w:vAlign w:val="center"/>
          </w:tcPr>
          <w:p w14:paraId="16E9ECB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经度</w:t>
            </w:r>
          </w:p>
        </w:tc>
        <w:tc>
          <w:tcPr>
            <w:tcW w:w="617" w:type="pct"/>
            <w:tcBorders>
              <w:top w:val="single" w:color="000000" w:sz="2" w:space="0"/>
              <w:left w:val="single" w:color="000000" w:sz="2" w:space="0"/>
              <w:bottom w:val="single" w:color="000000" w:sz="2" w:space="0"/>
              <w:right w:val="single" w:color="000000" w:sz="2" w:space="0"/>
            </w:tcBorders>
            <w:vAlign w:val="center"/>
          </w:tcPr>
          <w:p w14:paraId="4B063F2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纬度</w:t>
            </w:r>
          </w:p>
        </w:tc>
        <w:tc>
          <w:tcPr>
            <w:tcW w:w="435" w:type="pct"/>
            <w:vMerge w:val="continue"/>
            <w:tcBorders>
              <w:top w:val="nil"/>
              <w:left w:val="single" w:color="000000" w:sz="2" w:space="0"/>
              <w:bottom w:val="single" w:color="000000" w:sz="2" w:space="0"/>
              <w:right w:val="single" w:color="000000" w:sz="2" w:space="0"/>
            </w:tcBorders>
            <w:vAlign w:val="center"/>
          </w:tcPr>
          <w:p w14:paraId="7BD2192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p>
        </w:tc>
        <w:tc>
          <w:tcPr>
            <w:tcW w:w="269" w:type="pct"/>
            <w:vMerge w:val="continue"/>
            <w:tcBorders>
              <w:top w:val="nil"/>
              <w:left w:val="single" w:color="000000" w:sz="2" w:space="0"/>
              <w:bottom w:val="single" w:color="000000" w:sz="2" w:space="0"/>
              <w:right w:val="single" w:color="000000" w:sz="2" w:space="0"/>
            </w:tcBorders>
            <w:vAlign w:val="center"/>
          </w:tcPr>
          <w:p w14:paraId="0B7B1A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p>
        </w:tc>
        <w:tc>
          <w:tcPr>
            <w:tcW w:w="380" w:type="pct"/>
            <w:vMerge w:val="continue"/>
            <w:tcBorders>
              <w:top w:val="nil"/>
              <w:left w:val="single" w:color="000000" w:sz="2" w:space="0"/>
              <w:bottom w:val="single" w:color="000000" w:sz="2" w:space="0"/>
              <w:right w:val="single" w:color="000000" w:sz="2" w:space="0"/>
            </w:tcBorders>
            <w:vAlign w:val="center"/>
          </w:tcPr>
          <w:p w14:paraId="084277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p>
        </w:tc>
        <w:tc>
          <w:tcPr>
            <w:tcW w:w="233" w:type="pct"/>
            <w:vMerge w:val="continue"/>
            <w:tcBorders>
              <w:top w:val="nil"/>
              <w:left w:val="single" w:color="000000" w:sz="2" w:space="0"/>
              <w:bottom w:val="single" w:color="000000" w:sz="2" w:space="0"/>
              <w:right w:val="single" w:color="000000" w:sz="2" w:space="0"/>
            </w:tcBorders>
            <w:vAlign w:val="center"/>
          </w:tcPr>
          <w:p w14:paraId="535445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Cs w:val="21"/>
              </w:rPr>
            </w:pPr>
          </w:p>
        </w:tc>
        <w:tc>
          <w:tcPr>
            <w:tcW w:w="347" w:type="pct"/>
            <w:tcBorders>
              <w:top w:val="single" w:color="000000" w:sz="2" w:space="0"/>
              <w:left w:val="single" w:color="000000" w:sz="2" w:space="0"/>
              <w:bottom w:val="single" w:color="000000" w:sz="2" w:space="0"/>
              <w:right w:val="single" w:color="000000" w:sz="2" w:space="0"/>
            </w:tcBorders>
            <w:vAlign w:val="center"/>
          </w:tcPr>
          <w:p w14:paraId="6EDE985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名称</w:t>
            </w:r>
          </w:p>
        </w:tc>
        <w:tc>
          <w:tcPr>
            <w:tcW w:w="580" w:type="pct"/>
            <w:tcBorders>
              <w:top w:val="single" w:color="000000" w:sz="2" w:space="0"/>
              <w:left w:val="single" w:color="000000" w:sz="2" w:space="0"/>
              <w:bottom w:val="single" w:color="000000" w:sz="2" w:space="0"/>
              <w:right w:val="single" w:color="000000" w:sz="2" w:space="0"/>
            </w:tcBorders>
            <w:vAlign w:val="center"/>
          </w:tcPr>
          <w:p w14:paraId="3BFBF47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污染物种类</w:t>
            </w:r>
          </w:p>
        </w:tc>
        <w:tc>
          <w:tcPr>
            <w:tcW w:w="738" w:type="pct"/>
            <w:tcBorders>
              <w:top w:val="single" w:color="000000" w:sz="2" w:space="0"/>
              <w:left w:val="single" w:color="000000" w:sz="2" w:space="0"/>
              <w:bottom w:val="single" w:color="000000" w:sz="2" w:space="0"/>
            </w:tcBorders>
            <w:vAlign w:val="center"/>
          </w:tcPr>
          <w:p w14:paraId="5A53404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国家或地方污染物排放标准浓度限值/</w:t>
            </w:r>
          </w:p>
          <w:p w14:paraId="335D8CA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（mg/L）</w:t>
            </w:r>
          </w:p>
        </w:tc>
      </w:tr>
      <w:tr w14:paraId="6565DBB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360" w:hRule="atLeast"/>
        </w:trPr>
        <w:tc>
          <w:tcPr>
            <w:tcW w:w="233" w:type="pct"/>
            <w:vMerge w:val="restart"/>
            <w:tcBorders>
              <w:top w:val="single" w:color="000000" w:sz="2" w:space="0"/>
              <w:right w:val="single" w:color="000000" w:sz="2" w:space="0"/>
            </w:tcBorders>
            <w:vAlign w:val="center"/>
          </w:tcPr>
          <w:p w14:paraId="6EB139A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c>
          <w:tcPr>
            <w:tcW w:w="488" w:type="pct"/>
            <w:vMerge w:val="restart"/>
            <w:tcBorders>
              <w:top w:val="single" w:color="000000" w:sz="2" w:space="0"/>
              <w:left w:val="single" w:color="000000" w:sz="2" w:space="0"/>
              <w:right w:val="single" w:color="000000" w:sz="2" w:space="0"/>
            </w:tcBorders>
            <w:vAlign w:val="center"/>
          </w:tcPr>
          <w:p w14:paraId="6CDE306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DW001</w:t>
            </w:r>
          </w:p>
        </w:tc>
        <w:tc>
          <w:tcPr>
            <w:tcW w:w="676" w:type="pct"/>
            <w:vMerge w:val="restart"/>
            <w:tcBorders>
              <w:top w:val="single" w:color="000000" w:sz="2" w:space="0"/>
              <w:left w:val="single" w:color="000000" w:sz="2" w:space="0"/>
              <w:right w:val="single" w:color="000000" w:sz="2" w:space="0"/>
            </w:tcBorders>
            <w:vAlign w:val="center"/>
          </w:tcPr>
          <w:p w14:paraId="1D0B17E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112.628184</w:t>
            </w:r>
          </w:p>
        </w:tc>
        <w:tc>
          <w:tcPr>
            <w:tcW w:w="617" w:type="pct"/>
            <w:vMerge w:val="restart"/>
            <w:tcBorders>
              <w:top w:val="single" w:color="000000" w:sz="2" w:space="0"/>
              <w:left w:val="single" w:color="000000" w:sz="2" w:space="0"/>
              <w:right w:val="single" w:color="000000" w:sz="2" w:space="0"/>
            </w:tcBorders>
            <w:vAlign w:val="center"/>
          </w:tcPr>
          <w:p w14:paraId="54BB79B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26.974399</w:t>
            </w:r>
          </w:p>
        </w:tc>
        <w:tc>
          <w:tcPr>
            <w:tcW w:w="435" w:type="pct"/>
            <w:vMerge w:val="restart"/>
            <w:tcBorders>
              <w:top w:val="single" w:color="000000" w:sz="2" w:space="0"/>
              <w:left w:val="single" w:color="000000" w:sz="2" w:space="0"/>
              <w:right w:val="single" w:color="000000" w:sz="2" w:space="0"/>
            </w:tcBorders>
            <w:vAlign w:val="center"/>
          </w:tcPr>
          <w:p w14:paraId="4422613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0.0528</w:t>
            </w:r>
          </w:p>
        </w:tc>
        <w:tc>
          <w:tcPr>
            <w:tcW w:w="269" w:type="pct"/>
            <w:vMerge w:val="restart"/>
            <w:tcBorders>
              <w:top w:val="single" w:color="000000" w:sz="2" w:space="0"/>
              <w:left w:val="single" w:color="000000" w:sz="2" w:space="0"/>
              <w:right w:val="single" w:color="000000" w:sz="2" w:space="0"/>
            </w:tcBorders>
            <w:vAlign w:val="center"/>
          </w:tcPr>
          <w:p w14:paraId="1043977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松木污水处理厂</w:t>
            </w:r>
          </w:p>
        </w:tc>
        <w:tc>
          <w:tcPr>
            <w:tcW w:w="380" w:type="pct"/>
            <w:vMerge w:val="restart"/>
            <w:tcBorders>
              <w:top w:val="single" w:color="000000" w:sz="2" w:space="0"/>
              <w:left w:val="single" w:color="000000" w:sz="2" w:space="0"/>
              <w:right w:val="single" w:color="000000" w:sz="2" w:space="0"/>
            </w:tcBorders>
            <w:vAlign w:val="center"/>
          </w:tcPr>
          <w:p w14:paraId="59472D9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连续排放</w:t>
            </w:r>
          </w:p>
        </w:tc>
        <w:tc>
          <w:tcPr>
            <w:tcW w:w="233" w:type="pct"/>
            <w:vMerge w:val="restart"/>
            <w:tcBorders>
              <w:top w:val="single" w:color="000000" w:sz="2" w:space="0"/>
              <w:left w:val="single" w:color="000000" w:sz="2" w:space="0"/>
              <w:right w:val="single" w:color="000000" w:sz="2" w:space="0"/>
            </w:tcBorders>
            <w:vAlign w:val="center"/>
          </w:tcPr>
          <w:p w14:paraId="389DDA3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w:t>
            </w:r>
          </w:p>
        </w:tc>
        <w:tc>
          <w:tcPr>
            <w:tcW w:w="347" w:type="pct"/>
            <w:vMerge w:val="restart"/>
            <w:tcBorders>
              <w:top w:val="single" w:color="000000" w:sz="2" w:space="0"/>
              <w:left w:val="single" w:color="000000" w:sz="2" w:space="0"/>
              <w:right w:val="single" w:color="000000" w:sz="2" w:space="0"/>
            </w:tcBorders>
            <w:vAlign w:val="center"/>
          </w:tcPr>
          <w:p w14:paraId="42B208D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松木污水处理厂</w:t>
            </w:r>
          </w:p>
        </w:tc>
        <w:tc>
          <w:tcPr>
            <w:tcW w:w="580" w:type="pct"/>
            <w:tcBorders>
              <w:top w:val="single" w:color="000000" w:sz="2" w:space="0"/>
              <w:left w:val="single" w:color="000000" w:sz="2" w:space="0"/>
              <w:bottom w:val="single" w:color="000000" w:sz="2" w:space="0"/>
              <w:right w:val="single" w:color="000000" w:sz="2" w:space="0"/>
            </w:tcBorders>
            <w:vAlign w:val="center"/>
          </w:tcPr>
          <w:p w14:paraId="4D7E765C">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pH</w:t>
            </w:r>
          </w:p>
        </w:tc>
        <w:tc>
          <w:tcPr>
            <w:tcW w:w="738" w:type="pct"/>
            <w:tcBorders>
              <w:top w:val="single" w:color="000000" w:sz="2" w:space="0"/>
              <w:left w:val="single" w:color="000000" w:sz="2" w:space="0"/>
              <w:bottom w:val="single" w:color="000000" w:sz="2" w:space="0"/>
            </w:tcBorders>
            <w:vAlign w:val="center"/>
          </w:tcPr>
          <w:p w14:paraId="4823D92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6~9</w:t>
            </w:r>
          </w:p>
        </w:tc>
      </w:tr>
      <w:tr w14:paraId="2E258C1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rPr>
          <w:trHeight w:val="288" w:hRule="atLeast"/>
        </w:trPr>
        <w:tc>
          <w:tcPr>
            <w:tcW w:w="233" w:type="pct"/>
            <w:vMerge w:val="continue"/>
            <w:tcBorders>
              <w:right w:val="single" w:color="000000" w:sz="2" w:space="0"/>
            </w:tcBorders>
            <w:vAlign w:val="center"/>
          </w:tcPr>
          <w:p w14:paraId="466B112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88" w:type="pct"/>
            <w:vMerge w:val="continue"/>
            <w:tcBorders>
              <w:left w:val="single" w:color="000000" w:sz="2" w:space="0"/>
              <w:right w:val="single" w:color="000000" w:sz="2" w:space="0"/>
            </w:tcBorders>
            <w:vAlign w:val="center"/>
          </w:tcPr>
          <w:p w14:paraId="6533776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76" w:type="pct"/>
            <w:vMerge w:val="continue"/>
            <w:tcBorders>
              <w:left w:val="single" w:color="000000" w:sz="2" w:space="0"/>
              <w:right w:val="single" w:color="000000" w:sz="2" w:space="0"/>
            </w:tcBorders>
            <w:vAlign w:val="center"/>
          </w:tcPr>
          <w:p w14:paraId="5672D93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17" w:type="pct"/>
            <w:vMerge w:val="continue"/>
            <w:tcBorders>
              <w:left w:val="single" w:color="000000" w:sz="2" w:space="0"/>
              <w:right w:val="single" w:color="000000" w:sz="2" w:space="0"/>
            </w:tcBorders>
            <w:vAlign w:val="center"/>
          </w:tcPr>
          <w:p w14:paraId="4603CD4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35" w:type="pct"/>
            <w:vMerge w:val="continue"/>
            <w:tcBorders>
              <w:left w:val="single" w:color="000000" w:sz="2" w:space="0"/>
              <w:right w:val="single" w:color="000000" w:sz="2" w:space="0"/>
            </w:tcBorders>
            <w:vAlign w:val="center"/>
          </w:tcPr>
          <w:p w14:paraId="0DC2DBD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69" w:type="pct"/>
            <w:vMerge w:val="continue"/>
            <w:tcBorders>
              <w:left w:val="single" w:color="000000" w:sz="2" w:space="0"/>
              <w:right w:val="single" w:color="000000" w:sz="2" w:space="0"/>
            </w:tcBorders>
            <w:vAlign w:val="center"/>
          </w:tcPr>
          <w:p w14:paraId="726DEF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80" w:type="pct"/>
            <w:vMerge w:val="continue"/>
            <w:tcBorders>
              <w:left w:val="single" w:color="000000" w:sz="2" w:space="0"/>
              <w:right w:val="single" w:color="000000" w:sz="2" w:space="0"/>
            </w:tcBorders>
            <w:vAlign w:val="center"/>
          </w:tcPr>
          <w:p w14:paraId="49082F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33" w:type="pct"/>
            <w:vMerge w:val="continue"/>
            <w:tcBorders>
              <w:left w:val="single" w:color="000000" w:sz="2" w:space="0"/>
              <w:right w:val="single" w:color="000000" w:sz="2" w:space="0"/>
            </w:tcBorders>
            <w:vAlign w:val="center"/>
          </w:tcPr>
          <w:p w14:paraId="53A4B9F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47" w:type="pct"/>
            <w:vMerge w:val="continue"/>
            <w:tcBorders>
              <w:left w:val="single" w:color="000000" w:sz="2" w:space="0"/>
              <w:right w:val="single" w:color="000000" w:sz="2" w:space="0"/>
            </w:tcBorders>
            <w:vAlign w:val="center"/>
          </w:tcPr>
          <w:p w14:paraId="185A4F5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270589C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CODcr</w:t>
            </w:r>
          </w:p>
        </w:tc>
        <w:tc>
          <w:tcPr>
            <w:tcW w:w="738" w:type="pct"/>
            <w:tcBorders>
              <w:top w:val="single" w:color="000000" w:sz="2" w:space="0"/>
              <w:left w:val="single" w:color="000000" w:sz="2" w:space="0"/>
              <w:bottom w:val="single" w:color="000000" w:sz="2" w:space="0"/>
            </w:tcBorders>
            <w:vAlign w:val="center"/>
          </w:tcPr>
          <w:p w14:paraId="324ABF9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50</w:t>
            </w:r>
          </w:p>
        </w:tc>
      </w:tr>
      <w:tr w14:paraId="79A08B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33" w:type="pct"/>
            <w:vMerge w:val="continue"/>
            <w:tcBorders>
              <w:right w:val="single" w:color="000000" w:sz="2" w:space="0"/>
            </w:tcBorders>
            <w:vAlign w:val="center"/>
          </w:tcPr>
          <w:p w14:paraId="1312C0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88" w:type="pct"/>
            <w:vMerge w:val="continue"/>
            <w:tcBorders>
              <w:left w:val="single" w:color="000000" w:sz="2" w:space="0"/>
              <w:right w:val="single" w:color="000000" w:sz="2" w:space="0"/>
            </w:tcBorders>
            <w:vAlign w:val="center"/>
          </w:tcPr>
          <w:p w14:paraId="025688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76" w:type="pct"/>
            <w:vMerge w:val="continue"/>
            <w:tcBorders>
              <w:left w:val="single" w:color="000000" w:sz="2" w:space="0"/>
              <w:right w:val="single" w:color="000000" w:sz="2" w:space="0"/>
            </w:tcBorders>
            <w:vAlign w:val="center"/>
          </w:tcPr>
          <w:p w14:paraId="5745A6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17" w:type="pct"/>
            <w:vMerge w:val="continue"/>
            <w:tcBorders>
              <w:left w:val="single" w:color="000000" w:sz="2" w:space="0"/>
              <w:right w:val="single" w:color="000000" w:sz="2" w:space="0"/>
            </w:tcBorders>
            <w:vAlign w:val="center"/>
          </w:tcPr>
          <w:p w14:paraId="1188DC8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35" w:type="pct"/>
            <w:vMerge w:val="continue"/>
            <w:tcBorders>
              <w:left w:val="single" w:color="000000" w:sz="2" w:space="0"/>
              <w:right w:val="single" w:color="000000" w:sz="2" w:space="0"/>
            </w:tcBorders>
            <w:vAlign w:val="center"/>
          </w:tcPr>
          <w:p w14:paraId="5A56C6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69" w:type="pct"/>
            <w:vMerge w:val="continue"/>
            <w:tcBorders>
              <w:left w:val="single" w:color="000000" w:sz="2" w:space="0"/>
              <w:right w:val="single" w:color="000000" w:sz="2" w:space="0"/>
            </w:tcBorders>
            <w:vAlign w:val="center"/>
          </w:tcPr>
          <w:p w14:paraId="7CC7F7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80" w:type="pct"/>
            <w:vMerge w:val="continue"/>
            <w:tcBorders>
              <w:left w:val="single" w:color="000000" w:sz="2" w:space="0"/>
              <w:right w:val="single" w:color="000000" w:sz="2" w:space="0"/>
            </w:tcBorders>
            <w:vAlign w:val="center"/>
          </w:tcPr>
          <w:p w14:paraId="09C4DA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33" w:type="pct"/>
            <w:vMerge w:val="continue"/>
            <w:tcBorders>
              <w:left w:val="single" w:color="000000" w:sz="2" w:space="0"/>
              <w:right w:val="single" w:color="000000" w:sz="2" w:space="0"/>
            </w:tcBorders>
            <w:vAlign w:val="center"/>
          </w:tcPr>
          <w:p w14:paraId="723578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47" w:type="pct"/>
            <w:vMerge w:val="continue"/>
            <w:tcBorders>
              <w:left w:val="single" w:color="000000" w:sz="2" w:space="0"/>
              <w:right w:val="single" w:color="000000" w:sz="2" w:space="0"/>
            </w:tcBorders>
            <w:vAlign w:val="center"/>
          </w:tcPr>
          <w:p w14:paraId="6F87AF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48AADB1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738" w:type="pct"/>
            <w:tcBorders>
              <w:top w:val="single" w:color="000000" w:sz="2" w:space="0"/>
              <w:left w:val="single" w:color="000000" w:sz="2" w:space="0"/>
              <w:bottom w:val="single" w:color="000000" w:sz="2" w:space="0"/>
            </w:tcBorders>
            <w:vAlign w:val="center"/>
          </w:tcPr>
          <w:p w14:paraId="3FF3EA3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r w14:paraId="37C805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33" w:type="pct"/>
            <w:vMerge w:val="continue"/>
            <w:tcBorders>
              <w:right w:val="single" w:color="000000" w:sz="2" w:space="0"/>
            </w:tcBorders>
            <w:vAlign w:val="center"/>
          </w:tcPr>
          <w:p w14:paraId="2F19D3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88" w:type="pct"/>
            <w:vMerge w:val="continue"/>
            <w:tcBorders>
              <w:left w:val="single" w:color="000000" w:sz="2" w:space="0"/>
              <w:right w:val="single" w:color="000000" w:sz="2" w:space="0"/>
            </w:tcBorders>
            <w:vAlign w:val="center"/>
          </w:tcPr>
          <w:p w14:paraId="646FA0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76" w:type="pct"/>
            <w:vMerge w:val="continue"/>
            <w:tcBorders>
              <w:left w:val="single" w:color="000000" w:sz="2" w:space="0"/>
              <w:right w:val="single" w:color="000000" w:sz="2" w:space="0"/>
            </w:tcBorders>
            <w:vAlign w:val="center"/>
          </w:tcPr>
          <w:p w14:paraId="3A36CD5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17" w:type="pct"/>
            <w:vMerge w:val="continue"/>
            <w:tcBorders>
              <w:left w:val="single" w:color="000000" w:sz="2" w:space="0"/>
              <w:right w:val="single" w:color="000000" w:sz="2" w:space="0"/>
            </w:tcBorders>
            <w:vAlign w:val="center"/>
          </w:tcPr>
          <w:p w14:paraId="42E7B23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35" w:type="pct"/>
            <w:vMerge w:val="continue"/>
            <w:tcBorders>
              <w:left w:val="single" w:color="000000" w:sz="2" w:space="0"/>
              <w:right w:val="single" w:color="000000" w:sz="2" w:space="0"/>
            </w:tcBorders>
            <w:vAlign w:val="center"/>
          </w:tcPr>
          <w:p w14:paraId="5815005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69" w:type="pct"/>
            <w:vMerge w:val="continue"/>
            <w:tcBorders>
              <w:left w:val="single" w:color="000000" w:sz="2" w:space="0"/>
              <w:right w:val="single" w:color="000000" w:sz="2" w:space="0"/>
            </w:tcBorders>
            <w:vAlign w:val="center"/>
          </w:tcPr>
          <w:p w14:paraId="5FF65FF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80" w:type="pct"/>
            <w:vMerge w:val="continue"/>
            <w:tcBorders>
              <w:left w:val="single" w:color="000000" w:sz="2" w:space="0"/>
              <w:right w:val="single" w:color="000000" w:sz="2" w:space="0"/>
            </w:tcBorders>
            <w:vAlign w:val="center"/>
          </w:tcPr>
          <w:p w14:paraId="178D3AC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33" w:type="pct"/>
            <w:vMerge w:val="continue"/>
            <w:tcBorders>
              <w:left w:val="single" w:color="000000" w:sz="2" w:space="0"/>
              <w:right w:val="single" w:color="000000" w:sz="2" w:space="0"/>
            </w:tcBorders>
            <w:vAlign w:val="center"/>
          </w:tcPr>
          <w:p w14:paraId="2BF997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47" w:type="pct"/>
            <w:vMerge w:val="continue"/>
            <w:tcBorders>
              <w:left w:val="single" w:color="000000" w:sz="2" w:space="0"/>
              <w:right w:val="single" w:color="000000" w:sz="2" w:space="0"/>
            </w:tcBorders>
            <w:vAlign w:val="center"/>
          </w:tcPr>
          <w:p w14:paraId="47454FC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2F2901E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SS</w:t>
            </w:r>
          </w:p>
        </w:tc>
        <w:tc>
          <w:tcPr>
            <w:tcW w:w="738" w:type="pct"/>
            <w:tcBorders>
              <w:top w:val="single" w:color="000000" w:sz="2" w:space="0"/>
              <w:left w:val="single" w:color="000000" w:sz="2" w:space="0"/>
              <w:bottom w:val="single" w:color="000000" w:sz="2" w:space="0"/>
            </w:tcBorders>
            <w:vAlign w:val="center"/>
          </w:tcPr>
          <w:p w14:paraId="3F4B1C9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10</w:t>
            </w:r>
          </w:p>
        </w:tc>
      </w:tr>
      <w:tr w14:paraId="0D78AB0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33" w:type="pct"/>
            <w:vMerge w:val="continue"/>
            <w:tcBorders>
              <w:right w:val="single" w:color="000000" w:sz="2" w:space="0"/>
            </w:tcBorders>
            <w:vAlign w:val="center"/>
          </w:tcPr>
          <w:p w14:paraId="211A144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88" w:type="pct"/>
            <w:vMerge w:val="continue"/>
            <w:tcBorders>
              <w:left w:val="single" w:color="000000" w:sz="2" w:space="0"/>
              <w:right w:val="single" w:color="000000" w:sz="2" w:space="0"/>
            </w:tcBorders>
            <w:vAlign w:val="center"/>
          </w:tcPr>
          <w:p w14:paraId="40AA78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76" w:type="pct"/>
            <w:vMerge w:val="continue"/>
            <w:tcBorders>
              <w:left w:val="single" w:color="000000" w:sz="2" w:space="0"/>
              <w:right w:val="single" w:color="000000" w:sz="2" w:space="0"/>
            </w:tcBorders>
            <w:vAlign w:val="center"/>
          </w:tcPr>
          <w:p w14:paraId="1A1F17D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17" w:type="pct"/>
            <w:vMerge w:val="continue"/>
            <w:tcBorders>
              <w:left w:val="single" w:color="000000" w:sz="2" w:space="0"/>
              <w:right w:val="single" w:color="000000" w:sz="2" w:space="0"/>
            </w:tcBorders>
            <w:vAlign w:val="center"/>
          </w:tcPr>
          <w:p w14:paraId="11F023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35" w:type="pct"/>
            <w:vMerge w:val="continue"/>
            <w:tcBorders>
              <w:left w:val="single" w:color="000000" w:sz="2" w:space="0"/>
              <w:right w:val="single" w:color="000000" w:sz="2" w:space="0"/>
            </w:tcBorders>
            <w:vAlign w:val="center"/>
          </w:tcPr>
          <w:p w14:paraId="27D2C50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69" w:type="pct"/>
            <w:vMerge w:val="continue"/>
            <w:tcBorders>
              <w:left w:val="single" w:color="000000" w:sz="2" w:space="0"/>
              <w:right w:val="single" w:color="000000" w:sz="2" w:space="0"/>
            </w:tcBorders>
            <w:vAlign w:val="center"/>
          </w:tcPr>
          <w:p w14:paraId="144469A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80" w:type="pct"/>
            <w:vMerge w:val="continue"/>
            <w:tcBorders>
              <w:left w:val="single" w:color="000000" w:sz="2" w:space="0"/>
              <w:right w:val="single" w:color="000000" w:sz="2" w:space="0"/>
            </w:tcBorders>
            <w:vAlign w:val="center"/>
          </w:tcPr>
          <w:p w14:paraId="7247822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33" w:type="pct"/>
            <w:vMerge w:val="continue"/>
            <w:tcBorders>
              <w:left w:val="single" w:color="000000" w:sz="2" w:space="0"/>
              <w:right w:val="single" w:color="000000" w:sz="2" w:space="0"/>
            </w:tcBorders>
            <w:vAlign w:val="center"/>
          </w:tcPr>
          <w:p w14:paraId="588CA2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47" w:type="pct"/>
            <w:vMerge w:val="continue"/>
            <w:tcBorders>
              <w:left w:val="single" w:color="000000" w:sz="2" w:space="0"/>
              <w:right w:val="single" w:color="000000" w:sz="2" w:space="0"/>
            </w:tcBorders>
            <w:vAlign w:val="center"/>
          </w:tcPr>
          <w:p w14:paraId="1A4DC86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43EE1F40">
            <w:pPr>
              <w:pStyle w:val="60"/>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氨氮</w:t>
            </w:r>
          </w:p>
        </w:tc>
        <w:tc>
          <w:tcPr>
            <w:tcW w:w="738" w:type="pct"/>
            <w:tcBorders>
              <w:top w:val="single" w:color="000000" w:sz="2" w:space="0"/>
              <w:left w:val="single" w:color="000000" w:sz="2" w:space="0"/>
              <w:bottom w:val="single" w:color="000000" w:sz="2" w:space="0"/>
            </w:tcBorders>
            <w:vAlign w:val="center"/>
          </w:tcPr>
          <w:p w14:paraId="7A9C5FA0">
            <w:pPr>
              <w:pStyle w:val="60"/>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r>
      <w:tr w14:paraId="772C050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33" w:type="pct"/>
            <w:vMerge w:val="continue"/>
            <w:tcBorders>
              <w:right w:val="single" w:color="000000" w:sz="2" w:space="0"/>
            </w:tcBorders>
            <w:vAlign w:val="center"/>
          </w:tcPr>
          <w:p w14:paraId="78E6BFF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88" w:type="pct"/>
            <w:vMerge w:val="continue"/>
            <w:tcBorders>
              <w:left w:val="single" w:color="000000" w:sz="2" w:space="0"/>
              <w:right w:val="single" w:color="000000" w:sz="2" w:space="0"/>
            </w:tcBorders>
            <w:vAlign w:val="center"/>
          </w:tcPr>
          <w:p w14:paraId="5E9CCD2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76" w:type="pct"/>
            <w:vMerge w:val="continue"/>
            <w:tcBorders>
              <w:left w:val="single" w:color="000000" w:sz="2" w:space="0"/>
              <w:right w:val="single" w:color="000000" w:sz="2" w:space="0"/>
            </w:tcBorders>
            <w:vAlign w:val="center"/>
          </w:tcPr>
          <w:p w14:paraId="1201C41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17" w:type="pct"/>
            <w:vMerge w:val="continue"/>
            <w:tcBorders>
              <w:left w:val="single" w:color="000000" w:sz="2" w:space="0"/>
              <w:right w:val="single" w:color="000000" w:sz="2" w:space="0"/>
            </w:tcBorders>
            <w:vAlign w:val="center"/>
          </w:tcPr>
          <w:p w14:paraId="2452D91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35" w:type="pct"/>
            <w:vMerge w:val="continue"/>
            <w:tcBorders>
              <w:left w:val="single" w:color="000000" w:sz="2" w:space="0"/>
              <w:right w:val="single" w:color="000000" w:sz="2" w:space="0"/>
            </w:tcBorders>
            <w:vAlign w:val="center"/>
          </w:tcPr>
          <w:p w14:paraId="0C81897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69" w:type="pct"/>
            <w:vMerge w:val="continue"/>
            <w:tcBorders>
              <w:left w:val="single" w:color="000000" w:sz="2" w:space="0"/>
              <w:right w:val="single" w:color="000000" w:sz="2" w:space="0"/>
            </w:tcBorders>
            <w:vAlign w:val="center"/>
          </w:tcPr>
          <w:p w14:paraId="221F947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80" w:type="pct"/>
            <w:vMerge w:val="continue"/>
            <w:tcBorders>
              <w:left w:val="single" w:color="000000" w:sz="2" w:space="0"/>
              <w:right w:val="single" w:color="000000" w:sz="2" w:space="0"/>
            </w:tcBorders>
            <w:vAlign w:val="center"/>
          </w:tcPr>
          <w:p w14:paraId="567E704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33" w:type="pct"/>
            <w:vMerge w:val="continue"/>
            <w:tcBorders>
              <w:left w:val="single" w:color="000000" w:sz="2" w:space="0"/>
              <w:right w:val="single" w:color="000000" w:sz="2" w:space="0"/>
            </w:tcBorders>
            <w:vAlign w:val="center"/>
          </w:tcPr>
          <w:p w14:paraId="170336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47" w:type="pct"/>
            <w:vMerge w:val="continue"/>
            <w:tcBorders>
              <w:left w:val="single" w:color="000000" w:sz="2" w:space="0"/>
              <w:right w:val="single" w:color="000000" w:sz="2" w:space="0"/>
            </w:tcBorders>
            <w:vAlign w:val="center"/>
          </w:tcPr>
          <w:p w14:paraId="0642D1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580" w:type="pct"/>
            <w:tcBorders>
              <w:top w:val="single" w:color="000000" w:sz="2" w:space="0"/>
              <w:left w:val="single" w:color="000000" w:sz="2" w:space="0"/>
              <w:bottom w:val="single" w:color="000000" w:sz="2" w:space="0"/>
              <w:right w:val="single" w:color="000000" w:sz="2" w:space="0"/>
            </w:tcBorders>
            <w:vAlign w:val="center"/>
          </w:tcPr>
          <w:p w14:paraId="2811FC4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石油类</w:t>
            </w:r>
          </w:p>
        </w:tc>
        <w:tc>
          <w:tcPr>
            <w:tcW w:w="738" w:type="pct"/>
            <w:tcBorders>
              <w:top w:val="single" w:color="000000" w:sz="2" w:space="0"/>
              <w:left w:val="single" w:color="000000" w:sz="2" w:space="0"/>
              <w:bottom w:val="single" w:color="000000" w:sz="2" w:space="0"/>
            </w:tcBorders>
            <w:vAlign w:val="center"/>
          </w:tcPr>
          <w:p w14:paraId="356FC01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1</w:t>
            </w:r>
          </w:p>
        </w:tc>
      </w:tr>
      <w:tr w14:paraId="006F4B2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233" w:type="pct"/>
            <w:vMerge w:val="continue"/>
            <w:tcBorders>
              <w:right w:val="single" w:color="000000" w:sz="2" w:space="0"/>
            </w:tcBorders>
            <w:vAlign w:val="center"/>
          </w:tcPr>
          <w:p w14:paraId="7078600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88" w:type="pct"/>
            <w:vMerge w:val="continue"/>
            <w:tcBorders>
              <w:left w:val="single" w:color="000000" w:sz="2" w:space="0"/>
              <w:right w:val="single" w:color="000000" w:sz="2" w:space="0"/>
            </w:tcBorders>
            <w:vAlign w:val="center"/>
          </w:tcPr>
          <w:p w14:paraId="5FF474A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76" w:type="pct"/>
            <w:vMerge w:val="continue"/>
            <w:tcBorders>
              <w:left w:val="single" w:color="000000" w:sz="2" w:space="0"/>
              <w:right w:val="single" w:color="000000" w:sz="2" w:space="0"/>
            </w:tcBorders>
            <w:vAlign w:val="center"/>
          </w:tcPr>
          <w:p w14:paraId="611012B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617" w:type="pct"/>
            <w:vMerge w:val="continue"/>
            <w:tcBorders>
              <w:left w:val="single" w:color="000000" w:sz="2" w:space="0"/>
              <w:right w:val="single" w:color="000000" w:sz="2" w:space="0"/>
            </w:tcBorders>
            <w:vAlign w:val="center"/>
          </w:tcPr>
          <w:p w14:paraId="7B7B4F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435" w:type="pct"/>
            <w:vMerge w:val="continue"/>
            <w:tcBorders>
              <w:left w:val="single" w:color="000000" w:sz="2" w:space="0"/>
              <w:right w:val="single" w:color="000000" w:sz="2" w:space="0"/>
            </w:tcBorders>
            <w:vAlign w:val="center"/>
          </w:tcPr>
          <w:p w14:paraId="3368AC7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69" w:type="pct"/>
            <w:vMerge w:val="continue"/>
            <w:tcBorders>
              <w:left w:val="single" w:color="000000" w:sz="2" w:space="0"/>
              <w:right w:val="single" w:color="000000" w:sz="2" w:space="0"/>
            </w:tcBorders>
            <w:vAlign w:val="center"/>
          </w:tcPr>
          <w:p w14:paraId="0655BA4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80" w:type="pct"/>
            <w:vMerge w:val="continue"/>
            <w:tcBorders>
              <w:left w:val="single" w:color="000000" w:sz="2" w:space="0"/>
              <w:right w:val="single" w:color="000000" w:sz="2" w:space="0"/>
            </w:tcBorders>
            <w:vAlign w:val="center"/>
          </w:tcPr>
          <w:p w14:paraId="5878819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233" w:type="pct"/>
            <w:vMerge w:val="continue"/>
            <w:tcBorders>
              <w:left w:val="single" w:color="000000" w:sz="2" w:space="0"/>
              <w:right w:val="single" w:color="000000" w:sz="2" w:space="0"/>
            </w:tcBorders>
            <w:vAlign w:val="center"/>
          </w:tcPr>
          <w:p w14:paraId="58686A9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347" w:type="pct"/>
            <w:vMerge w:val="continue"/>
            <w:tcBorders>
              <w:left w:val="single" w:color="000000" w:sz="2" w:space="0"/>
              <w:right w:val="single" w:color="000000" w:sz="2" w:space="0"/>
            </w:tcBorders>
            <w:vAlign w:val="center"/>
          </w:tcPr>
          <w:p w14:paraId="5B27C9C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580" w:type="pct"/>
            <w:tcBorders>
              <w:top w:val="single" w:color="000000" w:sz="2" w:space="0"/>
              <w:left w:val="single" w:color="000000" w:sz="2" w:space="0"/>
              <w:right w:val="single" w:color="000000" w:sz="2" w:space="0"/>
            </w:tcBorders>
            <w:vAlign w:val="center"/>
          </w:tcPr>
          <w:p w14:paraId="0D422A2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LAS</w:t>
            </w:r>
          </w:p>
        </w:tc>
        <w:tc>
          <w:tcPr>
            <w:tcW w:w="738" w:type="pct"/>
            <w:tcBorders>
              <w:top w:val="single" w:color="000000" w:sz="2" w:space="0"/>
              <w:left w:val="single" w:color="000000" w:sz="2" w:space="0"/>
            </w:tcBorders>
            <w:vAlign w:val="center"/>
          </w:tcPr>
          <w:p w14:paraId="3DDF0AA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rPr>
            </w:pPr>
            <w:r>
              <w:rPr>
                <w:rFonts w:hint="default" w:ascii="Times New Roman" w:hAnsi="Times New Roman" w:eastAsia="宋体" w:cs="Times New Roman"/>
                <w:sz w:val="21"/>
                <w:szCs w:val="21"/>
              </w:rPr>
              <w:t>0.5</w:t>
            </w:r>
          </w:p>
        </w:tc>
      </w:tr>
    </w:tbl>
    <w:p w14:paraId="24942CB9">
      <w:pPr>
        <w:pStyle w:val="12"/>
        <w:spacing w:line="360" w:lineRule="auto"/>
        <w:ind w:firstLine="48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表7.3-5  废水污染物排放执行标准表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108" w:type="dxa"/>
          <w:bottom w:w="0" w:type="dxa"/>
          <w:right w:w="108" w:type="dxa"/>
        </w:tblCellMar>
      </w:tblPr>
      <w:tblGrid>
        <w:gridCol w:w="1070"/>
        <w:gridCol w:w="1537"/>
        <w:gridCol w:w="2278"/>
        <w:gridCol w:w="2571"/>
        <w:gridCol w:w="1662"/>
      </w:tblGrid>
      <w:tr w14:paraId="0A31AED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restart"/>
            <w:tcBorders>
              <w:bottom w:val="single" w:color="000000" w:sz="2" w:space="0"/>
              <w:right w:val="single" w:color="000000" w:sz="2" w:space="0"/>
            </w:tcBorders>
            <w:vAlign w:val="center"/>
          </w:tcPr>
          <w:p w14:paraId="07F99F2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序号</w:t>
            </w:r>
          </w:p>
        </w:tc>
        <w:tc>
          <w:tcPr>
            <w:tcW w:w="843" w:type="pct"/>
            <w:vMerge w:val="restart"/>
            <w:tcBorders>
              <w:left w:val="single" w:color="000000" w:sz="2" w:space="0"/>
              <w:bottom w:val="single" w:color="000000" w:sz="2" w:space="0"/>
              <w:right w:val="single" w:color="000000" w:sz="2" w:space="0"/>
            </w:tcBorders>
            <w:vAlign w:val="center"/>
          </w:tcPr>
          <w:p w14:paraId="43C2E8D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排放口编号</w:t>
            </w:r>
          </w:p>
        </w:tc>
        <w:tc>
          <w:tcPr>
            <w:tcW w:w="1249" w:type="pct"/>
            <w:vMerge w:val="restart"/>
            <w:tcBorders>
              <w:left w:val="single" w:color="000000" w:sz="2" w:space="0"/>
              <w:bottom w:val="single" w:color="000000" w:sz="2" w:space="0"/>
              <w:right w:val="single" w:color="000000" w:sz="2" w:space="0"/>
            </w:tcBorders>
            <w:vAlign w:val="center"/>
          </w:tcPr>
          <w:p w14:paraId="7F95077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污染物种类</w:t>
            </w:r>
          </w:p>
        </w:tc>
        <w:tc>
          <w:tcPr>
            <w:tcW w:w="2321" w:type="pct"/>
            <w:gridSpan w:val="2"/>
            <w:tcBorders>
              <w:left w:val="single" w:color="000000" w:sz="2" w:space="0"/>
              <w:bottom w:val="single" w:color="000000" w:sz="2" w:space="0"/>
            </w:tcBorders>
            <w:vAlign w:val="center"/>
          </w:tcPr>
          <w:p w14:paraId="0613510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国家或地方污染物排放标准及其他规定商定的排放协议</w:t>
            </w:r>
          </w:p>
        </w:tc>
      </w:tr>
      <w:tr w14:paraId="62A2664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continue"/>
            <w:tcBorders>
              <w:top w:val="nil"/>
              <w:bottom w:val="single" w:color="000000" w:sz="2" w:space="0"/>
              <w:right w:val="single" w:color="000000" w:sz="2" w:space="0"/>
            </w:tcBorders>
            <w:vAlign w:val="center"/>
          </w:tcPr>
          <w:p w14:paraId="091C181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 w:val="2"/>
                <w:szCs w:val="2"/>
              </w:rPr>
            </w:pPr>
          </w:p>
        </w:tc>
        <w:tc>
          <w:tcPr>
            <w:tcW w:w="843" w:type="pct"/>
            <w:vMerge w:val="continue"/>
            <w:tcBorders>
              <w:top w:val="nil"/>
              <w:left w:val="single" w:color="000000" w:sz="2" w:space="0"/>
              <w:bottom w:val="single" w:color="000000" w:sz="2" w:space="0"/>
              <w:right w:val="single" w:color="000000" w:sz="2" w:space="0"/>
            </w:tcBorders>
            <w:vAlign w:val="center"/>
          </w:tcPr>
          <w:p w14:paraId="01AF76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 w:val="2"/>
                <w:szCs w:val="2"/>
              </w:rPr>
            </w:pPr>
          </w:p>
        </w:tc>
        <w:tc>
          <w:tcPr>
            <w:tcW w:w="1249" w:type="pct"/>
            <w:vMerge w:val="continue"/>
            <w:tcBorders>
              <w:top w:val="nil"/>
              <w:left w:val="single" w:color="000000" w:sz="2" w:space="0"/>
              <w:bottom w:val="single" w:color="000000" w:sz="2" w:space="0"/>
              <w:right w:val="single" w:color="000000" w:sz="2" w:space="0"/>
            </w:tcBorders>
            <w:vAlign w:val="center"/>
          </w:tcPr>
          <w:p w14:paraId="048828E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sz w:val="2"/>
                <w:szCs w:val="2"/>
              </w:rPr>
            </w:pPr>
          </w:p>
        </w:tc>
        <w:tc>
          <w:tcPr>
            <w:tcW w:w="1410" w:type="pct"/>
            <w:tcBorders>
              <w:top w:val="single" w:color="000000" w:sz="2" w:space="0"/>
              <w:left w:val="single" w:color="000000" w:sz="2" w:space="0"/>
              <w:bottom w:val="single" w:color="000000" w:sz="2" w:space="0"/>
              <w:right w:val="single" w:color="000000" w:sz="2" w:space="0"/>
            </w:tcBorders>
            <w:vAlign w:val="center"/>
          </w:tcPr>
          <w:p w14:paraId="3BA0371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名称</w:t>
            </w:r>
          </w:p>
        </w:tc>
        <w:tc>
          <w:tcPr>
            <w:tcW w:w="911" w:type="pct"/>
            <w:tcBorders>
              <w:top w:val="single" w:color="000000" w:sz="2" w:space="0"/>
              <w:left w:val="single" w:color="000000" w:sz="2" w:space="0"/>
              <w:bottom w:val="single" w:color="000000" w:sz="2" w:space="0"/>
            </w:tcBorders>
            <w:vAlign w:val="center"/>
          </w:tcPr>
          <w:p w14:paraId="0C12306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浓度限值/</w:t>
            </w:r>
          </w:p>
          <w:p w14:paraId="726C18A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（mg/L）</w:t>
            </w:r>
          </w:p>
        </w:tc>
      </w:tr>
      <w:tr w14:paraId="5D0F8112">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restart"/>
            <w:tcBorders>
              <w:top w:val="single" w:color="000000" w:sz="2" w:space="0"/>
              <w:right w:val="single" w:color="000000" w:sz="2" w:space="0"/>
            </w:tcBorders>
            <w:vAlign w:val="center"/>
          </w:tcPr>
          <w:p w14:paraId="32878EF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rPr>
              <w:t>1</w:t>
            </w:r>
          </w:p>
        </w:tc>
        <w:tc>
          <w:tcPr>
            <w:tcW w:w="843" w:type="pct"/>
            <w:vMerge w:val="restart"/>
            <w:tcBorders>
              <w:top w:val="single" w:color="000000" w:sz="2" w:space="0"/>
              <w:left w:val="single" w:color="000000" w:sz="2" w:space="0"/>
              <w:right w:val="single" w:color="000000" w:sz="2" w:space="0"/>
            </w:tcBorders>
            <w:vAlign w:val="center"/>
          </w:tcPr>
          <w:p w14:paraId="64F8EAB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rPr>
              <w:t>DW001</w:t>
            </w:r>
          </w:p>
        </w:tc>
        <w:tc>
          <w:tcPr>
            <w:tcW w:w="1249" w:type="pct"/>
            <w:tcBorders>
              <w:top w:val="single" w:color="000000" w:sz="2" w:space="0"/>
              <w:left w:val="single" w:color="000000" w:sz="2" w:space="0"/>
              <w:bottom w:val="single" w:color="000000" w:sz="2" w:space="0"/>
              <w:right w:val="single" w:color="000000" w:sz="2" w:space="0"/>
            </w:tcBorders>
            <w:vAlign w:val="center"/>
          </w:tcPr>
          <w:p w14:paraId="2CBE49A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szCs w:val="21"/>
              </w:rPr>
              <w:t>pH</w:t>
            </w:r>
          </w:p>
        </w:tc>
        <w:tc>
          <w:tcPr>
            <w:tcW w:w="1410" w:type="pct"/>
            <w:vMerge w:val="restart"/>
            <w:tcBorders>
              <w:top w:val="single" w:color="000000" w:sz="2" w:space="0"/>
              <w:left w:val="single" w:color="000000" w:sz="2" w:space="0"/>
              <w:right w:val="single" w:color="000000" w:sz="2" w:space="0"/>
            </w:tcBorders>
            <w:vAlign w:val="center"/>
          </w:tcPr>
          <w:p w14:paraId="74E14749">
            <w:pPr>
              <w:pStyle w:val="60"/>
              <w:keepNext w:val="0"/>
              <w:keepLines w:val="0"/>
              <w:suppressLineNumbers w:val="0"/>
              <w:adjustRightInd w:val="0"/>
              <w:snapToGrid w:val="0"/>
              <w:spacing w:before="0" w:beforeAutospacing="0" w:after="0" w:afterAutospacing="0"/>
              <w:ind w:left="0" w:right="0"/>
              <w:rPr>
                <w:rFonts w:hint="eastAsia" w:ascii="Times New Roman" w:hAnsi="Times New Roman" w:eastAsia="宋体" w:cs="Times New Roman"/>
                <w:sz w:val="21"/>
                <w:lang w:val="en-US" w:eastAsia="zh-CN"/>
              </w:rPr>
            </w:pPr>
            <w:r>
              <w:rPr>
                <w:rFonts w:hint="default" w:ascii="Times New Roman" w:hAnsi="Times New Roman" w:eastAsia="宋体" w:cs="Times New Roman"/>
                <w:sz w:val="21"/>
              </w:rPr>
              <w:t>《污水综合排放标准》（GB8978-1996）表4中三级标准</w:t>
            </w:r>
            <w:r>
              <w:rPr>
                <w:rFonts w:hint="eastAsia" w:ascii="Times New Roman" w:hAnsi="Times New Roman" w:cs="Times New Roman"/>
                <w:sz w:val="21"/>
                <w:lang w:val="en-US" w:eastAsia="zh-CN"/>
              </w:rPr>
              <w:t>和松木污水处理厂进水水质要求</w:t>
            </w:r>
          </w:p>
        </w:tc>
        <w:tc>
          <w:tcPr>
            <w:tcW w:w="911" w:type="pct"/>
            <w:tcBorders>
              <w:top w:val="single" w:color="000000" w:sz="2" w:space="0"/>
              <w:left w:val="single" w:color="000000" w:sz="2" w:space="0"/>
              <w:bottom w:val="single" w:color="000000" w:sz="2" w:space="0"/>
            </w:tcBorders>
            <w:vAlign w:val="center"/>
          </w:tcPr>
          <w:p w14:paraId="2089E8F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szCs w:val="21"/>
              </w:rPr>
              <w:t>6~9</w:t>
            </w:r>
          </w:p>
        </w:tc>
      </w:tr>
      <w:tr w14:paraId="28C72D8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continue"/>
            <w:tcBorders>
              <w:right w:val="single" w:color="000000" w:sz="2" w:space="0"/>
            </w:tcBorders>
            <w:vAlign w:val="center"/>
          </w:tcPr>
          <w:p w14:paraId="2AEE6A1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43" w:type="pct"/>
            <w:vMerge w:val="continue"/>
            <w:tcBorders>
              <w:left w:val="single" w:color="000000" w:sz="2" w:space="0"/>
              <w:right w:val="single" w:color="000000" w:sz="2" w:space="0"/>
            </w:tcBorders>
            <w:vAlign w:val="center"/>
          </w:tcPr>
          <w:p w14:paraId="728062C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1249" w:type="pct"/>
            <w:tcBorders>
              <w:top w:val="single" w:color="000000" w:sz="2" w:space="0"/>
              <w:left w:val="single" w:color="000000" w:sz="2" w:space="0"/>
              <w:bottom w:val="single" w:color="000000" w:sz="2" w:space="0"/>
              <w:right w:val="single" w:color="000000" w:sz="2" w:space="0"/>
            </w:tcBorders>
            <w:vAlign w:val="center"/>
          </w:tcPr>
          <w:p w14:paraId="1DF5D2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szCs w:val="21"/>
              </w:rPr>
              <w:t>CODcr</w:t>
            </w:r>
          </w:p>
        </w:tc>
        <w:tc>
          <w:tcPr>
            <w:tcW w:w="1410" w:type="pct"/>
            <w:vMerge w:val="continue"/>
            <w:tcBorders>
              <w:left w:val="single" w:color="000000" w:sz="2" w:space="0"/>
              <w:right w:val="single" w:color="000000" w:sz="2" w:space="0"/>
            </w:tcBorders>
            <w:vAlign w:val="center"/>
          </w:tcPr>
          <w:p w14:paraId="024CE6E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911" w:type="pct"/>
            <w:tcBorders>
              <w:top w:val="single" w:color="000000" w:sz="2" w:space="0"/>
              <w:left w:val="single" w:color="000000" w:sz="2" w:space="0"/>
              <w:bottom w:val="single" w:color="000000" w:sz="2" w:space="0"/>
            </w:tcBorders>
            <w:vAlign w:val="center"/>
          </w:tcPr>
          <w:p w14:paraId="7D2381F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500</w:t>
            </w:r>
          </w:p>
        </w:tc>
      </w:tr>
      <w:tr w14:paraId="2395699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continue"/>
            <w:tcBorders>
              <w:right w:val="single" w:color="000000" w:sz="2" w:space="0"/>
            </w:tcBorders>
            <w:vAlign w:val="center"/>
          </w:tcPr>
          <w:p w14:paraId="5AAFC28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43" w:type="pct"/>
            <w:vMerge w:val="continue"/>
            <w:tcBorders>
              <w:left w:val="single" w:color="000000" w:sz="2" w:space="0"/>
              <w:right w:val="single" w:color="000000" w:sz="2" w:space="0"/>
            </w:tcBorders>
            <w:vAlign w:val="center"/>
          </w:tcPr>
          <w:p w14:paraId="0168D21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1249" w:type="pct"/>
            <w:tcBorders>
              <w:top w:val="single" w:color="000000" w:sz="2" w:space="0"/>
              <w:left w:val="single" w:color="000000" w:sz="2" w:space="0"/>
              <w:bottom w:val="single" w:color="000000" w:sz="2" w:space="0"/>
              <w:right w:val="single" w:color="000000" w:sz="2" w:space="0"/>
            </w:tcBorders>
            <w:vAlign w:val="center"/>
          </w:tcPr>
          <w:p w14:paraId="287A76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szCs w:val="21"/>
              </w:rPr>
              <w:t>BOD</w:t>
            </w:r>
            <w:r>
              <w:rPr>
                <w:rFonts w:hint="default" w:ascii="Times New Roman" w:hAnsi="Times New Roman" w:eastAsia="宋体" w:cs="Times New Roman"/>
                <w:szCs w:val="21"/>
                <w:vertAlign w:val="subscript"/>
              </w:rPr>
              <w:t>5</w:t>
            </w:r>
          </w:p>
        </w:tc>
        <w:tc>
          <w:tcPr>
            <w:tcW w:w="1410" w:type="pct"/>
            <w:vMerge w:val="continue"/>
            <w:tcBorders>
              <w:left w:val="single" w:color="000000" w:sz="2" w:space="0"/>
              <w:right w:val="single" w:color="000000" w:sz="2" w:space="0"/>
            </w:tcBorders>
            <w:vAlign w:val="center"/>
          </w:tcPr>
          <w:p w14:paraId="427A27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911" w:type="pct"/>
            <w:tcBorders>
              <w:top w:val="single" w:color="000000" w:sz="2" w:space="0"/>
              <w:left w:val="single" w:color="000000" w:sz="2" w:space="0"/>
              <w:bottom w:val="single" w:color="000000" w:sz="2" w:space="0"/>
            </w:tcBorders>
            <w:vAlign w:val="center"/>
          </w:tcPr>
          <w:p w14:paraId="70C6870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300</w:t>
            </w:r>
          </w:p>
        </w:tc>
      </w:tr>
      <w:tr w14:paraId="7BCC665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continue"/>
            <w:tcBorders>
              <w:right w:val="single" w:color="000000" w:sz="2" w:space="0"/>
            </w:tcBorders>
            <w:vAlign w:val="center"/>
          </w:tcPr>
          <w:p w14:paraId="022C1D9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43" w:type="pct"/>
            <w:vMerge w:val="continue"/>
            <w:tcBorders>
              <w:left w:val="single" w:color="000000" w:sz="2" w:space="0"/>
              <w:right w:val="single" w:color="000000" w:sz="2" w:space="0"/>
            </w:tcBorders>
            <w:vAlign w:val="center"/>
          </w:tcPr>
          <w:p w14:paraId="59EE8C5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1249" w:type="pct"/>
            <w:tcBorders>
              <w:top w:val="single" w:color="000000" w:sz="2" w:space="0"/>
              <w:left w:val="single" w:color="000000" w:sz="2" w:space="0"/>
              <w:bottom w:val="single" w:color="000000" w:sz="2" w:space="0"/>
              <w:right w:val="single" w:color="000000" w:sz="2" w:space="0"/>
            </w:tcBorders>
            <w:vAlign w:val="center"/>
          </w:tcPr>
          <w:p w14:paraId="12587D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szCs w:val="21"/>
              </w:rPr>
              <w:t>SS</w:t>
            </w:r>
          </w:p>
        </w:tc>
        <w:tc>
          <w:tcPr>
            <w:tcW w:w="1410" w:type="pct"/>
            <w:vMerge w:val="continue"/>
            <w:tcBorders>
              <w:left w:val="single" w:color="000000" w:sz="2" w:space="0"/>
              <w:right w:val="single" w:color="000000" w:sz="2" w:space="0"/>
            </w:tcBorders>
            <w:vAlign w:val="center"/>
          </w:tcPr>
          <w:p w14:paraId="21D035A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911" w:type="pct"/>
            <w:tcBorders>
              <w:top w:val="single" w:color="000000" w:sz="2" w:space="0"/>
              <w:left w:val="single" w:color="000000" w:sz="2" w:space="0"/>
              <w:bottom w:val="single" w:color="000000" w:sz="2" w:space="0"/>
            </w:tcBorders>
            <w:vAlign w:val="center"/>
          </w:tcPr>
          <w:p w14:paraId="164F70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rPr>
            </w:pPr>
            <w:r>
              <w:rPr>
                <w:rFonts w:hint="default" w:ascii="Times New Roman" w:hAnsi="Times New Roman" w:eastAsia="宋体" w:cs="Times New Roman"/>
                <w:color w:val="000000"/>
                <w:szCs w:val="21"/>
              </w:rPr>
              <w:t>--</w:t>
            </w:r>
          </w:p>
        </w:tc>
      </w:tr>
      <w:tr w14:paraId="240FDF5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continue"/>
            <w:tcBorders>
              <w:right w:val="single" w:color="000000" w:sz="2" w:space="0"/>
            </w:tcBorders>
            <w:vAlign w:val="center"/>
          </w:tcPr>
          <w:p w14:paraId="1D60A3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43" w:type="pct"/>
            <w:vMerge w:val="continue"/>
            <w:tcBorders>
              <w:left w:val="single" w:color="000000" w:sz="2" w:space="0"/>
              <w:right w:val="single" w:color="000000" w:sz="2" w:space="0"/>
            </w:tcBorders>
            <w:vAlign w:val="center"/>
          </w:tcPr>
          <w:p w14:paraId="775626A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1249" w:type="pct"/>
            <w:tcBorders>
              <w:top w:val="single" w:color="000000" w:sz="2" w:space="0"/>
              <w:left w:val="single" w:color="000000" w:sz="2" w:space="0"/>
              <w:bottom w:val="single" w:color="000000" w:sz="2" w:space="0"/>
              <w:right w:val="single" w:color="000000" w:sz="2" w:space="0"/>
            </w:tcBorders>
            <w:vAlign w:val="center"/>
          </w:tcPr>
          <w:p w14:paraId="5F4ADEA4">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氨氮</w:t>
            </w:r>
          </w:p>
        </w:tc>
        <w:tc>
          <w:tcPr>
            <w:tcW w:w="1410" w:type="pct"/>
            <w:vMerge w:val="continue"/>
            <w:tcBorders>
              <w:left w:val="single" w:color="000000" w:sz="2" w:space="0"/>
              <w:right w:val="single" w:color="000000" w:sz="2" w:space="0"/>
            </w:tcBorders>
            <w:vAlign w:val="center"/>
          </w:tcPr>
          <w:p w14:paraId="58B7699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911" w:type="pct"/>
            <w:tcBorders>
              <w:top w:val="single" w:color="000000" w:sz="2" w:space="0"/>
              <w:left w:val="single" w:color="000000" w:sz="2" w:space="0"/>
              <w:bottom w:val="single" w:color="000000" w:sz="2" w:space="0"/>
            </w:tcBorders>
            <w:vAlign w:val="center"/>
          </w:tcPr>
          <w:p w14:paraId="1318167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000000"/>
                <w:szCs w:val="21"/>
                <w:lang w:val="en-US" w:eastAsia="zh-CN"/>
              </w:rPr>
            </w:pPr>
            <w:r>
              <w:rPr>
                <w:rFonts w:hint="eastAsia" w:ascii="Times New Roman" w:hAnsi="Times New Roman" w:cs="Times New Roman"/>
                <w:color w:val="000000"/>
                <w:szCs w:val="21"/>
                <w:lang w:val="en-US" w:eastAsia="zh-CN"/>
              </w:rPr>
              <w:t>--</w:t>
            </w:r>
          </w:p>
        </w:tc>
      </w:tr>
      <w:tr w14:paraId="6E56E8E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continue"/>
            <w:tcBorders>
              <w:right w:val="single" w:color="000000" w:sz="2" w:space="0"/>
            </w:tcBorders>
            <w:vAlign w:val="center"/>
          </w:tcPr>
          <w:p w14:paraId="0862431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43" w:type="pct"/>
            <w:vMerge w:val="continue"/>
            <w:tcBorders>
              <w:left w:val="single" w:color="000000" w:sz="2" w:space="0"/>
              <w:right w:val="single" w:color="000000" w:sz="2" w:space="0"/>
            </w:tcBorders>
            <w:vAlign w:val="center"/>
          </w:tcPr>
          <w:p w14:paraId="03C2D9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1249" w:type="pct"/>
            <w:tcBorders>
              <w:top w:val="single" w:color="000000" w:sz="2" w:space="0"/>
              <w:left w:val="single" w:color="000000" w:sz="2" w:space="0"/>
              <w:bottom w:val="single" w:color="000000" w:sz="2" w:space="0"/>
              <w:right w:val="single" w:color="000000" w:sz="2" w:space="0"/>
            </w:tcBorders>
            <w:vAlign w:val="center"/>
          </w:tcPr>
          <w:p w14:paraId="3D0ECB8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szCs w:val="21"/>
              </w:rPr>
              <w:t>苯</w:t>
            </w:r>
          </w:p>
        </w:tc>
        <w:tc>
          <w:tcPr>
            <w:tcW w:w="1410" w:type="pct"/>
            <w:vMerge w:val="continue"/>
            <w:tcBorders>
              <w:left w:val="single" w:color="000000" w:sz="2" w:space="0"/>
              <w:right w:val="single" w:color="000000" w:sz="2" w:space="0"/>
            </w:tcBorders>
            <w:vAlign w:val="center"/>
          </w:tcPr>
          <w:p w14:paraId="4184244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rPr>
            </w:pPr>
          </w:p>
        </w:tc>
        <w:tc>
          <w:tcPr>
            <w:tcW w:w="911" w:type="pct"/>
            <w:tcBorders>
              <w:top w:val="single" w:color="000000" w:sz="2" w:space="0"/>
              <w:left w:val="single" w:color="000000" w:sz="2" w:space="0"/>
              <w:bottom w:val="single" w:color="000000" w:sz="2" w:space="0"/>
            </w:tcBorders>
            <w:vAlign w:val="center"/>
          </w:tcPr>
          <w:p w14:paraId="20104A9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color w:val="000000"/>
                <w:szCs w:val="21"/>
              </w:rPr>
              <w:t>0.5</w:t>
            </w:r>
          </w:p>
        </w:tc>
      </w:tr>
      <w:tr w14:paraId="075F8AE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continue"/>
            <w:tcBorders>
              <w:right w:val="single" w:color="000000" w:sz="2" w:space="0"/>
            </w:tcBorders>
            <w:vAlign w:val="center"/>
          </w:tcPr>
          <w:p w14:paraId="057248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43" w:type="pct"/>
            <w:vMerge w:val="continue"/>
            <w:tcBorders>
              <w:left w:val="single" w:color="000000" w:sz="2" w:space="0"/>
              <w:right w:val="single" w:color="000000" w:sz="2" w:space="0"/>
            </w:tcBorders>
            <w:vAlign w:val="center"/>
          </w:tcPr>
          <w:p w14:paraId="22EA91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1249" w:type="pct"/>
            <w:tcBorders>
              <w:top w:val="single" w:color="000000" w:sz="2" w:space="0"/>
              <w:left w:val="single" w:color="000000" w:sz="2" w:space="0"/>
              <w:bottom w:val="single" w:color="000000" w:sz="2" w:space="0"/>
              <w:right w:val="single" w:color="000000" w:sz="2" w:space="0"/>
            </w:tcBorders>
            <w:vAlign w:val="center"/>
          </w:tcPr>
          <w:p w14:paraId="706336B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szCs w:val="21"/>
              </w:rPr>
              <w:t>甲苯</w:t>
            </w:r>
          </w:p>
        </w:tc>
        <w:tc>
          <w:tcPr>
            <w:tcW w:w="1410" w:type="pct"/>
            <w:vMerge w:val="continue"/>
            <w:tcBorders>
              <w:left w:val="single" w:color="000000" w:sz="2" w:space="0"/>
              <w:right w:val="single" w:color="000000" w:sz="2" w:space="0"/>
            </w:tcBorders>
            <w:vAlign w:val="center"/>
          </w:tcPr>
          <w:p w14:paraId="68DE30D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911" w:type="pct"/>
            <w:tcBorders>
              <w:top w:val="single" w:color="000000" w:sz="2" w:space="0"/>
              <w:left w:val="single" w:color="000000" w:sz="2" w:space="0"/>
              <w:bottom w:val="single" w:color="000000" w:sz="2" w:space="0"/>
            </w:tcBorders>
            <w:vAlign w:val="center"/>
          </w:tcPr>
          <w:p w14:paraId="7DB143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color w:val="000000"/>
                <w:szCs w:val="21"/>
              </w:rPr>
              <w:t>0.5</w:t>
            </w:r>
          </w:p>
        </w:tc>
      </w:tr>
      <w:tr w14:paraId="1C83316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continue"/>
            <w:tcBorders>
              <w:right w:val="single" w:color="000000" w:sz="2" w:space="0"/>
            </w:tcBorders>
            <w:vAlign w:val="center"/>
          </w:tcPr>
          <w:p w14:paraId="602E18B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43" w:type="pct"/>
            <w:vMerge w:val="continue"/>
            <w:tcBorders>
              <w:left w:val="single" w:color="000000" w:sz="2" w:space="0"/>
              <w:right w:val="single" w:color="000000" w:sz="2" w:space="0"/>
            </w:tcBorders>
            <w:vAlign w:val="center"/>
          </w:tcPr>
          <w:p w14:paraId="4AADC9C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1249" w:type="pct"/>
            <w:tcBorders>
              <w:top w:val="single" w:color="000000" w:sz="2" w:space="0"/>
              <w:left w:val="single" w:color="000000" w:sz="2" w:space="0"/>
              <w:bottom w:val="single" w:color="000000" w:sz="2" w:space="0"/>
              <w:right w:val="single" w:color="000000" w:sz="2" w:space="0"/>
            </w:tcBorders>
            <w:vAlign w:val="center"/>
          </w:tcPr>
          <w:p w14:paraId="5B192F8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szCs w:val="21"/>
              </w:rPr>
              <w:t>石油类</w:t>
            </w:r>
          </w:p>
        </w:tc>
        <w:tc>
          <w:tcPr>
            <w:tcW w:w="1410" w:type="pct"/>
            <w:vMerge w:val="continue"/>
            <w:tcBorders>
              <w:left w:val="single" w:color="000000" w:sz="2" w:space="0"/>
              <w:right w:val="single" w:color="000000" w:sz="2" w:space="0"/>
            </w:tcBorders>
            <w:vAlign w:val="center"/>
          </w:tcPr>
          <w:p w14:paraId="1E89B7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911" w:type="pct"/>
            <w:tcBorders>
              <w:top w:val="single" w:color="000000" w:sz="2" w:space="0"/>
              <w:left w:val="single" w:color="000000" w:sz="2" w:space="0"/>
              <w:bottom w:val="single" w:color="000000" w:sz="2" w:space="0"/>
            </w:tcBorders>
            <w:vAlign w:val="center"/>
          </w:tcPr>
          <w:p w14:paraId="22E157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color w:val="000000"/>
                <w:szCs w:val="21"/>
              </w:rPr>
              <w:t>20</w:t>
            </w:r>
          </w:p>
        </w:tc>
      </w:tr>
      <w:tr w14:paraId="1D04884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108" w:type="dxa"/>
            <w:bottom w:w="0" w:type="dxa"/>
            <w:right w:w="108" w:type="dxa"/>
          </w:tblCellMar>
        </w:tblPrEx>
        <w:tc>
          <w:tcPr>
            <w:tcW w:w="587" w:type="pct"/>
            <w:vMerge w:val="continue"/>
            <w:tcBorders>
              <w:right w:val="single" w:color="000000" w:sz="2" w:space="0"/>
            </w:tcBorders>
            <w:vAlign w:val="center"/>
          </w:tcPr>
          <w:p w14:paraId="30AF28A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43" w:type="pct"/>
            <w:vMerge w:val="continue"/>
            <w:tcBorders>
              <w:left w:val="single" w:color="000000" w:sz="2" w:space="0"/>
              <w:right w:val="single" w:color="000000" w:sz="2" w:space="0"/>
            </w:tcBorders>
            <w:vAlign w:val="center"/>
          </w:tcPr>
          <w:p w14:paraId="4D9C940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1249" w:type="pct"/>
            <w:tcBorders>
              <w:top w:val="single" w:color="000000" w:sz="2" w:space="0"/>
              <w:left w:val="single" w:color="000000" w:sz="2" w:space="0"/>
              <w:right w:val="single" w:color="000000" w:sz="2" w:space="0"/>
            </w:tcBorders>
            <w:vAlign w:val="center"/>
          </w:tcPr>
          <w:p w14:paraId="78CF423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szCs w:val="21"/>
              </w:rPr>
              <w:t>LAS</w:t>
            </w:r>
          </w:p>
        </w:tc>
        <w:tc>
          <w:tcPr>
            <w:tcW w:w="1410" w:type="pct"/>
            <w:vMerge w:val="continue"/>
            <w:tcBorders>
              <w:left w:val="single" w:color="000000" w:sz="2" w:space="0"/>
              <w:right w:val="single" w:color="000000" w:sz="2" w:space="0"/>
            </w:tcBorders>
            <w:vAlign w:val="center"/>
          </w:tcPr>
          <w:p w14:paraId="5AAFCCC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911" w:type="pct"/>
            <w:tcBorders>
              <w:top w:val="single" w:color="000000" w:sz="2" w:space="0"/>
              <w:left w:val="single" w:color="000000" w:sz="2" w:space="0"/>
            </w:tcBorders>
            <w:vAlign w:val="center"/>
          </w:tcPr>
          <w:p w14:paraId="55FD6B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color w:val="000000"/>
                <w:szCs w:val="21"/>
              </w:rPr>
              <w:t>20</w:t>
            </w:r>
          </w:p>
        </w:tc>
      </w:tr>
    </w:tbl>
    <w:p w14:paraId="097340B0">
      <w:pPr>
        <w:pStyle w:val="12"/>
        <w:spacing w:line="360" w:lineRule="auto"/>
        <w:ind w:firstLine="48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表7.3-6  废水污染物排放信息表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58"/>
        <w:gridCol w:w="1260"/>
        <w:gridCol w:w="1528"/>
        <w:gridCol w:w="1990"/>
        <w:gridCol w:w="1545"/>
        <w:gridCol w:w="2137"/>
      </w:tblGrid>
      <w:tr w14:paraId="12C9DDC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61" w:hRule="atLeast"/>
        </w:trPr>
        <w:tc>
          <w:tcPr>
            <w:tcW w:w="361" w:type="pct"/>
            <w:vAlign w:val="center"/>
          </w:tcPr>
          <w:p w14:paraId="685EE6A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序号</w:t>
            </w:r>
          </w:p>
        </w:tc>
        <w:tc>
          <w:tcPr>
            <w:tcW w:w="691" w:type="pct"/>
            <w:vAlign w:val="center"/>
          </w:tcPr>
          <w:p w14:paraId="20D77E8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排放口编号</w:t>
            </w:r>
          </w:p>
        </w:tc>
        <w:tc>
          <w:tcPr>
            <w:tcW w:w="838" w:type="pct"/>
            <w:vAlign w:val="center"/>
          </w:tcPr>
          <w:p w14:paraId="69FF487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污染物种类</w:t>
            </w:r>
          </w:p>
        </w:tc>
        <w:tc>
          <w:tcPr>
            <w:tcW w:w="1091" w:type="pct"/>
            <w:vAlign w:val="center"/>
          </w:tcPr>
          <w:p w14:paraId="0562442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排放浓度/（mg/L）</w:t>
            </w:r>
          </w:p>
        </w:tc>
        <w:tc>
          <w:tcPr>
            <w:tcW w:w="847" w:type="pct"/>
            <w:vAlign w:val="center"/>
          </w:tcPr>
          <w:p w14:paraId="4D0926B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日排放量/</w:t>
            </w:r>
          </w:p>
          <w:p w14:paraId="46297B0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（t/d）</w:t>
            </w:r>
          </w:p>
        </w:tc>
        <w:tc>
          <w:tcPr>
            <w:tcW w:w="1172" w:type="pct"/>
            <w:vAlign w:val="center"/>
          </w:tcPr>
          <w:p w14:paraId="228078B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b/>
                <w:bCs/>
                <w:sz w:val="21"/>
              </w:rPr>
            </w:pPr>
            <w:r>
              <w:rPr>
                <w:rFonts w:hint="default" w:ascii="Times New Roman" w:hAnsi="Times New Roman" w:eastAsia="宋体" w:cs="Times New Roman"/>
                <w:b/>
                <w:bCs/>
                <w:sz w:val="21"/>
              </w:rPr>
              <w:t>年排放量/（t/a）</w:t>
            </w:r>
          </w:p>
        </w:tc>
      </w:tr>
      <w:tr w14:paraId="1E7926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trPr>
        <w:tc>
          <w:tcPr>
            <w:tcW w:w="361" w:type="pct"/>
            <w:vMerge w:val="restart"/>
            <w:vAlign w:val="center"/>
          </w:tcPr>
          <w:p w14:paraId="2F2A5C9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rPr>
              <w:t>1</w:t>
            </w:r>
          </w:p>
        </w:tc>
        <w:tc>
          <w:tcPr>
            <w:tcW w:w="691" w:type="pct"/>
            <w:vMerge w:val="restart"/>
            <w:vAlign w:val="center"/>
          </w:tcPr>
          <w:p w14:paraId="4F3B331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rPr>
              <w:t>DW001</w:t>
            </w:r>
          </w:p>
        </w:tc>
        <w:tc>
          <w:tcPr>
            <w:tcW w:w="838" w:type="pct"/>
            <w:vAlign w:val="center"/>
          </w:tcPr>
          <w:p w14:paraId="3DBAE68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color w:val="000000"/>
                <w:szCs w:val="21"/>
              </w:rPr>
              <w:t>苯</w:t>
            </w:r>
          </w:p>
        </w:tc>
        <w:tc>
          <w:tcPr>
            <w:tcW w:w="1091" w:type="pct"/>
            <w:vAlign w:val="center"/>
          </w:tcPr>
          <w:p w14:paraId="7941E86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0.2</w:t>
            </w:r>
          </w:p>
        </w:tc>
        <w:tc>
          <w:tcPr>
            <w:tcW w:w="847" w:type="pct"/>
            <w:vAlign w:val="bottom"/>
          </w:tcPr>
          <w:p w14:paraId="1D5B347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0.0000045</w:t>
            </w:r>
          </w:p>
        </w:tc>
        <w:tc>
          <w:tcPr>
            <w:tcW w:w="1172" w:type="pct"/>
            <w:vAlign w:val="center"/>
          </w:tcPr>
          <w:p w14:paraId="3D5DD7D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0.0015</w:t>
            </w:r>
          </w:p>
        </w:tc>
      </w:tr>
      <w:tr w14:paraId="55FE87D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trPr>
        <w:tc>
          <w:tcPr>
            <w:tcW w:w="361" w:type="pct"/>
            <w:vMerge w:val="continue"/>
            <w:vAlign w:val="center"/>
          </w:tcPr>
          <w:p w14:paraId="20DD4D8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691" w:type="pct"/>
            <w:vMerge w:val="continue"/>
            <w:vAlign w:val="center"/>
          </w:tcPr>
          <w:p w14:paraId="269EB0F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38" w:type="pct"/>
            <w:vAlign w:val="center"/>
          </w:tcPr>
          <w:p w14:paraId="758A0A9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甲苯</w:t>
            </w:r>
          </w:p>
        </w:tc>
        <w:tc>
          <w:tcPr>
            <w:tcW w:w="1091" w:type="pct"/>
            <w:vAlign w:val="center"/>
          </w:tcPr>
          <w:p w14:paraId="37850A0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0.2</w:t>
            </w:r>
          </w:p>
        </w:tc>
        <w:tc>
          <w:tcPr>
            <w:tcW w:w="847" w:type="pct"/>
            <w:vAlign w:val="bottom"/>
          </w:tcPr>
          <w:p w14:paraId="0C6738EC">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0.0000045.</w:t>
            </w:r>
          </w:p>
        </w:tc>
        <w:tc>
          <w:tcPr>
            <w:tcW w:w="1172" w:type="pct"/>
            <w:vAlign w:val="center"/>
          </w:tcPr>
          <w:p w14:paraId="51A3C652">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0.0015</w:t>
            </w:r>
          </w:p>
        </w:tc>
      </w:tr>
      <w:tr w14:paraId="0EAC38C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trPr>
        <w:tc>
          <w:tcPr>
            <w:tcW w:w="361" w:type="pct"/>
            <w:vMerge w:val="continue"/>
            <w:vAlign w:val="center"/>
          </w:tcPr>
          <w:p w14:paraId="2021BBC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691" w:type="pct"/>
            <w:vMerge w:val="continue"/>
            <w:vAlign w:val="center"/>
          </w:tcPr>
          <w:p w14:paraId="3E9EBA1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38" w:type="pct"/>
            <w:vAlign w:val="center"/>
          </w:tcPr>
          <w:p w14:paraId="65B5A37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p>
        </w:tc>
        <w:tc>
          <w:tcPr>
            <w:tcW w:w="1091" w:type="pct"/>
            <w:vAlign w:val="center"/>
          </w:tcPr>
          <w:p w14:paraId="3C1B3E0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szCs w:val="21"/>
                <w:lang w:val="en-US" w:eastAsia="zh-CN"/>
              </w:rPr>
              <w:t>140.76</w:t>
            </w:r>
          </w:p>
        </w:tc>
        <w:tc>
          <w:tcPr>
            <w:tcW w:w="847" w:type="pct"/>
            <w:vAlign w:val="bottom"/>
          </w:tcPr>
          <w:p w14:paraId="156165F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0.0032</w:t>
            </w:r>
          </w:p>
        </w:tc>
        <w:tc>
          <w:tcPr>
            <w:tcW w:w="1172" w:type="pct"/>
            <w:vAlign w:val="center"/>
          </w:tcPr>
          <w:p w14:paraId="4DE7E6B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1.04</w:t>
            </w:r>
          </w:p>
        </w:tc>
      </w:tr>
      <w:tr w14:paraId="4EE82A3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trPr>
        <w:tc>
          <w:tcPr>
            <w:tcW w:w="361" w:type="pct"/>
            <w:vMerge w:val="continue"/>
            <w:vAlign w:val="center"/>
          </w:tcPr>
          <w:p w14:paraId="0015456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691" w:type="pct"/>
            <w:vMerge w:val="continue"/>
            <w:vAlign w:val="center"/>
          </w:tcPr>
          <w:p w14:paraId="2CF791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38" w:type="pct"/>
            <w:vAlign w:val="center"/>
          </w:tcPr>
          <w:p w14:paraId="3F7FC1A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1091" w:type="pct"/>
            <w:vAlign w:val="center"/>
          </w:tcPr>
          <w:p w14:paraId="270DD5F0">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szCs w:val="21"/>
                <w:lang w:val="en-US" w:eastAsia="zh-CN"/>
              </w:rPr>
              <w:t>17.74</w:t>
            </w:r>
          </w:p>
        </w:tc>
        <w:tc>
          <w:tcPr>
            <w:tcW w:w="847" w:type="pct"/>
            <w:vAlign w:val="bottom"/>
          </w:tcPr>
          <w:p w14:paraId="6FE9A90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0.0004</w:t>
            </w:r>
          </w:p>
        </w:tc>
        <w:tc>
          <w:tcPr>
            <w:tcW w:w="1172" w:type="pct"/>
            <w:vAlign w:val="center"/>
          </w:tcPr>
          <w:p w14:paraId="139044E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0.13</w:t>
            </w:r>
          </w:p>
        </w:tc>
      </w:tr>
      <w:tr w14:paraId="766EAD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trPr>
        <w:tc>
          <w:tcPr>
            <w:tcW w:w="361" w:type="pct"/>
            <w:vMerge w:val="continue"/>
            <w:vAlign w:val="center"/>
          </w:tcPr>
          <w:p w14:paraId="0354A688">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691" w:type="pct"/>
            <w:vMerge w:val="continue"/>
            <w:vAlign w:val="center"/>
          </w:tcPr>
          <w:p w14:paraId="367909C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38" w:type="pct"/>
            <w:vAlign w:val="center"/>
          </w:tcPr>
          <w:p w14:paraId="09EFAD1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SS</w:t>
            </w:r>
          </w:p>
        </w:tc>
        <w:tc>
          <w:tcPr>
            <w:tcW w:w="1091" w:type="pct"/>
            <w:vAlign w:val="center"/>
          </w:tcPr>
          <w:p w14:paraId="603EC26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szCs w:val="21"/>
                <w:lang w:val="en-US" w:eastAsia="zh-CN"/>
              </w:rPr>
              <w:t>41.03</w:t>
            </w:r>
          </w:p>
        </w:tc>
        <w:tc>
          <w:tcPr>
            <w:tcW w:w="847" w:type="pct"/>
            <w:vAlign w:val="bottom"/>
          </w:tcPr>
          <w:p w14:paraId="46ECAC1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0.0009</w:t>
            </w:r>
          </w:p>
        </w:tc>
        <w:tc>
          <w:tcPr>
            <w:tcW w:w="1172" w:type="pct"/>
            <w:vAlign w:val="center"/>
          </w:tcPr>
          <w:p w14:paraId="7D30E5D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0.30</w:t>
            </w:r>
          </w:p>
        </w:tc>
      </w:tr>
      <w:tr w14:paraId="1CDF003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trPr>
        <w:tc>
          <w:tcPr>
            <w:tcW w:w="361" w:type="pct"/>
            <w:vMerge w:val="continue"/>
            <w:vAlign w:val="center"/>
          </w:tcPr>
          <w:p w14:paraId="3694F30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691" w:type="pct"/>
            <w:vMerge w:val="continue"/>
            <w:vAlign w:val="center"/>
          </w:tcPr>
          <w:p w14:paraId="6A51853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38" w:type="pct"/>
            <w:vAlign w:val="center"/>
          </w:tcPr>
          <w:p w14:paraId="69B2F2F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石油类</w:t>
            </w:r>
          </w:p>
        </w:tc>
        <w:tc>
          <w:tcPr>
            <w:tcW w:w="1091" w:type="pct"/>
            <w:vAlign w:val="center"/>
          </w:tcPr>
          <w:p w14:paraId="502C610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szCs w:val="21"/>
                <w:lang w:val="en-US" w:eastAsia="zh-CN"/>
              </w:rPr>
              <w:t>17.99</w:t>
            </w:r>
          </w:p>
        </w:tc>
        <w:tc>
          <w:tcPr>
            <w:tcW w:w="847" w:type="pct"/>
            <w:vAlign w:val="bottom"/>
          </w:tcPr>
          <w:p w14:paraId="1021FFB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0.0004</w:t>
            </w:r>
          </w:p>
        </w:tc>
        <w:tc>
          <w:tcPr>
            <w:tcW w:w="1172" w:type="pct"/>
            <w:vAlign w:val="center"/>
          </w:tcPr>
          <w:p w14:paraId="6E322D2A">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0.13</w:t>
            </w:r>
          </w:p>
        </w:tc>
      </w:tr>
      <w:tr w14:paraId="081BB3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trPr>
        <w:tc>
          <w:tcPr>
            <w:tcW w:w="361" w:type="pct"/>
            <w:vMerge w:val="continue"/>
            <w:vAlign w:val="center"/>
          </w:tcPr>
          <w:p w14:paraId="58459F8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691" w:type="pct"/>
            <w:vMerge w:val="continue"/>
            <w:vAlign w:val="center"/>
          </w:tcPr>
          <w:p w14:paraId="7C49BC6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38" w:type="pct"/>
            <w:vAlign w:val="center"/>
          </w:tcPr>
          <w:p w14:paraId="39EFD73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1091" w:type="pct"/>
            <w:vAlign w:val="center"/>
          </w:tcPr>
          <w:p w14:paraId="59B01C0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18.8</w:t>
            </w:r>
          </w:p>
        </w:tc>
        <w:tc>
          <w:tcPr>
            <w:tcW w:w="847" w:type="pct"/>
            <w:vAlign w:val="bottom"/>
          </w:tcPr>
          <w:p w14:paraId="53A5E8C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0.0004</w:t>
            </w:r>
          </w:p>
        </w:tc>
        <w:tc>
          <w:tcPr>
            <w:tcW w:w="1172" w:type="pct"/>
            <w:vAlign w:val="center"/>
          </w:tcPr>
          <w:p w14:paraId="2FA77BCE">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color w:val="000000"/>
                <w:sz w:val="21"/>
                <w:szCs w:val="21"/>
                <w:lang w:val="en-US" w:eastAsia="zh-CN"/>
              </w:rPr>
              <w:t>0.14</w:t>
            </w:r>
          </w:p>
        </w:tc>
      </w:tr>
      <w:tr w14:paraId="6ACFC6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80" w:hRule="atLeast"/>
        </w:trPr>
        <w:tc>
          <w:tcPr>
            <w:tcW w:w="361" w:type="pct"/>
            <w:vMerge w:val="continue"/>
            <w:vAlign w:val="center"/>
          </w:tcPr>
          <w:p w14:paraId="4F16B53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691" w:type="pct"/>
            <w:vMerge w:val="continue"/>
            <w:vAlign w:val="center"/>
          </w:tcPr>
          <w:p w14:paraId="33639CD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838" w:type="pct"/>
            <w:vAlign w:val="center"/>
          </w:tcPr>
          <w:p w14:paraId="6C78126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LAS</w:t>
            </w:r>
          </w:p>
        </w:tc>
        <w:tc>
          <w:tcPr>
            <w:tcW w:w="1091" w:type="pct"/>
            <w:vAlign w:val="center"/>
          </w:tcPr>
          <w:p w14:paraId="3C9ADAE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szCs w:val="21"/>
                <w:lang w:val="en-US" w:eastAsia="zh-CN"/>
              </w:rPr>
              <w:t>7.958</w:t>
            </w:r>
          </w:p>
        </w:tc>
        <w:tc>
          <w:tcPr>
            <w:tcW w:w="847" w:type="pct"/>
            <w:vAlign w:val="bottom"/>
          </w:tcPr>
          <w:p w14:paraId="49BC708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0.00018</w:t>
            </w:r>
          </w:p>
        </w:tc>
        <w:tc>
          <w:tcPr>
            <w:tcW w:w="1172" w:type="pct"/>
            <w:vAlign w:val="center"/>
          </w:tcPr>
          <w:p w14:paraId="4B01B2E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lang w:val="en-US" w:eastAsia="zh-CN"/>
              </w:rPr>
            </w:pPr>
            <w:r>
              <w:rPr>
                <w:rFonts w:hint="default" w:ascii="Times New Roman" w:hAnsi="Times New Roman" w:eastAsia="宋体" w:cs="Times New Roman"/>
                <w:sz w:val="21"/>
                <w:lang w:val="en-US" w:eastAsia="zh-CN"/>
              </w:rPr>
              <w:t>0.058</w:t>
            </w:r>
          </w:p>
        </w:tc>
      </w:tr>
      <w:tr w14:paraId="47F9283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65" w:hRule="atLeast"/>
        </w:trPr>
        <w:tc>
          <w:tcPr>
            <w:tcW w:w="1052" w:type="pct"/>
            <w:gridSpan w:val="2"/>
            <w:vMerge w:val="restart"/>
            <w:vAlign w:val="center"/>
          </w:tcPr>
          <w:p w14:paraId="66812DD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rPr>
              <w:t>全厂排放口合计</w:t>
            </w:r>
          </w:p>
        </w:tc>
        <w:tc>
          <w:tcPr>
            <w:tcW w:w="2776" w:type="pct"/>
            <w:gridSpan w:val="3"/>
            <w:vAlign w:val="center"/>
          </w:tcPr>
          <w:p w14:paraId="1D2C749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color w:val="000000"/>
                <w:szCs w:val="21"/>
              </w:rPr>
              <w:t>苯</w:t>
            </w:r>
          </w:p>
        </w:tc>
        <w:tc>
          <w:tcPr>
            <w:tcW w:w="2137" w:type="dxa"/>
            <w:vAlign w:val="center"/>
          </w:tcPr>
          <w:p w14:paraId="215E6555">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0.0015</w:t>
            </w:r>
          </w:p>
        </w:tc>
      </w:tr>
      <w:tr w14:paraId="146B747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5" w:hRule="atLeast"/>
        </w:trPr>
        <w:tc>
          <w:tcPr>
            <w:tcW w:w="1052" w:type="pct"/>
            <w:gridSpan w:val="2"/>
            <w:vMerge w:val="continue"/>
            <w:vAlign w:val="center"/>
          </w:tcPr>
          <w:p w14:paraId="5115847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2776" w:type="pct"/>
            <w:gridSpan w:val="3"/>
            <w:vAlign w:val="center"/>
          </w:tcPr>
          <w:p w14:paraId="4F5530F6">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甲苯</w:t>
            </w:r>
          </w:p>
        </w:tc>
        <w:tc>
          <w:tcPr>
            <w:tcW w:w="2137" w:type="dxa"/>
            <w:vAlign w:val="center"/>
          </w:tcPr>
          <w:p w14:paraId="7C5DE071">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0.0015</w:t>
            </w:r>
          </w:p>
        </w:tc>
      </w:tr>
      <w:tr w14:paraId="62916B9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5" w:hRule="atLeast"/>
        </w:trPr>
        <w:tc>
          <w:tcPr>
            <w:tcW w:w="1052" w:type="pct"/>
            <w:gridSpan w:val="2"/>
            <w:vMerge w:val="continue"/>
            <w:vAlign w:val="center"/>
          </w:tcPr>
          <w:p w14:paraId="38392F20">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2776" w:type="pct"/>
            <w:gridSpan w:val="3"/>
            <w:vAlign w:val="center"/>
          </w:tcPr>
          <w:p w14:paraId="00C6F207">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COD</w:t>
            </w:r>
            <w:r>
              <w:rPr>
                <w:rFonts w:hint="default" w:ascii="Times New Roman" w:hAnsi="Times New Roman" w:eastAsia="宋体" w:cs="Times New Roman"/>
                <w:sz w:val="21"/>
                <w:szCs w:val="21"/>
                <w:vertAlign w:val="subscript"/>
              </w:rPr>
              <w:t>Cr</w:t>
            </w:r>
          </w:p>
        </w:tc>
        <w:tc>
          <w:tcPr>
            <w:tcW w:w="2137" w:type="dxa"/>
            <w:vAlign w:val="center"/>
          </w:tcPr>
          <w:p w14:paraId="18F81863">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1.04</w:t>
            </w:r>
          </w:p>
        </w:tc>
      </w:tr>
      <w:tr w14:paraId="02CF8C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5" w:hRule="atLeast"/>
        </w:trPr>
        <w:tc>
          <w:tcPr>
            <w:tcW w:w="1052" w:type="pct"/>
            <w:gridSpan w:val="2"/>
            <w:vMerge w:val="continue"/>
            <w:vAlign w:val="center"/>
          </w:tcPr>
          <w:p w14:paraId="6A45750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2776" w:type="pct"/>
            <w:gridSpan w:val="3"/>
            <w:vAlign w:val="center"/>
          </w:tcPr>
          <w:p w14:paraId="37AC450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BOD</w:t>
            </w:r>
            <w:r>
              <w:rPr>
                <w:rFonts w:hint="default" w:ascii="Times New Roman" w:hAnsi="Times New Roman" w:eastAsia="宋体" w:cs="Times New Roman"/>
                <w:sz w:val="21"/>
                <w:szCs w:val="21"/>
                <w:vertAlign w:val="subscript"/>
              </w:rPr>
              <w:t>5</w:t>
            </w:r>
          </w:p>
        </w:tc>
        <w:tc>
          <w:tcPr>
            <w:tcW w:w="2137" w:type="dxa"/>
            <w:vAlign w:val="center"/>
          </w:tcPr>
          <w:p w14:paraId="1BFAD3E8">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0.13</w:t>
            </w:r>
          </w:p>
        </w:tc>
      </w:tr>
      <w:tr w14:paraId="08EEB8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5" w:hRule="atLeast"/>
        </w:trPr>
        <w:tc>
          <w:tcPr>
            <w:tcW w:w="1052" w:type="pct"/>
            <w:gridSpan w:val="2"/>
            <w:vMerge w:val="continue"/>
            <w:vAlign w:val="center"/>
          </w:tcPr>
          <w:p w14:paraId="56617F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2776" w:type="pct"/>
            <w:gridSpan w:val="3"/>
            <w:vAlign w:val="center"/>
          </w:tcPr>
          <w:p w14:paraId="5E9FC08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SS</w:t>
            </w:r>
          </w:p>
        </w:tc>
        <w:tc>
          <w:tcPr>
            <w:tcW w:w="2137" w:type="dxa"/>
            <w:vAlign w:val="center"/>
          </w:tcPr>
          <w:p w14:paraId="545C3CED">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0.30</w:t>
            </w:r>
          </w:p>
        </w:tc>
      </w:tr>
      <w:tr w14:paraId="79F17A0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5" w:hRule="atLeast"/>
        </w:trPr>
        <w:tc>
          <w:tcPr>
            <w:tcW w:w="1052" w:type="pct"/>
            <w:gridSpan w:val="2"/>
            <w:vMerge w:val="continue"/>
            <w:vAlign w:val="center"/>
          </w:tcPr>
          <w:p w14:paraId="1C760801">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2776" w:type="pct"/>
            <w:gridSpan w:val="3"/>
            <w:vAlign w:val="center"/>
          </w:tcPr>
          <w:p w14:paraId="228DD7C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石油类</w:t>
            </w:r>
          </w:p>
        </w:tc>
        <w:tc>
          <w:tcPr>
            <w:tcW w:w="2137" w:type="dxa"/>
            <w:vAlign w:val="center"/>
          </w:tcPr>
          <w:p w14:paraId="400A159C">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0.13</w:t>
            </w:r>
          </w:p>
        </w:tc>
      </w:tr>
      <w:tr w14:paraId="214248D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5" w:hRule="atLeast"/>
        </w:trPr>
        <w:tc>
          <w:tcPr>
            <w:tcW w:w="1052" w:type="pct"/>
            <w:gridSpan w:val="2"/>
            <w:vMerge w:val="continue"/>
            <w:vAlign w:val="center"/>
          </w:tcPr>
          <w:p w14:paraId="1C397959">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2776" w:type="pct"/>
            <w:gridSpan w:val="3"/>
            <w:vAlign w:val="center"/>
          </w:tcPr>
          <w:p w14:paraId="75614964">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氨氮</w:t>
            </w:r>
          </w:p>
        </w:tc>
        <w:tc>
          <w:tcPr>
            <w:tcW w:w="2137" w:type="dxa"/>
            <w:vAlign w:val="center"/>
          </w:tcPr>
          <w:p w14:paraId="2E6E92F9">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000000"/>
                <w:sz w:val="21"/>
                <w:szCs w:val="21"/>
              </w:rPr>
            </w:pPr>
            <w:r>
              <w:rPr>
                <w:rFonts w:hint="default" w:ascii="Times New Roman" w:hAnsi="Times New Roman" w:eastAsia="宋体" w:cs="Times New Roman"/>
                <w:color w:val="000000"/>
                <w:sz w:val="21"/>
                <w:szCs w:val="21"/>
                <w:lang w:val="en-US" w:eastAsia="zh-CN"/>
              </w:rPr>
              <w:t>0.14</w:t>
            </w:r>
          </w:p>
        </w:tc>
      </w:tr>
      <w:tr w14:paraId="370F6A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255" w:hRule="atLeast"/>
        </w:trPr>
        <w:tc>
          <w:tcPr>
            <w:tcW w:w="1052" w:type="pct"/>
            <w:gridSpan w:val="2"/>
            <w:vMerge w:val="continue"/>
            <w:vAlign w:val="center"/>
          </w:tcPr>
          <w:p w14:paraId="4630E30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
                <w:szCs w:val="2"/>
              </w:rPr>
            </w:pPr>
          </w:p>
        </w:tc>
        <w:tc>
          <w:tcPr>
            <w:tcW w:w="2776" w:type="pct"/>
            <w:gridSpan w:val="3"/>
            <w:vAlign w:val="center"/>
          </w:tcPr>
          <w:p w14:paraId="4B7F69DF">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szCs w:val="21"/>
              </w:rPr>
              <w:t>LAS</w:t>
            </w:r>
          </w:p>
        </w:tc>
        <w:tc>
          <w:tcPr>
            <w:tcW w:w="2137" w:type="dxa"/>
            <w:vAlign w:val="center"/>
          </w:tcPr>
          <w:p w14:paraId="00F8AB8B">
            <w:pPr>
              <w:pStyle w:val="60"/>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lang w:val="en-US" w:eastAsia="zh-CN"/>
              </w:rPr>
              <w:t>0.058</w:t>
            </w:r>
          </w:p>
        </w:tc>
      </w:tr>
    </w:tbl>
    <w:p w14:paraId="48ED6561">
      <w:pPr>
        <w:pStyle w:val="3"/>
        <w:spacing w:before="0" w:after="0" w:line="360" w:lineRule="auto"/>
        <w:jc w:val="left"/>
        <w:rPr>
          <w:rFonts w:hint="default" w:ascii="Times New Roman" w:hAnsi="Times New Roman" w:eastAsia="宋体" w:cs="Times New Roman"/>
        </w:rPr>
      </w:pPr>
      <w:bookmarkStart w:id="329" w:name="_Toc27848"/>
      <w:r>
        <w:rPr>
          <w:rFonts w:hint="default" w:ascii="Times New Roman" w:hAnsi="Times New Roman" w:eastAsia="宋体" w:cs="Times New Roman"/>
          <w:kern w:val="0"/>
          <w:sz w:val="30"/>
          <w:szCs w:val="28"/>
        </w:rPr>
        <w:t>7.4声环境影响分析</w:t>
      </w:r>
      <w:bookmarkEnd w:id="329"/>
    </w:p>
    <w:p w14:paraId="32DA0897">
      <w:pPr>
        <w:pStyle w:val="4"/>
        <w:spacing w:before="0" w:after="0" w:line="360" w:lineRule="auto"/>
        <w:rPr>
          <w:rFonts w:hint="default" w:ascii="Times New Roman" w:hAnsi="Times New Roman" w:eastAsia="宋体" w:cs="Times New Roman"/>
          <w:sz w:val="28"/>
        </w:rPr>
      </w:pPr>
      <w:bookmarkStart w:id="330" w:name="_Toc263624344"/>
      <w:bookmarkStart w:id="331" w:name="_Toc266011882"/>
      <w:bookmarkStart w:id="332" w:name="_Toc260836089"/>
      <w:r>
        <w:rPr>
          <w:rFonts w:hint="default" w:ascii="Times New Roman" w:hAnsi="Times New Roman" w:eastAsia="宋体" w:cs="Times New Roman"/>
          <w:sz w:val="28"/>
        </w:rPr>
        <w:t>7.4.1噪声特性</w:t>
      </w:r>
      <w:bookmarkEnd w:id="330"/>
      <w:bookmarkEnd w:id="331"/>
      <w:bookmarkEnd w:id="332"/>
    </w:p>
    <w:p w14:paraId="7E3ED5DA">
      <w:pPr>
        <w:widowControl/>
        <w:spacing w:line="360" w:lineRule="auto"/>
        <w:ind w:firstLine="482"/>
        <w:jc w:val="left"/>
        <w:rPr>
          <w:rFonts w:hint="default" w:ascii="Times New Roman" w:hAnsi="Times New Roman" w:eastAsia="宋体" w:cs="Times New Roman"/>
          <w:sz w:val="24"/>
        </w:rPr>
      </w:pPr>
      <w:r>
        <w:rPr>
          <w:rFonts w:hint="default" w:ascii="Times New Roman" w:hAnsi="Times New Roman" w:eastAsia="宋体" w:cs="Times New Roman"/>
          <w:sz w:val="24"/>
          <w:szCs w:val="24"/>
        </w:rPr>
        <w:t>由污染源分析可知，</w:t>
      </w:r>
      <w:r>
        <w:rPr>
          <w:rFonts w:hint="default" w:ascii="Times New Roman" w:hAnsi="Times New Roman" w:eastAsia="宋体" w:cs="Times New Roman"/>
          <w:sz w:val="24"/>
        </w:rPr>
        <w:t>本项目噪声源主要为生产线所配套的各类设备产生的噪声，设备噪声源强为65~80dB(A)。</w:t>
      </w:r>
    </w:p>
    <w:p w14:paraId="0B54EB83">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（1）预测模式</w:t>
      </w:r>
    </w:p>
    <w:p w14:paraId="6DA53C45">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采用《环境影响评价技术导则 声环境（HJ2.4-2021）》中的工业噪声预测计算模式进行预测、分析。</w:t>
      </w:r>
    </w:p>
    <w:p w14:paraId="1012765A">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①室内声源等效室外声源计算</w:t>
      </w:r>
    </w:p>
    <w:p w14:paraId="34333FCC">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声源位于室内，室内声源可采用等效室外声源声功率级法进行计算。所有室内声源在围护结构处产生的i倍频带叠加声压级按下式计算得到：</w:t>
      </w:r>
    </w:p>
    <w:p w14:paraId="6195640C">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anchor distT="0" distB="0" distL="114300" distR="114300" simplePos="0" relativeHeight="251663360" behindDoc="0" locked="0" layoutInCell="1" allowOverlap="1">
            <wp:simplePos x="0" y="0"/>
            <wp:positionH relativeFrom="column">
              <wp:posOffset>1543050</wp:posOffset>
            </wp:positionH>
            <wp:positionV relativeFrom="paragraph">
              <wp:posOffset>19050</wp:posOffset>
            </wp:positionV>
            <wp:extent cx="2527300" cy="241300"/>
            <wp:effectExtent l="0" t="0" r="6350" b="635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2527300" cy="241300"/>
                    </a:xfrm>
                    <a:prstGeom prst="rect">
                      <a:avLst/>
                    </a:prstGeom>
                    <a:noFill/>
                  </pic:spPr>
                </pic:pic>
              </a:graphicData>
            </a:graphic>
          </wp:anchor>
        </w:drawing>
      </w:r>
    </w:p>
    <w:p w14:paraId="0544CECE">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式中：Lp</w:t>
      </w:r>
      <w:r>
        <w:rPr>
          <w:rFonts w:hint="default" w:ascii="Times New Roman" w:hAnsi="Times New Roman" w:eastAsia="宋体" w:cs="Times New Roman"/>
          <w:sz w:val="24"/>
          <w:szCs w:val="24"/>
          <w:vertAlign w:val="subscript"/>
        </w:rPr>
        <w:t>总</w:t>
      </w:r>
      <w:r>
        <w:rPr>
          <w:rFonts w:hint="default" w:ascii="Times New Roman" w:hAnsi="Times New Roman" w:eastAsia="宋体" w:cs="Times New Roman"/>
          <w:sz w:val="24"/>
          <w:szCs w:val="24"/>
        </w:rPr>
        <w:t>——各点声源叠加后总声级，dB(A)；</w:t>
      </w:r>
    </w:p>
    <w:p w14:paraId="2C2BADEC">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Lp</w:t>
      </w:r>
      <w:r>
        <w:rPr>
          <w:rFonts w:hint="default" w:ascii="Times New Roman" w:hAnsi="Times New Roman" w:eastAsia="宋体" w:cs="Times New Roman"/>
          <w:sz w:val="24"/>
          <w:szCs w:val="24"/>
          <w:vertAlign w:val="subscript"/>
        </w:rPr>
        <w:t>1</w:t>
      </w:r>
      <w:r>
        <w:rPr>
          <w:rFonts w:hint="default" w:ascii="Times New Roman" w:hAnsi="Times New Roman" w:eastAsia="宋体" w:cs="Times New Roman"/>
          <w:sz w:val="24"/>
          <w:szCs w:val="24"/>
        </w:rPr>
        <w:t>、Lp</w:t>
      </w:r>
      <w:r>
        <w:rPr>
          <w:rFonts w:hint="default" w:ascii="Times New Roman" w:hAnsi="Times New Roman" w:eastAsia="宋体" w:cs="Times New Roman"/>
          <w:sz w:val="24"/>
          <w:szCs w:val="24"/>
          <w:vertAlign w:val="subscript"/>
        </w:rPr>
        <w:t>2</w:t>
      </w:r>
      <w:r>
        <w:rPr>
          <w:rFonts w:hint="default" w:ascii="Times New Roman" w:hAnsi="Times New Roman" w:eastAsia="宋体" w:cs="Times New Roman"/>
          <w:sz w:val="24"/>
          <w:szCs w:val="24"/>
        </w:rPr>
        <w:t>……Lp</w:t>
      </w:r>
      <w:r>
        <w:rPr>
          <w:rFonts w:hint="default" w:ascii="Times New Roman" w:hAnsi="Times New Roman" w:eastAsia="宋体" w:cs="Times New Roman"/>
          <w:sz w:val="24"/>
          <w:szCs w:val="24"/>
          <w:vertAlign w:val="subscript"/>
        </w:rPr>
        <w:t>n</w:t>
      </w:r>
      <w:r>
        <w:rPr>
          <w:rFonts w:hint="default" w:ascii="Times New Roman" w:hAnsi="Times New Roman" w:eastAsia="宋体" w:cs="Times New Roman"/>
          <w:sz w:val="24"/>
          <w:szCs w:val="24"/>
        </w:rPr>
        <w:t>——第一、二……第n个声源到P点的声压级，dB(A)。</w:t>
      </w:r>
    </w:p>
    <w:p w14:paraId="0BFEFC16">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若声源所在室内声场为近似扩散声场，室外的倍频带声压级按下式计算得到：</w:t>
      </w:r>
    </w:p>
    <w:p w14:paraId="127D7BA7">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Lp</w:t>
      </w:r>
      <w:r>
        <w:rPr>
          <w:rFonts w:hint="default" w:ascii="Times New Roman" w:hAnsi="Times New Roman" w:eastAsia="宋体" w:cs="Times New Roman"/>
          <w:sz w:val="24"/>
          <w:szCs w:val="24"/>
          <w:vertAlign w:val="subscript"/>
        </w:rPr>
        <w:t>外</w:t>
      </w:r>
      <w:r>
        <w:rPr>
          <w:rFonts w:hint="default" w:ascii="Times New Roman" w:hAnsi="Times New Roman" w:eastAsia="宋体" w:cs="Times New Roman"/>
          <w:sz w:val="24"/>
          <w:szCs w:val="24"/>
        </w:rPr>
        <w:t>=Lp</w:t>
      </w:r>
      <w:r>
        <w:rPr>
          <w:rFonts w:hint="default" w:ascii="Times New Roman" w:hAnsi="Times New Roman" w:eastAsia="宋体" w:cs="Times New Roman"/>
          <w:sz w:val="24"/>
          <w:szCs w:val="24"/>
          <w:vertAlign w:val="subscript"/>
        </w:rPr>
        <w:t>内</w:t>
      </w:r>
      <w:r>
        <w:rPr>
          <w:rFonts w:hint="default" w:ascii="Times New Roman" w:hAnsi="Times New Roman" w:eastAsia="宋体" w:cs="Times New Roman"/>
          <w:sz w:val="24"/>
          <w:szCs w:val="24"/>
        </w:rPr>
        <w:t>-（TL+6）</w:t>
      </w:r>
    </w:p>
    <w:p w14:paraId="4E147AAA">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式中：TL——隔墙（或窗户）倍频带的隔声量，dB。本项目隔声量取值15dB（A）。</w:t>
      </w:r>
    </w:p>
    <w:p w14:paraId="5F0C3A84">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再按下式将室外声源的声压级和透过面积换算成等效的室外声源，计算出中心位置位于透声面积（S）处的等效声源的倍频带声功率级。</w:t>
      </w:r>
    </w:p>
    <w:p w14:paraId="6CBB8E12">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Lw=Lp</w:t>
      </w:r>
      <w:r>
        <w:rPr>
          <w:rFonts w:hint="default" w:ascii="Times New Roman" w:hAnsi="Times New Roman" w:eastAsia="宋体" w:cs="Times New Roman"/>
          <w:sz w:val="24"/>
          <w:szCs w:val="24"/>
          <w:vertAlign w:val="subscript"/>
        </w:rPr>
        <w:t>外</w:t>
      </w:r>
      <w:r>
        <w:rPr>
          <w:rFonts w:hint="default" w:ascii="Times New Roman" w:hAnsi="Times New Roman" w:eastAsia="宋体" w:cs="Times New Roman"/>
          <w:sz w:val="24"/>
          <w:szCs w:val="24"/>
        </w:rPr>
        <w:t>+10lgS</w:t>
      </w:r>
    </w:p>
    <w:p w14:paraId="7598C804">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然后按室外声源预测方法计算预测点处的A声级。</w:t>
      </w:r>
    </w:p>
    <w:p w14:paraId="06274E9A">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②室外声源在预测点的声压级计算</w:t>
      </w:r>
    </w:p>
    <w:p w14:paraId="75904723">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如已知声源的倍频带声功率级Lw，预测点位置的倍频带声压级Lp(r)按以下公式计算得到：</w:t>
      </w:r>
    </w:p>
    <w:p w14:paraId="080D2830">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Lp(r)＝Lw+Dc－A</w:t>
      </w:r>
    </w:p>
    <w:p w14:paraId="67B263EE">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式中：Lp(r)——预测点(r)处的声级，dB；</w:t>
      </w:r>
    </w:p>
    <w:p w14:paraId="582B687F">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Lw——倍频带声功率级，dB；</w:t>
      </w:r>
    </w:p>
    <w:p w14:paraId="05444A51">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c——指向性校正，dB；它描述点声源的等效连续声压级与产生声功率级Lw的全向点声源在规定方向的级的偏差程度。指向性校正等于点声源的指向性指数DI加上计到小于4π球面度（sr）立体角的声传播指数DΩ。对辐射到自由空间的全向点声源，Dc=0dB。</w:t>
      </w:r>
    </w:p>
    <w:p w14:paraId="4BF08B25">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A——倍频带衰减，dB；主要考虑几何发散（A</w:t>
      </w:r>
      <w:r>
        <w:rPr>
          <w:rFonts w:hint="default" w:ascii="Times New Roman" w:hAnsi="Times New Roman" w:eastAsia="宋体" w:cs="Times New Roman"/>
          <w:sz w:val="24"/>
          <w:szCs w:val="24"/>
          <w:vertAlign w:val="subscript"/>
        </w:rPr>
        <w:t>div</w:t>
      </w:r>
      <w:r>
        <w:rPr>
          <w:rFonts w:hint="default" w:ascii="Times New Roman" w:hAnsi="Times New Roman" w:eastAsia="宋体" w:cs="Times New Roman"/>
          <w:sz w:val="24"/>
          <w:szCs w:val="24"/>
        </w:rPr>
        <w:t>）、大气吸收（A</w:t>
      </w:r>
      <w:r>
        <w:rPr>
          <w:rFonts w:hint="default" w:ascii="Times New Roman" w:hAnsi="Times New Roman" w:eastAsia="宋体" w:cs="Times New Roman"/>
          <w:sz w:val="24"/>
          <w:szCs w:val="24"/>
          <w:vertAlign w:val="subscript"/>
        </w:rPr>
        <w:t>atm</w:t>
      </w:r>
      <w:r>
        <w:rPr>
          <w:rFonts w:hint="default" w:ascii="Times New Roman" w:hAnsi="Times New Roman" w:eastAsia="宋体" w:cs="Times New Roman"/>
          <w:sz w:val="24"/>
          <w:szCs w:val="24"/>
        </w:rPr>
        <w:t>）、地面效应（A</w:t>
      </w:r>
      <w:r>
        <w:rPr>
          <w:rFonts w:hint="default" w:ascii="Times New Roman" w:hAnsi="Times New Roman" w:eastAsia="宋体" w:cs="Times New Roman"/>
          <w:sz w:val="24"/>
          <w:szCs w:val="24"/>
          <w:vertAlign w:val="subscript"/>
        </w:rPr>
        <w:t>gr</w:t>
      </w:r>
      <w:r>
        <w:rPr>
          <w:rFonts w:hint="default" w:ascii="Times New Roman" w:hAnsi="Times New Roman" w:eastAsia="宋体" w:cs="Times New Roman"/>
          <w:sz w:val="24"/>
          <w:szCs w:val="24"/>
        </w:rPr>
        <w:t>）、屏障屏蔽（A</w:t>
      </w:r>
      <w:r>
        <w:rPr>
          <w:rFonts w:hint="default" w:ascii="Times New Roman" w:hAnsi="Times New Roman" w:eastAsia="宋体" w:cs="Times New Roman"/>
          <w:sz w:val="24"/>
          <w:szCs w:val="24"/>
          <w:vertAlign w:val="subscript"/>
        </w:rPr>
        <w:t>bar</w:t>
      </w:r>
      <w:r>
        <w:rPr>
          <w:rFonts w:hint="default" w:ascii="Times New Roman" w:hAnsi="Times New Roman" w:eastAsia="宋体" w:cs="Times New Roman"/>
          <w:sz w:val="24"/>
          <w:szCs w:val="24"/>
        </w:rPr>
        <w:t>）、其他多方面效应（A</w:t>
      </w:r>
      <w:r>
        <w:rPr>
          <w:rFonts w:hint="default" w:ascii="Times New Roman" w:hAnsi="Times New Roman" w:eastAsia="宋体" w:cs="Times New Roman"/>
          <w:sz w:val="24"/>
          <w:szCs w:val="24"/>
          <w:vertAlign w:val="subscript"/>
        </w:rPr>
        <w:t>misc</w:t>
      </w:r>
      <w:r>
        <w:rPr>
          <w:rFonts w:hint="default" w:ascii="Times New Roman" w:hAnsi="Times New Roman" w:eastAsia="宋体" w:cs="Times New Roman"/>
          <w:sz w:val="24"/>
          <w:szCs w:val="24"/>
        </w:rPr>
        <w:t>）引起的衰减。在预测时，为留有较大余地，以噪声对环境最不利的情况为前提，只考虑几何发散衰减，其他因素的衰减，如大气吸收、屏障屏蔽、地面效应等均作为预测计算的安全系数而不计。</w:t>
      </w:r>
    </w:p>
    <w:p w14:paraId="2B668ED4">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几何发散衰减A</w:t>
      </w:r>
      <w:r>
        <w:rPr>
          <w:rFonts w:hint="default" w:ascii="Times New Roman" w:hAnsi="Times New Roman" w:eastAsia="宋体" w:cs="Times New Roman"/>
          <w:sz w:val="24"/>
          <w:szCs w:val="24"/>
          <w:vertAlign w:val="subscript"/>
        </w:rPr>
        <w:t>div</w:t>
      </w:r>
      <w:r>
        <w:rPr>
          <w:rFonts w:hint="default" w:ascii="Times New Roman" w:hAnsi="Times New Roman" w:eastAsia="宋体" w:cs="Times New Roman"/>
          <w:sz w:val="24"/>
          <w:szCs w:val="24"/>
        </w:rPr>
        <w:t>：若声源处于半自由声场，A</w:t>
      </w:r>
      <w:r>
        <w:rPr>
          <w:rFonts w:hint="default" w:ascii="Times New Roman" w:hAnsi="Times New Roman" w:eastAsia="宋体" w:cs="Times New Roman"/>
          <w:sz w:val="24"/>
          <w:szCs w:val="24"/>
          <w:vertAlign w:val="subscript"/>
        </w:rPr>
        <w:t>div</w:t>
      </w:r>
      <w:r>
        <w:rPr>
          <w:rFonts w:hint="default" w:ascii="Times New Roman" w:hAnsi="Times New Roman" w:eastAsia="宋体" w:cs="Times New Roman"/>
          <w:sz w:val="24"/>
          <w:szCs w:val="24"/>
        </w:rPr>
        <w:t>=20lg(r)+8。</w:t>
      </w:r>
    </w:p>
    <w:p w14:paraId="43AA63C7">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（2）噪声源调查清单</w:t>
      </w:r>
    </w:p>
    <w:p w14:paraId="1DD32F91">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本项目噪声源调查清单见表7.4-1。</w:t>
      </w:r>
    </w:p>
    <w:p w14:paraId="199B22E4">
      <w:pPr>
        <w:widowControl/>
        <w:spacing w:line="360" w:lineRule="auto"/>
        <w:jc w:val="center"/>
        <w:rPr>
          <w:rFonts w:hint="default" w:ascii="Times New Roman" w:hAnsi="Times New Roman" w:eastAsia="宋体" w:cs="Times New Roman"/>
          <w:sz w:val="24"/>
        </w:rPr>
      </w:pPr>
      <w:r>
        <w:rPr>
          <w:rFonts w:hint="default" w:ascii="Times New Roman" w:hAnsi="Times New Roman" w:eastAsia="宋体" w:cs="Times New Roman"/>
          <w:b/>
          <w:bCs/>
        </w:rPr>
        <w:t xml:space="preserve">表7.4-1 </w:t>
      </w:r>
      <w:r>
        <w:rPr>
          <w:rFonts w:hint="default" w:ascii="Times New Roman" w:hAnsi="Times New Roman" w:eastAsia="宋体" w:cs="Times New Roman"/>
          <w:b/>
          <w:bCs/>
          <w:lang w:val="en-US" w:eastAsia="zh-CN"/>
        </w:rPr>
        <w:t xml:space="preserve"> </w:t>
      </w:r>
      <w:r>
        <w:rPr>
          <w:rFonts w:hint="default" w:ascii="Times New Roman" w:hAnsi="Times New Roman" w:eastAsia="宋体" w:cs="Times New Roman"/>
          <w:b/>
          <w:bCs/>
        </w:rPr>
        <w:t>本项目噪声源调查清单</w:t>
      </w:r>
    </w:p>
    <w:tbl>
      <w:tblPr>
        <w:tblStyle w:val="32"/>
        <w:tblW w:w="499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89"/>
        <w:gridCol w:w="660"/>
        <w:gridCol w:w="1046"/>
        <w:gridCol w:w="816"/>
        <w:gridCol w:w="616"/>
        <w:gridCol w:w="459"/>
        <w:gridCol w:w="519"/>
        <w:gridCol w:w="452"/>
        <w:gridCol w:w="488"/>
        <w:gridCol w:w="756"/>
        <w:gridCol w:w="966"/>
        <w:gridCol w:w="756"/>
        <w:gridCol w:w="519"/>
        <w:gridCol w:w="469"/>
      </w:tblGrid>
      <w:tr w14:paraId="205AAF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restart"/>
            <w:vAlign w:val="center"/>
          </w:tcPr>
          <w:p w14:paraId="5FFE7E0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建筑物名称</w:t>
            </w:r>
          </w:p>
        </w:tc>
        <w:tc>
          <w:tcPr>
            <w:tcW w:w="362" w:type="pct"/>
            <w:vMerge w:val="restart"/>
            <w:vAlign w:val="center"/>
          </w:tcPr>
          <w:p w14:paraId="01A10B7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声源名称</w:t>
            </w:r>
          </w:p>
        </w:tc>
        <w:tc>
          <w:tcPr>
            <w:tcW w:w="574" w:type="pct"/>
            <w:vMerge w:val="restart"/>
            <w:vAlign w:val="center"/>
          </w:tcPr>
          <w:p w14:paraId="1184B3F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型号</w:t>
            </w:r>
          </w:p>
        </w:tc>
        <w:tc>
          <w:tcPr>
            <w:tcW w:w="448" w:type="pct"/>
            <w:vMerge w:val="restart"/>
            <w:vAlign w:val="center"/>
          </w:tcPr>
          <w:p w14:paraId="655C798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声功率级/dB（A）</w:t>
            </w:r>
          </w:p>
        </w:tc>
        <w:tc>
          <w:tcPr>
            <w:tcW w:w="338" w:type="pct"/>
            <w:vMerge w:val="restart"/>
            <w:vAlign w:val="center"/>
          </w:tcPr>
          <w:p w14:paraId="289C5F4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声源控制措施</w:t>
            </w:r>
          </w:p>
        </w:tc>
        <w:tc>
          <w:tcPr>
            <w:tcW w:w="785" w:type="pct"/>
            <w:gridSpan w:val="3"/>
            <w:vAlign w:val="center"/>
          </w:tcPr>
          <w:p w14:paraId="3A6EBB32">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空间相对位置/m</w:t>
            </w:r>
          </w:p>
        </w:tc>
        <w:tc>
          <w:tcPr>
            <w:tcW w:w="268" w:type="pct"/>
            <w:vMerge w:val="restart"/>
            <w:vAlign w:val="center"/>
          </w:tcPr>
          <w:p w14:paraId="425FB75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距室内边界距离/m</w:t>
            </w:r>
          </w:p>
        </w:tc>
        <w:tc>
          <w:tcPr>
            <w:tcW w:w="415" w:type="pct"/>
            <w:vMerge w:val="restart"/>
            <w:vAlign w:val="center"/>
          </w:tcPr>
          <w:p w14:paraId="6D3AF49D">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室内边界声级/dB（A）</w:t>
            </w:r>
          </w:p>
        </w:tc>
        <w:tc>
          <w:tcPr>
            <w:tcW w:w="530" w:type="pct"/>
            <w:vMerge w:val="restart"/>
            <w:vAlign w:val="center"/>
          </w:tcPr>
          <w:p w14:paraId="21517625">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运行时段</w:t>
            </w:r>
          </w:p>
        </w:tc>
        <w:tc>
          <w:tcPr>
            <w:tcW w:w="415" w:type="pct"/>
            <w:vMerge w:val="restart"/>
            <w:vAlign w:val="center"/>
          </w:tcPr>
          <w:p w14:paraId="123FC64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建筑物插入损失/dB（A）</w:t>
            </w:r>
          </w:p>
        </w:tc>
        <w:tc>
          <w:tcPr>
            <w:tcW w:w="542" w:type="pct"/>
            <w:gridSpan w:val="2"/>
            <w:vAlign w:val="center"/>
          </w:tcPr>
          <w:p w14:paraId="52648AD6">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建筑物外隔声</w:t>
            </w:r>
          </w:p>
        </w:tc>
      </w:tr>
      <w:tr w14:paraId="2DCD1E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16A86AE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p>
        </w:tc>
        <w:tc>
          <w:tcPr>
            <w:tcW w:w="362" w:type="pct"/>
            <w:vMerge w:val="continue"/>
            <w:vAlign w:val="center"/>
          </w:tcPr>
          <w:p w14:paraId="2D2D496A">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p>
        </w:tc>
        <w:tc>
          <w:tcPr>
            <w:tcW w:w="574" w:type="pct"/>
            <w:vMerge w:val="continue"/>
            <w:vAlign w:val="center"/>
          </w:tcPr>
          <w:p w14:paraId="0C56FAA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p>
        </w:tc>
        <w:tc>
          <w:tcPr>
            <w:tcW w:w="448" w:type="pct"/>
            <w:vMerge w:val="continue"/>
            <w:vAlign w:val="center"/>
          </w:tcPr>
          <w:p w14:paraId="64F952DF">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p>
        </w:tc>
        <w:tc>
          <w:tcPr>
            <w:tcW w:w="338" w:type="pct"/>
            <w:vMerge w:val="continue"/>
            <w:vAlign w:val="center"/>
          </w:tcPr>
          <w:p w14:paraId="2256B5CE">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p>
        </w:tc>
        <w:tc>
          <w:tcPr>
            <w:tcW w:w="252" w:type="pct"/>
            <w:vAlign w:val="center"/>
          </w:tcPr>
          <w:p w14:paraId="456D7DD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X</w:t>
            </w:r>
          </w:p>
        </w:tc>
        <w:tc>
          <w:tcPr>
            <w:tcW w:w="285" w:type="pct"/>
            <w:vAlign w:val="center"/>
          </w:tcPr>
          <w:p w14:paraId="5FA4660B">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Y</w:t>
            </w:r>
          </w:p>
        </w:tc>
        <w:tc>
          <w:tcPr>
            <w:tcW w:w="248" w:type="pct"/>
            <w:vAlign w:val="center"/>
          </w:tcPr>
          <w:p w14:paraId="3603824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Z</w:t>
            </w:r>
          </w:p>
        </w:tc>
        <w:tc>
          <w:tcPr>
            <w:tcW w:w="268" w:type="pct"/>
            <w:vMerge w:val="continue"/>
            <w:vAlign w:val="center"/>
          </w:tcPr>
          <w:p w14:paraId="3B1E0FCC">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p>
        </w:tc>
        <w:tc>
          <w:tcPr>
            <w:tcW w:w="415" w:type="pct"/>
            <w:vMerge w:val="continue"/>
            <w:vAlign w:val="center"/>
          </w:tcPr>
          <w:p w14:paraId="7387FA97">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p>
        </w:tc>
        <w:tc>
          <w:tcPr>
            <w:tcW w:w="530" w:type="pct"/>
            <w:vMerge w:val="continue"/>
            <w:vAlign w:val="center"/>
          </w:tcPr>
          <w:p w14:paraId="19A78CA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p>
        </w:tc>
        <w:tc>
          <w:tcPr>
            <w:tcW w:w="415" w:type="pct"/>
            <w:vMerge w:val="continue"/>
            <w:vAlign w:val="center"/>
          </w:tcPr>
          <w:p w14:paraId="6BEBD431">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p>
        </w:tc>
        <w:tc>
          <w:tcPr>
            <w:tcW w:w="285" w:type="pct"/>
            <w:vAlign w:val="center"/>
          </w:tcPr>
          <w:p w14:paraId="0F933CD4">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声压级</w:t>
            </w:r>
          </w:p>
        </w:tc>
        <w:tc>
          <w:tcPr>
            <w:tcW w:w="257" w:type="pct"/>
            <w:vAlign w:val="center"/>
          </w:tcPr>
          <w:p w14:paraId="55D7BA70">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18"/>
                <w:szCs w:val="18"/>
              </w:rPr>
            </w:pPr>
            <w:r>
              <w:rPr>
                <w:rFonts w:hint="default" w:ascii="Times New Roman" w:hAnsi="Times New Roman" w:eastAsia="宋体" w:cs="Times New Roman"/>
                <w:b/>
                <w:bCs/>
                <w:sz w:val="18"/>
                <w:szCs w:val="18"/>
              </w:rPr>
              <w:t>建筑物外距离</w:t>
            </w:r>
          </w:p>
        </w:tc>
      </w:tr>
      <w:tr w14:paraId="422790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restart"/>
            <w:vAlign w:val="center"/>
          </w:tcPr>
          <w:p w14:paraId="6126E76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lang w:eastAsia="zh-CN"/>
              </w:rPr>
            </w:pPr>
            <w:r>
              <w:rPr>
                <w:rFonts w:hint="default" w:ascii="Times New Roman" w:hAnsi="Times New Roman" w:eastAsia="宋体" w:cs="Times New Roman"/>
                <w:sz w:val="18"/>
                <w:szCs w:val="18"/>
                <w:lang w:eastAsia="zh-CN"/>
              </w:rPr>
              <w:t>危险废物综合处置车间</w:t>
            </w:r>
          </w:p>
        </w:tc>
        <w:tc>
          <w:tcPr>
            <w:tcW w:w="362" w:type="pct"/>
            <w:vMerge w:val="restart"/>
            <w:vAlign w:val="center"/>
          </w:tcPr>
          <w:p w14:paraId="6E6690E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撕碎机</w:t>
            </w:r>
          </w:p>
        </w:tc>
        <w:tc>
          <w:tcPr>
            <w:tcW w:w="574" w:type="pct"/>
            <w:vMerge w:val="restart"/>
            <w:vAlign w:val="center"/>
          </w:tcPr>
          <w:p w14:paraId="7FCF5B4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448" w:type="pct"/>
            <w:vMerge w:val="restart"/>
            <w:vAlign w:val="center"/>
          </w:tcPr>
          <w:p w14:paraId="41EB2C3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85</w:t>
            </w:r>
          </w:p>
        </w:tc>
        <w:tc>
          <w:tcPr>
            <w:tcW w:w="338" w:type="pct"/>
            <w:vMerge w:val="restart"/>
            <w:vAlign w:val="center"/>
          </w:tcPr>
          <w:p w14:paraId="618C138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减振</w:t>
            </w:r>
          </w:p>
        </w:tc>
        <w:tc>
          <w:tcPr>
            <w:tcW w:w="252" w:type="pct"/>
            <w:vMerge w:val="restart"/>
            <w:vAlign w:val="center"/>
          </w:tcPr>
          <w:p w14:paraId="552EEA8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285" w:type="pct"/>
            <w:vMerge w:val="restart"/>
            <w:vAlign w:val="center"/>
          </w:tcPr>
          <w:p w14:paraId="5453A06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48" w:type="pct"/>
            <w:vMerge w:val="restart"/>
            <w:vAlign w:val="center"/>
          </w:tcPr>
          <w:p w14:paraId="0D772F0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p>
        </w:tc>
        <w:tc>
          <w:tcPr>
            <w:tcW w:w="268" w:type="pct"/>
            <w:vAlign w:val="center"/>
          </w:tcPr>
          <w:p w14:paraId="7015DD9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c>
          <w:tcPr>
            <w:tcW w:w="415" w:type="pct"/>
            <w:vAlign w:val="center"/>
          </w:tcPr>
          <w:p w14:paraId="2134792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49</w:t>
            </w:r>
          </w:p>
        </w:tc>
        <w:tc>
          <w:tcPr>
            <w:tcW w:w="530" w:type="pct"/>
            <w:vMerge w:val="restart"/>
            <w:vAlign w:val="center"/>
          </w:tcPr>
          <w:p w14:paraId="3814B93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间断，昼间2h</w:t>
            </w:r>
          </w:p>
        </w:tc>
        <w:tc>
          <w:tcPr>
            <w:tcW w:w="415" w:type="pct"/>
            <w:vMerge w:val="restart"/>
            <w:vAlign w:val="center"/>
          </w:tcPr>
          <w:p w14:paraId="2ACC9A1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c>
          <w:tcPr>
            <w:tcW w:w="285" w:type="pct"/>
            <w:vAlign w:val="center"/>
          </w:tcPr>
          <w:p w14:paraId="76D71F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00252EF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r>
      <w:tr w14:paraId="2F2F01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1B5C7AA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092FFBD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38B2920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06ACBF5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674EA07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418DF56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69803E8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276201F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6A2430D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c>
          <w:tcPr>
            <w:tcW w:w="415" w:type="pct"/>
            <w:vAlign w:val="center"/>
          </w:tcPr>
          <w:p w14:paraId="34140CA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vAlign w:val="center"/>
          </w:tcPr>
          <w:p w14:paraId="534EA36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1D509B4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5C1F854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w:t>
            </w:r>
          </w:p>
        </w:tc>
        <w:tc>
          <w:tcPr>
            <w:tcW w:w="257" w:type="pct"/>
            <w:vAlign w:val="center"/>
          </w:tcPr>
          <w:p w14:paraId="166A15F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r>
      <w:tr w14:paraId="1F5E4F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6A30887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2D5D62D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7195BC9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53DEBDB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5AC163A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6B18B57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57B6262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6B36633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75F734A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c>
          <w:tcPr>
            <w:tcW w:w="415" w:type="pct"/>
            <w:vAlign w:val="center"/>
          </w:tcPr>
          <w:p w14:paraId="529518E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530" w:type="pct"/>
            <w:vMerge w:val="continue"/>
            <w:vAlign w:val="center"/>
          </w:tcPr>
          <w:p w14:paraId="0C0A18F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098CC77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2A93AB6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3BAAF51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r>
      <w:tr w14:paraId="20AD05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32E6FE9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04A0A0D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36FC17F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2BE10C6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2B0E5D8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781320A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181AB8F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65C7F0F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04E1DAF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c>
          <w:tcPr>
            <w:tcW w:w="415" w:type="pct"/>
            <w:tcBorders>
              <w:bottom w:val="single" w:color="auto" w:sz="4" w:space="0"/>
            </w:tcBorders>
            <w:vAlign w:val="center"/>
          </w:tcPr>
          <w:p w14:paraId="1D3A7FE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tcBorders>
              <w:bottom w:val="single" w:color="auto" w:sz="4" w:space="0"/>
            </w:tcBorders>
            <w:vAlign w:val="center"/>
          </w:tcPr>
          <w:p w14:paraId="549E6E8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06F3B06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23B415C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257" w:type="pct"/>
            <w:vAlign w:val="center"/>
          </w:tcPr>
          <w:p w14:paraId="2140F19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r>
      <w:tr w14:paraId="480F94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6156F1F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restart"/>
            <w:vAlign w:val="center"/>
          </w:tcPr>
          <w:p w14:paraId="7016C42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破碎机</w:t>
            </w:r>
          </w:p>
        </w:tc>
        <w:tc>
          <w:tcPr>
            <w:tcW w:w="574" w:type="pct"/>
            <w:vMerge w:val="restart"/>
            <w:vAlign w:val="center"/>
          </w:tcPr>
          <w:p w14:paraId="45773C4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448" w:type="pct"/>
            <w:vMerge w:val="restart"/>
            <w:vAlign w:val="center"/>
          </w:tcPr>
          <w:p w14:paraId="46E7244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80</w:t>
            </w:r>
          </w:p>
        </w:tc>
        <w:tc>
          <w:tcPr>
            <w:tcW w:w="338" w:type="pct"/>
            <w:vMerge w:val="restart"/>
            <w:vAlign w:val="center"/>
          </w:tcPr>
          <w:p w14:paraId="453B734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减振</w:t>
            </w:r>
          </w:p>
        </w:tc>
        <w:tc>
          <w:tcPr>
            <w:tcW w:w="252" w:type="pct"/>
            <w:vMerge w:val="restart"/>
            <w:vAlign w:val="center"/>
          </w:tcPr>
          <w:p w14:paraId="403E1DF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w:t>
            </w:r>
          </w:p>
        </w:tc>
        <w:tc>
          <w:tcPr>
            <w:tcW w:w="285" w:type="pct"/>
            <w:vMerge w:val="restart"/>
            <w:vAlign w:val="center"/>
          </w:tcPr>
          <w:p w14:paraId="19E891E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w:t>
            </w:r>
          </w:p>
        </w:tc>
        <w:tc>
          <w:tcPr>
            <w:tcW w:w="248" w:type="pct"/>
            <w:vMerge w:val="restart"/>
            <w:vAlign w:val="center"/>
          </w:tcPr>
          <w:p w14:paraId="6BDA61B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p>
        </w:tc>
        <w:tc>
          <w:tcPr>
            <w:tcW w:w="268" w:type="pct"/>
            <w:vAlign w:val="center"/>
          </w:tcPr>
          <w:p w14:paraId="14775B3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c>
          <w:tcPr>
            <w:tcW w:w="415" w:type="pct"/>
            <w:tcBorders>
              <w:top w:val="single" w:color="auto" w:sz="4" w:space="0"/>
            </w:tcBorders>
            <w:vAlign w:val="center"/>
          </w:tcPr>
          <w:p w14:paraId="4352AF0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38</w:t>
            </w:r>
          </w:p>
        </w:tc>
        <w:tc>
          <w:tcPr>
            <w:tcW w:w="530" w:type="pct"/>
            <w:vMerge w:val="restart"/>
            <w:tcBorders>
              <w:top w:val="single" w:color="auto" w:sz="4" w:space="0"/>
            </w:tcBorders>
            <w:vAlign w:val="center"/>
          </w:tcPr>
          <w:p w14:paraId="3414084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间断，昼间持续1h</w:t>
            </w:r>
          </w:p>
        </w:tc>
        <w:tc>
          <w:tcPr>
            <w:tcW w:w="415" w:type="pct"/>
            <w:vMerge w:val="restart"/>
            <w:vAlign w:val="center"/>
          </w:tcPr>
          <w:p w14:paraId="3B11E1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c>
          <w:tcPr>
            <w:tcW w:w="285" w:type="pct"/>
            <w:vAlign w:val="center"/>
          </w:tcPr>
          <w:p w14:paraId="098976C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60F0F78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r>
      <w:tr w14:paraId="50B293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378AD1E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518C429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3AE5CE9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1458262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16004B8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49B4C0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29B0D22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5494404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6837251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c>
          <w:tcPr>
            <w:tcW w:w="415" w:type="pct"/>
            <w:vAlign w:val="center"/>
          </w:tcPr>
          <w:p w14:paraId="7578935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vAlign w:val="center"/>
          </w:tcPr>
          <w:p w14:paraId="06AF7F0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3BD947A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6E1DE41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w:t>
            </w:r>
          </w:p>
        </w:tc>
        <w:tc>
          <w:tcPr>
            <w:tcW w:w="257" w:type="pct"/>
            <w:vAlign w:val="center"/>
          </w:tcPr>
          <w:p w14:paraId="6B9DCE5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r>
      <w:tr w14:paraId="09E115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494209D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0A4E261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4722BFD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6FF9DF5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0D07406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6F6B54B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449BBA2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100AA32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49C5395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c>
          <w:tcPr>
            <w:tcW w:w="415" w:type="pct"/>
            <w:vAlign w:val="center"/>
          </w:tcPr>
          <w:p w14:paraId="172CE2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530" w:type="pct"/>
            <w:vMerge w:val="continue"/>
            <w:vAlign w:val="center"/>
          </w:tcPr>
          <w:p w14:paraId="0577EE1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0B5AE12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282CB03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428C717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r>
      <w:tr w14:paraId="377820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5F3629B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3AA6568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2A18E3C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11DCF18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049BC8C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23AC0C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7E4D30F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1C276EB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1D18029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c>
          <w:tcPr>
            <w:tcW w:w="415" w:type="pct"/>
            <w:tcBorders>
              <w:bottom w:val="single" w:color="auto" w:sz="4" w:space="0"/>
            </w:tcBorders>
            <w:vAlign w:val="center"/>
          </w:tcPr>
          <w:p w14:paraId="7111582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tcBorders>
              <w:bottom w:val="single" w:color="auto" w:sz="4" w:space="0"/>
            </w:tcBorders>
            <w:vAlign w:val="center"/>
          </w:tcPr>
          <w:p w14:paraId="0BD531F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1A9A34C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74CC2F7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257" w:type="pct"/>
            <w:vAlign w:val="center"/>
          </w:tcPr>
          <w:p w14:paraId="15669CE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r>
      <w:tr w14:paraId="2997D8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3CEAB45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restart"/>
            <w:vAlign w:val="center"/>
          </w:tcPr>
          <w:p w14:paraId="1416633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摩擦机</w:t>
            </w:r>
          </w:p>
        </w:tc>
        <w:tc>
          <w:tcPr>
            <w:tcW w:w="574" w:type="pct"/>
            <w:vMerge w:val="restart"/>
            <w:vAlign w:val="center"/>
          </w:tcPr>
          <w:p w14:paraId="5A5F328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448" w:type="pct"/>
            <w:vMerge w:val="restart"/>
            <w:vAlign w:val="center"/>
          </w:tcPr>
          <w:p w14:paraId="6573190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w:t>
            </w:r>
          </w:p>
        </w:tc>
        <w:tc>
          <w:tcPr>
            <w:tcW w:w="338" w:type="pct"/>
            <w:vMerge w:val="restart"/>
            <w:vAlign w:val="center"/>
          </w:tcPr>
          <w:p w14:paraId="261C3A6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减振</w:t>
            </w:r>
          </w:p>
        </w:tc>
        <w:tc>
          <w:tcPr>
            <w:tcW w:w="252" w:type="pct"/>
            <w:vMerge w:val="restart"/>
            <w:vAlign w:val="center"/>
          </w:tcPr>
          <w:p w14:paraId="257B70E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8</w:t>
            </w:r>
          </w:p>
        </w:tc>
        <w:tc>
          <w:tcPr>
            <w:tcW w:w="285" w:type="pct"/>
            <w:vMerge w:val="restart"/>
            <w:vAlign w:val="center"/>
          </w:tcPr>
          <w:p w14:paraId="474CA90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w:t>
            </w:r>
          </w:p>
        </w:tc>
        <w:tc>
          <w:tcPr>
            <w:tcW w:w="248" w:type="pct"/>
            <w:vMerge w:val="restart"/>
            <w:vAlign w:val="center"/>
          </w:tcPr>
          <w:p w14:paraId="556FA88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p>
        </w:tc>
        <w:tc>
          <w:tcPr>
            <w:tcW w:w="268" w:type="pct"/>
            <w:vAlign w:val="center"/>
          </w:tcPr>
          <w:p w14:paraId="3E8B825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c>
          <w:tcPr>
            <w:tcW w:w="415" w:type="pct"/>
            <w:tcBorders>
              <w:top w:val="single" w:color="auto" w:sz="4" w:space="0"/>
            </w:tcBorders>
            <w:vAlign w:val="center"/>
          </w:tcPr>
          <w:p w14:paraId="396177F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w:t>
            </w:r>
          </w:p>
        </w:tc>
        <w:tc>
          <w:tcPr>
            <w:tcW w:w="530" w:type="pct"/>
            <w:vMerge w:val="restart"/>
            <w:tcBorders>
              <w:top w:val="single" w:color="auto" w:sz="4" w:space="0"/>
            </w:tcBorders>
            <w:vAlign w:val="center"/>
          </w:tcPr>
          <w:p w14:paraId="2C59018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持续24h</w:t>
            </w:r>
          </w:p>
        </w:tc>
        <w:tc>
          <w:tcPr>
            <w:tcW w:w="415" w:type="pct"/>
            <w:vMerge w:val="restart"/>
            <w:vAlign w:val="center"/>
          </w:tcPr>
          <w:p w14:paraId="6B0F8F5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c>
          <w:tcPr>
            <w:tcW w:w="285" w:type="pct"/>
            <w:vAlign w:val="center"/>
          </w:tcPr>
          <w:p w14:paraId="14E18DA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6D0F5D6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r>
      <w:tr w14:paraId="6645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64FA62B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35A232E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0DEAF63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2301CAF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035DBCE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0C35FC9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3D20463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6DF881B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2E5D15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c>
          <w:tcPr>
            <w:tcW w:w="415" w:type="pct"/>
            <w:vAlign w:val="center"/>
          </w:tcPr>
          <w:p w14:paraId="3E5C2CF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vAlign w:val="center"/>
          </w:tcPr>
          <w:p w14:paraId="66BF40F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5119B20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6A2F306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w:t>
            </w:r>
          </w:p>
        </w:tc>
        <w:tc>
          <w:tcPr>
            <w:tcW w:w="257" w:type="pct"/>
            <w:vAlign w:val="center"/>
          </w:tcPr>
          <w:p w14:paraId="72C728F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r>
      <w:tr w14:paraId="2A94DB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160C4B0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38C7F52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72EF87A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15EFFE5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5A5EA95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54C2213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033007A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2019DDB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0564C53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c>
          <w:tcPr>
            <w:tcW w:w="415" w:type="pct"/>
            <w:vAlign w:val="center"/>
          </w:tcPr>
          <w:p w14:paraId="6676417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38</w:t>
            </w:r>
          </w:p>
        </w:tc>
        <w:tc>
          <w:tcPr>
            <w:tcW w:w="530" w:type="pct"/>
            <w:vMerge w:val="continue"/>
            <w:vAlign w:val="center"/>
          </w:tcPr>
          <w:p w14:paraId="6A86AD5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7690124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6D8E586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3E4382F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r>
      <w:tr w14:paraId="0AB4E0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41F765F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54128E7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7A316A4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132B742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5955F3F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1FBB110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263247F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747943D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4503EF3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c>
          <w:tcPr>
            <w:tcW w:w="415" w:type="pct"/>
            <w:vAlign w:val="center"/>
          </w:tcPr>
          <w:p w14:paraId="3899BA6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tcBorders>
              <w:bottom w:val="single" w:color="auto" w:sz="4" w:space="0"/>
            </w:tcBorders>
            <w:vAlign w:val="center"/>
          </w:tcPr>
          <w:p w14:paraId="5F049F1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79CE5DB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5D9CB6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257" w:type="pct"/>
            <w:vAlign w:val="center"/>
          </w:tcPr>
          <w:p w14:paraId="67AFCB6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r>
      <w:tr w14:paraId="6724D4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5F1E451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restart"/>
            <w:vAlign w:val="center"/>
          </w:tcPr>
          <w:p w14:paraId="1F535FD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甩干机</w:t>
            </w:r>
          </w:p>
        </w:tc>
        <w:tc>
          <w:tcPr>
            <w:tcW w:w="574" w:type="pct"/>
            <w:vMerge w:val="restart"/>
            <w:vAlign w:val="center"/>
          </w:tcPr>
          <w:p w14:paraId="38DED7F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448" w:type="pct"/>
            <w:vMerge w:val="restart"/>
            <w:vAlign w:val="center"/>
          </w:tcPr>
          <w:p w14:paraId="14256C7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75</w:t>
            </w:r>
          </w:p>
        </w:tc>
        <w:tc>
          <w:tcPr>
            <w:tcW w:w="338" w:type="pct"/>
            <w:vMerge w:val="restart"/>
            <w:vAlign w:val="center"/>
          </w:tcPr>
          <w:p w14:paraId="5FAC1EF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减振</w:t>
            </w:r>
          </w:p>
        </w:tc>
        <w:tc>
          <w:tcPr>
            <w:tcW w:w="252" w:type="pct"/>
            <w:vMerge w:val="restart"/>
            <w:vAlign w:val="center"/>
          </w:tcPr>
          <w:p w14:paraId="326D31E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85" w:type="pct"/>
            <w:vMerge w:val="restart"/>
            <w:vAlign w:val="center"/>
          </w:tcPr>
          <w:p w14:paraId="6EAA4EA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248" w:type="pct"/>
            <w:vMerge w:val="restart"/>
            <w:vAlign w:val="center"/>
          </w:tcPr>
          <w:p w14:paraId="4B3BE1F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p>
        </w:tc>
        <w:tc>
          <w:tcPr>
            <w:tcW w:w="268" w:type="pct"/>
            <w:vAlign w:val="center"/>
          </w:tcPr>
          <w:p w14:paraId="607E900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c>
          <w:tcPr>
            <w:tcW w:w="415" w:type="pct"/>
            <w:vAlign w:val="center"/>
          </w:tcPr>
          <w:p w14:paraId="05635E9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530" w:type="pct"/>
            <w:vMerge w:val="restart"/>
            <w:tcBorders>
              <w:top w:val="single" w:color="auto" w:sz="4" w:space="0"/>
            </w:tcBorders>
            <w:vAlign w:val="center"/>
          </w:tcPr>
          <w:p w14:paraId="075AFA9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持续24h</w:t>
            </w:r>
          </w:p>
        </w:tc>
        <w:tc>
          <w:tcPr>
            <w:tcW w:w="415" w:type="pct"/>
            <w:vMerge w:val="restart"/>
            <w:vAlign w:val="center"/>
          </w:tcPr>
          <w:p w14:paraId="0FB12F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c>
          <w:tcPr>
            <w:tcW w:w="285" w:type="pct"/>
            <w:vAlign w:val="center"/>
          </w:tcPr>
          <w:p w14:paraId="786700C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16FF8E5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r>
      <w:tr w14:paraId="37EDB6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14E05DD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3A07070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1B2F9F0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134750E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538580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2643E15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45EDC8D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258D0A6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27016EE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c>
          <w:tcPr>
            <w:tcW w:w="415" w:type="pct"/>
            <w:vAlign w:val="center"/>
          </w:tcPr>
          <w:p w14:paraId="3C64779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vAlign w:val="center"/>
          </w:tcPr>
          <w:p w14:paraId="5916F3E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2FB04C1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79FB962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w:t>
            </w:r>
          </w:p>
        </w:tc>
        <w:tc>
          <w:tcPr>
            <w:tcW w:w="257" w:type="pct"/>
            <w:vAlign w:val="center"/>
          </w:tcPr>
          <w:p w14:paraId="71CA928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r>
      <w:tr w14:paraId="20734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7916B43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0E36447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2CD8E1D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181D12E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72FF477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3910509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0EEA22A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45FEF7F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67FF7F9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c>
          <w:tcPr>
            <w:tcW w:w="415" w:type="pct"/>
            <w:vAlign w:val="center"/>
          </w:tcPr>
          <w:p w14:paraId="3DBBE9B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49</w:t>
            </w:r>
          </w:p>
        </w:tc>
        <w:tc>
          <w:tcPr>
            <w:tcW w:w="530" w:type="pct"/>
            <w:vMerge w:val="continue"/>
            <w:vAlign w:val="center"/>
          </w:tcPr>
          <w:p w14:paraId="15BFA33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0D3C747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77E47D4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1EBFEF1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r>
      <w:tr w14:paraId="40C8E6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4CF22FD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57A69AB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236FE38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334E068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54396DB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4988CB2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0F5D272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7BD04A9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6B14AB8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c>
          <w:tcPr>
            <w:tcW w:w="415" w:type="pct"/>
            <w:vAlign w:val="center"/>
          </w:tcPr>
          <w:p w14:paraId="06FFAC5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vAlign w:val="center"/>
          </w:tcPr>
          <w:p w14:paraId="6A72B4D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04EC0FC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2652BF0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257" w:type="pct"/>
            <w:vAlign w:val="center"/>
          </w:tcPr>
          <w:p w14:paraId="5F941C8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r>
      <w:tr w14:paraId="16A712C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7F22E7A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restart"/>
            <w:vAlign w:val="center"/>
          </w:tcPr>
          <w:p w14:paraId="5BD8C2A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切粒机</w:t>
            </w:r>
          </w:p>
        </w:tc>
        <w:tc>
          <w:tcPr>
            <w:tcW w:w="574" w:type="pct"/>
            <w:vMerge w:val="restart"/>
            <w:vAlign w:val="center"/>
          </w:tcPr>
          <w:p w14:paraId="76AAF9C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w:t>
            </w:r>
          </w:p>
        </w:tc>
        <w:tc>
          <w:tcPr>
            <w:tcW w:w="448" w:type="pct"/>
            <w:vMerge w:val="restart"/>
            <w:vAlign w:val="center"/>
          </w:tcPr>
          <w:p w14:paraId="5ABF6C4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75</w:t>
            </w:r>
          </w:p>
        </w:tc>
        <w:tc>
          <w:tcPr>
            <w:tcW w:w="338" w:type="pct"/>
            <w:vMerge w:val="restart"/>
            <w:vAlign w:val="center"/>
          </w:tcPr>
          <w:p w14:paraId="711B0C6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减振</w:t>
            </w:r>
          </w:p>
        </w:tc>
        <w:tc>
          <w:tcPr>
            <w:tcW w:w="252" w:type="pct"/>
            <w:vMerge w:val="restart"/>
            <w:vAlign w:val="center"/>
          </w:tcPr>
          <w:p w14:paraId="2AF19EA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85" w:type="pct"/>
            <w:vMerge w:val="restart"/>
            <w:vAlign w:val="center"/>
          </w:tcPr>
          <w:p w14:paraId="2D26E4E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w:t>
            </w:r>
          </w:p>
        </w:tc>
        <w:tc>
          <w:tcPr>
            <w:tcW w:w="248" w:type="pct"/>
            <w:vMerge w:val="restart"/>
            <w:vAlign w:val="center"/>
          </w:tcPr>
          <w:p w14:paraId="1ECECBE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0</w:t>
            </w:r>
          </w:p>
        </w:tc>
        <w:tc>
          <w:tcPr>
            <w:tcW w:w="268" w:type="pct"/>
            <w:vAlign w:val="center"/>
          </w:tcPr>
          <w:p w14:paraId="421BD41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c>
          <w:tcPr>
            <w:tcW w:w="415" w:type="pct"/>
            <w:vAlign w:val="center"/>
          </w:tcPr>
          <w:p w14:paraId="299CC64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9</w:t>
            </w:r>
          </w:p>
        </w:tc>
        <w:tc>
          <w:tcPr>
            <w:tcW w:w="530" w:type="pct"/>
            <w:vMerge w:val="restart"/>
            <w:vAlign w:val="center"/>
          </w:tcPr>
          <w:p w14:paraId="6059E63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持续24h</w:t>
            </w:r>
          </w:p>
        </w:tc>
        <w:tc>
          <w:tcPr>
            <w:tcW w:w="415" w:type="pct"/>
            <w:vMerge w:val="restart"/>
            <w:vAlign w:val="center"/>
          </w:tcPr>
          <w:p w14:paraId="0C6696C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w:t>
            </w:r>
          </w:p>
        </w:tc>
        <w:tc>
          <w:tcPr>
            <w:tcW w:w="285" w:type="pct"/>
            <w:vAlign w:val="center"/>
          </w:tcPr>
          <w:p w14:paraId="4BB57D8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1FE3E4E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东</w:t>
            </w:r>
          </w:p>
        </w:tc>
      </w:tr>
      <w:tr w14:paraId="713A2B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47C45FB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2CAE6AA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0AA25B9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4B05BF5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5C67869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6BA07B5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5BA76C4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3CA7A35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192E2C5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c>
          <w:tcPr>
            <w:tcW w:w="415" w:type="pct"/>
            <w:vAlign w:val="center"/>
          </w:tcPr>
          <w:p w14:paraId="0F563C3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vAlign w:val="center"/>
          </w:tcPr>
          <w:p w14:paraId="6DBA866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15E49F9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0D812DF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150</w:t>
            </w:r>
          </w:p>
        </w:tc>
        <w:tc>
          <w:tcPr>
            <w:tcW w:w="257" w:type="pct"/>
            <w:vAlign w:val="center"/>
          </w:tcPr>
          <w:p w14:paraId="6196DAE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南</w:t>
            </w:r>
          </w:p>
        </w:tc>
      </w:tr>
      <w:tr w14:paraId="63CDB5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374099B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674A109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354FC2C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3B46A11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4391196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482F368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2D5C4C1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0C19BF5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3159762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c>
          <w:tcPr>
            <w:tcW w:w="415" w:type="pct"/>
            <w:vAlign w:val="center"/>
          </w:tcPr>
          <w:p w14:paraId="56BBCFA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49</w:t>
            </w:r>
          </w:p>
        </w:tc>
        <w:tc>
          <w:tcPr>
            <w:tcW w:w="530" w:type="pct"/>
            <w:vMerge w:val="continue"/>
            <w:vAlign w:val="center"/>
          </w:tcPr>
          <w:p w14:paraId="375735C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631A0B6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14007D4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10</w:t>
            </w:r>
          </w:p>
        </w:tc>
        <w:tc>
          <w:tcPr>
            <w:tcW w:w="257" w:type="pct"/>
            <w:vAlign w:val="center"/>
          </w:tcPr>
          <w:p w14:paraId="52CC270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西</w:t>
            </w:r>
          </w:p>
        </w:tc>
      </w:tr>
      <w:tr w14:paraId="663818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23" w:type="pct"/>
            <w:vMerge w:val="continue"/>
            <w:vAlign w:val="center"/>
          </w:tcPr>
          <w:p w14:paraId="18A2979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62" w:type="pct"/>
            <w:vMerge w:val="continue"/>
            <w:vAlign w:val="center"/>
          </w:tcPr>
          <w:p w14:paraId="2036E98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574" w:type="pct"/>
            <w:vMerge w:val="continue"/>
            <w:vAlign w:val="center"/>
          </w:tcPr>
          <w:p w14:paraId="711406E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48" w:type="pct"/>
            <w:vMerge w:val="continue"/>
            <w:vAlign w:val="center"/>
          </w:tcPr>
          <w:p w14:paraId="0830D6A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338" w:type="pct"/>
            <w:vMerge w:val="continue"/>
            <w:vAlign w:val="center"/>
          </w:tcPr>
          <w:p w14:paraId="3347130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52" w:type="pct"/>
            <w:vMerge w:val="continue"/>
            <w:vAlign w:val="center"/>
          </w:tcPr>
          <w:p w14:paraId="6B498FA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Merge w:val="continue"/>
            <w:vAlign w:val="center"/>
          </w:tcPr>
          <w:p w14:paraId="3D056CD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48" w:type="pct"/>
            <w:vMerge w:val="continue"/>
            <w:vAlign w:val="center"/>
          </w:tcPr>
          <w:p w14:paraId="7C53F1A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68" w:type="pct"/>
            <w:vAlign w:val="center"/>
          </w:tcPr>
          <w:p w14:paraId="6E49C2B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c>
          <w:tcPr>
            <w:tcW w:w="415" w:type="pct"/>
            <w:vAlign w:val="center"/>
          </w:tcPr>
          <w:p w14:paraId="672EE7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w:t>
            </w:r>
          </w:p>
        </w:tc>
        <w:tc>
          <w:tcPr>
            <w:tcW w:w="530" w:type="pct"/>
            <w:vMerge w:val="continue"/>
            <w:vAlign w:val="center"/>
          </w:tcPr>
          <w:p w14:paraId="35523EB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415" w:type="pct"/>
            <w:vMerge w:val="continue"/>
            <w:vAlign w:val="center"/>
          </w:tcPr>
          <w:p w14:paraId="114A1947">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p>
        </w:tc>
        <w:tc>
          <w:tcPr>
            <w:tcW w:w="285" w:type="pct"/>
            <w:vAlign w:val="center"/>
          </w:tcPr>
          <w:p w14:paraId="6B2DF98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50</w:t>
            </w:r>
          </w:p>
        </w:tc>
        <w:tc>
          <w:tcPr>
            <w:tcW w:w="257" w:type="pct"/>
            <w:vAlign w:val="center"/>
          </w:tcPr>
          <w:p w14:paraId="275B2E9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北</w:t>
            </w:r>
          </w:p>
        </w:tc>
      </w:tr>
    </w:tbl>
    <w:p w14:paraId="229E5952">
      <w:pPr>
        <w:spacing w:line="360" w:lineRule="auto"/>
        <w:rPr>
          <w:rFonts w:hint="default" w:ascii="Times New Roman" w:hAnsi="Times New Roman" w:eastAsia="宋体" w:cs="Times New Roman"/>
        </w:rPr>
      </w:pPr>
      <w:r>
        <w:rPr>
          <w:rFonts w:hint="default" w:ascii="Times New Roman" w:hAnsi="Times New Roman" w:eastAsia="宋体" w:cs="Times New Roman"/>
        </w:rPr>
        <w:t>备注：①本项目厂房为框架结构，厂房隔声量计为15dB（A），则插入损失为15+6=21dB（A）；②厂区设备采取减振、消声等降噪措施，源强削减量为5~10dB（A）。</w:t>
      </w:r>
    </w:p>
    <w:p w14:paraId="24C3378B">
      <w:pPr>
        <w:pStyle w:val="4"/>
        <w:spacing w:before="0" w:after="0" w:line="360" w:lineRule="auto"/>
        <w:rPr>
          <w:rFonts w:hint="default" w:ascii="Times New Roman" w:hAnsi="Times New Roman" w:eastAsia="宋体" w:cs="Times New Roman"/>
          <w:sz w:val="28"/>
        </w:rPr>
      </w:pPr>
      <w:bookmarkStart w:id="333" w:name="_Toc335638560"/>
      <w:bookmarkStart w:id="334" w:name="_Toc335638245"/>
      <w:r>
        <w:rPr>
          <w:rFonts w:hint="default" w:ascii="Times New Roman" w:hAnsi="Times New Roman" w:eastAsia="宋体" w:cs="Times New Roman"/>
          <w:sz w:val="28"/>
        </w:rPr>
        <w:t>7.4.2噪声预测结果及影响分析</w:t>
      </w:r>
      <w:bookmarkEnd w:id="333"/>
      <w:bookmarkEnd w:id="334"/>
    </w:p>
    <w:p w14:paraId="5B1C1D95">
      <w:pPr>
        <w:topLinePunct/>
        <w:spacing w:line="360" w:lineRule="auto"/>
        <w:ind w:firstLine="48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本项目厂界外200m范围内无声环境保护目标，评价仅对厂界达标情况进行预测。噪声预测结果如下。</w:t>
      </w:r>
    </w:p>
    <w:p w14:paraId="139F41D9">
      <w:pPr>
        <w:widowControl/>
        <w:spacing w:line="360" w:lineRule="auto"/>
        <w:jc w:val="center"/>
        <w:rPr>
          <w:rFonts w:hint="default" w:ascii="Times New Roman" w:hAnsi="Times New Roman" w:eastAsia="宋体" w:cs="Times New Roman"/>
          <w:b/>
        </w:rPr>
      </w:pPr>
      <w:r>
        <w:rPr>
          <w:rFonts w:hint="default" w:ascii="Times New Roman" w:hAnsi="Times New Roman" w:eastAsia="宋体" w:cs="Times New Roman"/>
          <w:b/>
        </w:rPr>
        <w:t>表7.4-2  预测基本参数及预测结果</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460"/>
        <w:gridCol w:w="1492"/>
        <w:gridCol w:w="1382"/>
        <w:gridCol w:w="1895"/>
        <w:gridCol w:w="1889"/>
      </w:tblGrid>
      <w:tr w14:paraId="18A2F8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9" w:type="pct"/>
            <w:vMerge w:val="restart"/>
            <w:vAlign w:val="center"/>
          </w:tcPr>
          <w:p w14:paraId="0731A0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预测点位</w:t>
            </w:r>
          </w:p>
        </w:tc>
        <w:tc>
          <w:tcPr>
            <w:tcW w:w="1576" w:type="pct"/>
            <w:gridSpan w:val="2"/>
            <w:vAlign w:val="center"/>
          </w:tcPr>
          <w:p w14:paraId="433813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预测贡献值</w:t>
            </w:r>
          </w:p>
        </w:tc>
        <w:tc>
          <w:tcPr>
            <w:tcW w:w="2075" w:type="pct"/>
            <w:gridSpan w:val="2"/>
            <w:vAlign w:val="center"/>
          </w:tcPr>
          <w:p w14:paraId="1E7901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超标和达标情况</w:t>
            </w:r>
          </w:p>
        </w:tc>
      </w:tr>
      <w:tr w14:paraId="5214B8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9" w:type="pct"/>
            <w:vMerge w:val="continue"/>
            <w:vAlign w:val="center"/>
          </w:tcPr>
          <w:p w14:paraId="2940861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rPr>
            </w:pPr>
          </w:p>
        </w:tc>
        <w:tc>
          <w:tcPr>
            <w:tcW w:w="818" w:type="pct"/>
            <w:vAlign w:val="center"/>
          </w:tcPr>
          <w:p w14:paraId="607CA9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rPr>
              <w:t>昼间</w:t>
            </w:r>
          </w:p>
        </w:tc>
        <w:tc>
          <w:tcPr>
            <w:tcW w:w="758" w:type="pct"/>
            <w:vAlign w:val="center"/>
          </w:tcPr>
          <w:p w14:paraId="13DD8A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szCs w:val="21"/>
              </w:rPr>
            </w:pPr>
            <w:r>
              <w:rPr>
                <w:rFonts w:hint="default" w:ascii="Times New Roman" w:hAnsi="Times New Roman" w:eastAsia="宋体" w:cs="Times New Roman"/>
                <w:b/>
                <w:bCs/>
              </w:rPr>
              <w:t>夜间</w:t>
            </w:r>
          </w:p>
        </w:tc>
        <w:tc>
          <w:tcPr>
            <w:tcW w:w="1039" w:type="pct"/>
            <w:vAlign w:val="center"/>
          </w:tcPr>
          <w:p w14:paraId="7C23DE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昼间</w:t>
            </w:r>
          </w:p>
        </w:tc>
        <w:tc>
          <w:tcPr>
            <w:tcW w:w="1036" w:type="pct"/>
            <w:vAlign w:val="center"/>
          </w:tcPr>
          <w:p w14:paraId="2E42E1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夜间</w:t>
            </w:r>
          </w:p>
        </w:tc>
      </w:tr>
      <w:tr w14:paraId="51AC8A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9" w:type="pct"/>
            <w:vAlign w:val="center"/>
          </w:tcPr>
          <w:p w14:paraId="556CA5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东侧</w:t>
            </w:r>
          </w:p>
        </w:tc>
        <w:tc>
          <w:tcPr>
            <w:tcW w:w="818" w:type="pct"/>
            <w:vAlign w:val="center"/>
          </w:tcPr>
          <w:p w14:paraId="362D540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szCs w:val="21"/>
              </w:rPr>
              <w:t>56.2</w:t>
            </w:r>
          </w:p>
        </w:tc>
        <w:tc>
          <w:tcPr>
            <w:tcW w:w="758" w:type="pct"/>
            <w:vAlign w:val="center"/>
          </w:tcPr>
          <w:p w14:paraId="3930AC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43.2</w:t>
            </w:r>
          </w:p>
        </w:tc>
        <w:tc>
          <w:tcPr>
            <w:tcW w:w="1039" w:type="pct"/>
            <w:vAlign w:val="center"/>
          </w:tcPr>
          <w:p w14:paraId="7C58BF2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达标</w:t>
            </w:r>
          </w:p>
        </w:tc>
        <w:tc>
          <w:tcPr>
            <w:tcW w:w="1036" w:type="pct"/>
            <w:vAlign w:val="center"/>
          </w:tcPr>
          <w:p w14:paraId="6BAEB34B">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达标</w:t>
            </w:r>
          </w:p>
        </w:tc>
      </w:tr>
      <w:tr w14:paraId="5B0DE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9" w:type="pct"/>
            <w:vAlign w:val="center"/>
          </w:tcPr>
          <w:p w14:paraId="28D07A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南侧</w:t>
            </w:r>
          </w:p>
        </w:tc>
        <w:tc>
          <w:tcPr>
            <w:tcW w:w="818" w:type="pct"/>
            <w:vAlign w:val="center"/>
          </w:tcPr>
          <w:p w14:paraId="38F69AA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szCs w:val="21"/>
              </w:rPr>
              <w:t>56.1</w:t>
            </w:r>
          </w:p>
        </w:tc>
        <w:tc>
          <w:tcPr>
            <w:tcW w:w="758" w:type="pct"/>
            <w:vAlign w:val="center"/>
          </w:tcPr>
          <w:p w14:paraId="2941BDB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43.1</w:t>
            </w:r>
          </w:p>
        </w:tc>
        <w:tc>
          <w:tcPr>
            <w:tcW w:w="1039" w:type="pct"/>
            <w:vAlign w:val="center"/>
          </w:tcPr>
          <w:p w14:paraId="3BCD0A2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达标</w:t>
            </w:r>
          </w:p>
        </w:tc>
        <w:tc>
          <w:tcPr>
            <w:tcW w:w="1036" w:type="pct"/>
            <w:vAlign w:val="center"/>
          </w:tcPr>
          <w:p w14:paraId="69467A8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达标</w:t>
            </w:r>
          </w:p>
        </w:tc>
      </w:tr>
      <w:tr w14:paraId="78B804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9" w:type="pct"/>
            <w:vAlign w:val="center"/>
          </w:tcPr>
          <w:p w14:paraId="060F9F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西侧</w:t>
            </w:r>
          </w:p>
        </w:tc>
        <w:tc>
          <w:tcPr>
            <w:tcW w:w="818" w:type="pct"/>
            <w:vAlign w:val="center"/>
          </w:tcPr>
          <w:p w14:paraId="477325F8">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55.1</w:t>
            </w:r>
          </w:p>
        </w:tc>
        <w:tc>
          <w:tcPr>
            <w:tcW w:w="758" w:type="pct"/>
            <w:vAlign w:val="center"/>
          </w:tcPr>
          <w:p w14:paraId="1D8FED2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42.9</w:t>
            </w:r>
          </w:p>
        </w:tc>
        <w:tc>
          <w:tcPr>
            <w:tcW w:w="1039" w:type="pct"/>
            <w:vAlign w:val="center"/>
          </w:tcPr>
          <w:p w14:paraId="1EC55DB1">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达标</w:t>
            </w:r>
          </w:p>
        </w:tc>
        <w:tc>
          <w:tcPr>
            <w:tcW w:w="1036" w:type="pct"/>
            <w:vAlign w:val="center"/>
          </w:tcPr>
          <w:p w14:paraId="0243C08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达标</w:t>
            </w:r>
          </w:p>
        </w:tc>
      </w:tr>
      <w:tr w14:paraId="13BB4F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349" w:type="pct"/>
            <w:vAlign w:val="center"/>
          </w:tcPr>
          <w:p w14:paraId="59C9DF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北侧</w:t>
            </w:r>
          </w:p>
        </w:tc>
        <w:tc>
          <w:tcPr>
            <w:tcW w:w="818" w:type="pct"/>
            <w:vAlign w:val="center"/>
          </w:tcPr>
          <w:p w14:paraId="088EE896">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szCs w:val="21"/>
              </w:rPr>
              <w:t>56.1</w:t>
            </w:r>
          </w:p>
        </w:tc>
        <w:tc>
          <w:tcPr>
            <w:tcW w:w="758" w:type="pct"/>
            <w:vAlign w:val="center"/>
          </w:tcPr>
          <w:p w14:paraId="78597C2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42.8</w:t>
            </w:r>
          </w:p>
        </w:tc>
        <w:tc>
          <w:tcPr>
            <w:tcW w:w="1039" w:type="pct"/>
            <w:vAlign w:val="center"/>
          </w:tcPr>
          <w:p w14:paraId="037F7AD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达标</w:t>
            </w:r>
          </w:p>
        </w:tc>
        <w:tc>
          <w:tcPr>
            <w:tcW w:w="1036" w:type="pct"/>
            <w:vAlign w:val="center"/>
          </w:tcPr>
          <w:p w14:paraId="52E41E7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达标</w:t>
            </w:r>
          </w:p>
        </w:tc>
      </w:tr>
    </w:tbl>
    <w:p w14:paraId="6026AF53">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由上表的预计结果可知，项目各侧厂界噪声贡献值能够满足《工业企业厂界环境噪声排放标准》</w:t>
      </w:r>
      <w:r>
        <w:rPr>
          <w:rFonts w:hint="default" w:ascii="Times New Roman" w:hAnsi="Times New Roman" w:eastAsia="宋体" w:cs="Times New Roman"/>
          <w:sz w:val="24"/>
        </w:rPr>
        <w:t>（GB12348-2008）</w:t>
      </w:r>
      <w:r>
        <w:rPr>
          <w:rFonts w:hint="default" w:ascii="Times New Roman" w:hAnsi="Times New Roman" w:eastAsia="宋体" w:cs="Times New Roman"/>
          <w:sz w:val="24"/>
          <w:szCs w:val="24"/>
        </w:rPr>
        <w:t>中的3类标准（昼间65、夜间55）要求，本项目噪声经墙体隔声、距离衰减后对周边环境影响不大。</w:t>
      </w:r>
    </w:p>
    <w:p w14:paraId="6D0C61D0">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为减少营运期噪声的不利影响，环评提出以下噪声防治措施：</w:t>
      </w:r>
    </w:p>
    <w:p w14:paraId="0BBEFD6C">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1）加强设备的维护保养，确保设备处于良好的运转状态，杜绝因设备不正常运行时产生的高噪声。</w:t>
      </w:r>
    </w:p>
    <w:p w14:paraId="52532E1D">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2）车间内合理布局，重视总平面布置，生产时尽量减少门窗的开启频率，以降低噪声的传播和干扰。高噪声设备尽量远离车间门窗，必要时设置隔声罩或隔声间。</w:t>
      </w:r>
    </w:p>
    <w:p w14:paraId="3CA80966">
      <w:pPr>
        <w:widowControl/>
        <w:spacing w:line="360" w:lineRule="auto"/>
        <w:ind w:firstLine="482"/>
        <w:jc w:val="left"/>
        <w:rPr>
          <w:rFonts w:hint="default" w:ascii="Times New Roman" w:hAnsi="Times New Roman" w:eastAsia="宋体" w:cs="Times New Roman"/>
          <w:sz w:val="24"/>
        </w:rPr>
      </w:pPr>
      <w:r>
        <w:rPr>
          <w:rFonts w:hint="default" w:ascii="Times New Roman" w:hAnsi="Times New Roman" w:eastAsia="宋体" w:cs="Times New Roman"/>
          <w:sz w:val="24"/>
          <w:szCs w:val="24"/>
        </w:rPr>
        <w:t>3）对排风管道采取消声</w:t>
      </w:r>
      <w:r>
        <w:rPr>
          <w:rFonts w:hint="default" w:ascii="Times New Roman" w:hAnsi="Times New Roman" w:eastAsia="宋体" w:cs="Times New Roman"/>
          <w:sz w:val="24"/>
          <w:szCs w:val="24"/>
          <w:lang w:eastAsia="zh-CN"/>
        </w:rPr>
        <w:t>减振措施</w:t>
      </w:r>
      <w:r>
        <w:rPr>
          <w:rFonts w:hint="default" w:ascii="Times New Roman" w:hAnsi="Times New Roman" w:eastAsia="宋体" w:cs="Times New Roman"/>
          <w:sz w:val="24"/>
          <w:szCs w:val="24"/>
        </w:rPr>
        <w:t>（如管道阻尼包扎工作、管道连接处采用软连接，管道与基础、墙体连接处加装减振垫，进出口处加装消音器），并在墙上进行加固，减少因风机噪声和管道振动引起的低频噪声对周围环境和自身的影响。</w:t>
      </w:r>
    </w:p>
    <w:p w14:paraId="523F7738">
      <w:pPr>
        <w:pStyle w:val="3"/>
        <w:spacing w:before="0" w:after="0" w:line="360" w:lineRule="auto"/>
        <w:jc w:val="left"/>
        <w:rPr>
          <w:rFonts w:hint="default" w:ascii="Times New Roman" w:hAnsi="Times New Roman" w:eastAsia="宋体" w:cs="Times New Roman"/>
          <w:kern w:val="0"/>
          <w:sz w:val="30"/>
          <w:szCs w:val="28"/>
        </w:rPr>
      </w:pPr>
      <w:bookmarkStart w:id="335" w:name="_Toc26765"/>
      <w:bookmarkStart w:id="336" w:name="_Toc106961903"/>
      <w:bookmarkStart w:id="337" w:name="_Toc117856764"/>
      <w:r>
        <w:rPr>
          <w:rFonts w:hint="default" w:ascii="Times New Roman" w:hAnsi="Times New Roman" w:eastAsia="宋体" w:cs="Times New Roman"/>
          <w:kern w:val="0"/>
          <w:sz w:val="30"/>
          <w:szCs w:val="28"/>
        </w:rPr>
        <w:t>7.5固废影响分析</w:t>
      </w:r>
      <w:bookmarkEnd w:id="335"/>
      <w:bookmarkEnd w:id="336"/>
      <w:bookmarkEnd w:id="337"/>
    </w:p>
    <w:p w14:paraId="5DB0957C">
      <w:pPr>
        <w:pStyle w:val="4"/>
        <w:spacing w:before="0" w:after="0" w:line="360" w:lineRule="auto"/>
        <w:rPr>
          <w:rFonts w:hint="default" w:ascii="Times New Roman" w:hAnsi="Times New Roman" w:eastAsia="宋体" w:cs="Times New Roman"/>
          <w:sz w:val="28"/>
        </w:rPr>
      </w:pPr>
      <w:bookmarkStart w:id="338" w:name="_Toc18846778"/>
      <w:r>
        <w:rPr>
          <w:rFonts w:hint="default" w:ascii="Times New Roman" w:hAnsi="Times New Roman" w:eastAsia="宋体" w:cs="Times New Roman"/>
          <w:sz w:val="28"/>
        </w:rPr>
        <w:t>7.5.1分类处置</w:t>
      </w:r>
      <w:bookmarkEnd w:id="338"/>
    </w:p>
    <w:p w14:paraId="6F3B36FD">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本项目产生的固体废物主要包括：废包装容器及废金属机油滤芯综合利用过程产生的固废主要有废残液、</w:t>
      </w:r>
      <w:r>
        <w:rPr>
          <w:rFonts w:hint="default" w:ascii="Times New Roman" w:hAnsi="Times New Roman" w:eastAsia="宋体" w:cs="Times New Roman"/>
          <w:sz w:val="24"/>
          <w:szCs w:val="21"/>
          <w:lang w:val="en-US" w:eastAsia="zh-CN"/>
        </w:rPr>
        <w:t>铅蓄电池泄漏的电解液</w:t>
      </w:r>
      <w:r>
        <w:rPr>
          <w:rFonts w:hint="default" w:ascii="Times New Roman" w:hAnsi="Times New Roman" w:eastAsia="宋体" w:cs="Times New Roman"/>
          <w:sz w:val="24"/>
          <w:szCs w:val="21"/>
          <w:lang w:eastAsia="zh-CN"/>
        </w:rPr>
        <w:t>、</w:t>
      </w:r>
      <w:r>
        <w:rPr>
          <w:rFonts w:hint="default" w:ascii="Times New Roman" w:hAnsi="Times New Roman" w:eastAsia="宋体" w:cs="Times New Roman"/>
          <w:sz w:val="24"/>
          <w:szCs w:val="21"/>
        </w:rPr>
        <w:t>废滤纸、废渣、废活性炭、废矿物油、废油桶、废弃的含油抹布和劳保用品，员工生活垃圾。</w:t>
      </w:r>
    </w:p>
    <w:p w14:paraId="544636C9">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本项目生产过程中产生的危险废物为废残液、</w:t>
      </w:r>
      <w:r>
        <w:rPr>
          <w:rFonts w:hint="default" w:ascii="Times New Roman" w:hAnsi="Times New Roman" w:eastAsia="宋体" w:cs="Times New Roman"/>
          <w:sz w:val="24"/>
          <w:szCs w:val="21"/>
          <w:lang w:val="en-US" w:eastAsia="zh-CN"/>
        </w:rPr>
        <w:t>铅蓄电池泄漏的电解液、</w:t>
      </w:r>
      <w:r>
        <w:rPr>
          <w:rFonts w:hint="default" w:ascii="Times New Roman" w:hAnsi="Times New Roman" w:eastAsia="宋体" w:cs="Times New Roman"/>
          <w:sz w:val="24"/>
          <w:szCs w:val="21"/>
        </w:rPr>
        <w:t>废滤纸、废渣、废活性炭、废矿物油、废油桶、废弃的含油抹布和劳保用品，拟用专用容器/包装物收集后，分类暂存于专用的危险废物贮存库，定期交由有下游危废资质单位处置。项目拟建的危废贮存库面积</w:t>
      </w:r>
      <w:r>
        <w:rPr>
          <w:rFonts w:hint="default" w:ascii="Times New Roman" w:hAnsi="Times New Roman" w:eastAsia="宋体" w:cs="Times New Roman"/>
          <w:sz w:val="24"/>
          <w:szCs w:val="21"/>
          <w:lang w:eastAsia="zh-CN"/>
        </w:rPr>
        <w:t>5051.44</w:t>
      </w:r>
      <w:r>
        <w:rPr>
          <w:rFonts w:hint="default" w:ascii="Times New Roman" w:hAnsi="Times New Roman" w:eastAsia="宋体" w:cs="Times New Roman"/>
          <w:sz w:val="24"/>
          <w:szCs w:val="21"/>
        </w:rPr>
        <w:t>m</w:t>
      </w:r>
      <w:r>
        <w:rPr>
          <w:rFonts w:hint="default" w:ascii="Times New Roman" w:hAnsi="Times New Roman" w:eastAsia="宋体" w:cs="Times New Roman"/>
          <w:sz w:val="24"/>
          <w:szCs w:val="21"/>
          <w:vertAlign w:val="superscript"/>
        </w:rPr>
        <w:t>2</w:t>
      </w:r>
      <w:r>
        <w:rPr>
          <w:rFonts w:hint="default" w:ascii="Times New Roman" w:hAnsi="Times New Roman" w:eastAsia="宋体" w:cs="Times New Roman"/>
          <w:sz w:val="24"/>
          <w:szCs w:val="21"/>
        </w:rPr>
        <w:t>，建设单位将按照《危险废物贮存污染控制标准》（GB18597-2023）单相关要求进行设计、建设危废暂存库，做到防渗、防风、防雨、防晒要求。危险废物拟委托有资质单位处置，严格按照《危险废物转移联单管理办法》填写危险废物转移联单。</w:t>
      </w:r>
    </w:p>
    <w:p w14:paraId="1C2EFA56">
      <w:pPr>
        <w:pStyle w:val="4"/>
        <w:spacing w:before="0" w:after="0" w:line="360" w:lineRule="auto"/>
        <w:rPr>
          <w:rFonts w:hint="default" w:ascii="Times New Roman" w:hAnsi="Times New Roman" w:eastAsia="宋体" w:cs="Times New Roman"/>
        </w:rPr>
      </w:pPr>
      <w:bookmarkStart w:id="339" w:name="_Toc18846779"/>
      <w:r>
        <w:rPr>
          <w:rFonts w:hint="default" w:ascii="Times New Roman" w:hAnsi="Times New Roman" w:eastAsia="宋体" w:cs="Times New Roman"/>
        </w:rPr>
        <w:t>7.5.2</w:t>
      </w:r>
      <w:bookmarkEnd w:id="339"/>
      <w:r>
        <w:rPr>
          <w:rFonts w:hint="default" w:ascii="Times New Roman" w:hAnsi="Times New Roman" w:eastAsia="宋体" w:cs="Times New Roman"/>
        </w:rPr>
        <w:t>危险废物贮存场所环境影响分析</w:t>
      </w:r>
    </w:p>
    <w:p w14:paraId="7011EA24">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固体废物在外运处置前，应分类放入按照危废贮存要求建设的暂存区域内，避免下雨冲刷，污染环境，并做好防渗措施，避免因雨水淋溶而污染区域地表水和地下水，为防止危险废物污染地下水和土壤环境，项目方拟按《危险废物贮存污染控制标准》（GB18597-2023）的要求在A栋车间的南侧设置危废贮存库，库容可满足至项目生产过程中产生的危废暂存需求。各类危废拟采用具有内衬塑料袋的编织袋或桶包装后分区堆放，库房密闭，防风、防雨和防晒，暂存库周围设置围堰，地面作防腐防渗处理，地面采用水泥硬化，铺设防渗防腐措施。在严格以上处置措施的前提下，本项目危险废物对周围环境影响较小。在储存时必须按照《危险废物贮存污染控制标准》（GB18597-2023）的相关要求设置。项目危险废物暂存场所基本情况见表7.5-1。</w:t>
      </w:r>
    </w:p>
    <w:p w14:paraId="086BE06D">
      <w:pPr>
        <w:spacing w:line="360" w:lineRule="auto"/>
        <w:jc w:val="center"/>
        <w:rPr>
          <w:rFonts w:hint="default" w:ascii="Times New Roman" w:hAnsi="Times New Roman" w:eastAsia="宋体" w:cs="Times New Roman"/>
          <w:b/>
          <w:bCs/>
          <w:szCs w:val="18"/>
        </w:rPr>
      </w:pPr>
      <w:r>
        <w:rPr>
          <w:rFonts w:hint="default" w:ascii="Times New Roman" w:hAnsi="Times New Roman" w:eastAsia="宋体" w:cs="Times New Roman"/>
          <w:b/>
          <w:bCs/>
          <w:szCs w:val="18"/>
        </w:rPr>
        <w:t>表7.5-1  项目危险废物贮存场所（设施）基本情况表</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521"/>
        <w:gridCol w:w="1199"/>
        <w:gridCol w:w="1452"/>
        <w:gridCol w:w="1591"/>
        <w:gridCol w:w="1719"/>
        <w:gridCol w:w="706"/>
        <w:gridCol w:w="1130"/>
        <w:gridCol w:w="800"/>
      </w:tblGrid>
      <w:tr w14:paraId="112131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64" w:hRule="atLeast"/>
        </w:trPr>
        <w:tc>
          <w:tcPr>
            <w:tcW w:w="0" w:type="auto"/>
            <w:vAlign w:val="center"/>
          </w:tcPr>
          <w:p w14:paraId="440363E4">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序号</w:t>
            </w:r>
          </w:p>
        </w:tc>
        <w:tc>
          <w:tcPr>
            <w:tcW w:w="0" w:type="auto"/>
            <w:vAlign w:val="center"/>
          </w:tcPr>
          <w:p w14:paraId="5E36A135">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贮存场所（设施）</w:t>
            </w:r>
          </w:p>
          <w:p w14:paraId="2E193DA4">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名称</w:t>
            </w:r>
          </w:p>
        </w:tc>
        <w:tc>
          <w:tcPr>
            <w:tcW w:w="0" w:type="auto"/>
            <w:vAlign w:val="center"/>
          </w:tcPr>
          <w:p w14:paraId="7E80491E">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危险废物名称</w:t>
            </w:r>
          </w:p>
        </w:tc>
        <w:tc>
          <w:tcPr>
            <w:tcW w:w="0" w:type="auto"/>
            <w:vAlign w:val="center"/>
          </w:tcPr>
          <w:p w14:paraId="4F52B11F">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危险废物类别</w:t>
            </w:r>
          </w:p>
        </w:tc>
        <w:tc>
          <w:tcPr>
            <w:tcW w:w="0" w:type="auto"/>
            <w:vAlign w:val="center"/>
          </w:tcPr>
          <w:p w14:paraId="7B14A83B">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危险废物代码</w:t>
            </w:r>
          </w:p>
        </w:tc>
        <w:tc>
          <w:tcPr>
            <w:tcW w:w="0" w:type="auto"/>
            <w:vAlign w:val="center"/>
          </w:tcPr>
          <w:p w14:paraId="720299B5">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位置</w:t>
            </w:r>
          </w:p>
        </w:tc>
        <w:tc>
          <w:tcPr>
            <w:tcW w:w="0" w:type="auto"/>
            <w:vAlign w:val="center"/>
          </w:tcPr>
          <w:p w14:paraId="4485175C">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占地面积</w:t>
            </w:r>
          </w:p>
        </w:tc>
        <w:tc>
          <w:tcPr>
            <w:tcW w:w="0" w:type="auto"/>
            <w:vAlign w:val="center"/>
          </w:tcPr>
          <w:p w14:paraId="0E5793F3">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b/>
                <w:bCs/>
              </w:rPr>
            </w:pPr>
            <w:r>
              <w:rPr>
                <w:rFonts w:hint="default" w:ascii="Times New Roman" w:hAnsi="Times New Roman" w:eastAsia="宋体" w:cs="Times New Roman"/>
                <w:b/>
                <w:bCs/>
              </w:rPr>
              <w:t>贮存方式</w:t>
            </w:r>
          </w:p>
        </w:tc>
      </w:tr>
      <w:tr w14:paraId="633358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0" w:type="auto"/>
            <w:vAlign w:val="center"/>
          </w:tcPr>
          <w:p w14:paraId="27265743">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1</w:t>
            </w:r>
          </w:p>
        </w:tc>
        <w:tc>
          <w:tcPr>
            <w:tcW w:w="0" w:type="auto"/>
            <w:vMerge w:val="restart"/>
            <w:vAlign w:val="center"/>
          </w:tcPr>
          <w:p w14:paraId="2CC1D2B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危险废物贮存库</w:t>
            </w:r>
          </w:p>
        </w:tc>
        <w:tc>
          <w:tcPr>
            <w:tcW w:w="0" w:type="auto"/>
            <w:vAlign w:val="center"/>
          </w:tcPr>
          <w:p w14:paraId="1029B6D9">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废渣</w:t>
            </w:r>
          </w:p>
        </w:tc>
        <w:tc>
          <w:tcPr>
            <w:tcW w:w="0" w:type="auto"/>
            <w:vAlign w:val="center"/>
          </w:tcPr>
          <w:p w14:paraId="79CD7A7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HW08</w:t>
            </w:r>
          </w:p>
        </w:tc>
        <w:tc>
          <w:tcPr>
            <w:tcW w:w="0" w:type="auto"/>
            <w:vAlign w:val="center"/>
          </w:tcPr>
          <w:p w14:paraId="6048BC93">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900-213-08（T，I）</w:t>
            </w:r>
          </w:p>
        </w:tc>
        <w:tc>
          <w:tcPr>
            <w:tcW w:w="0" w:type="auto"/>
            <w:vMerge w:val="restart"/>
            <w:vAlign w:val="center"/>
          </w:tcPr>
          <w:p w14:paraId="349D6FCF">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厂区南侧</w:t>
            </w:r>
          </w:p>
        </w:tc>
        <w:tc>
          <w:tcPr>
            <w:tcW w:w="0" w:type="auto"/>
            <w:vMerge w:val="restart"/>
            <w:vAlign w:val="center"/>
          </w:tcPr>
          <w:p w14:paraId="4A49DF58">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lang w:eastAsia="zh-CN"/>
              </w:rPr>
              <w:t>5051.44</w:t>
            </w:r>
            <w:r>
              <w:rPr>
                <w:rFonts w:hint="default" w:ascii="Times New Roman" w:hAnsi="Times New Roman" w:eastAsia="宋体" w:cs="Times New Roman"/>
              </w:rPr>
              <w:t>m</w:t>
            </w:r>
            <w:r>
              <w:rPr>
                <w:rFonts w:hint="default" w:ascii="Times New Roman" w:hAnsi="Times New Roman" w:eastAsia="宋体" w:cs="Times New Roman"/>
                <w:vertAlign w:val="superscript"/>
              </w:rPr>
              <w:t>2</w:t>
            </w:r>
          </w:p>
        </w:tc>
        <w:tc>
          <w:tcPr>
            <w:tcW w:w="0" w:type="auto"/>
            <w:vAlign w:val="center"/>
          </w:tcPr>
          <w:p w14:paraId="180F82E6">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包装桶盛放</w:t>
            </w:r>
          </w:p>
        </w:tc>
      </w:tr>
      <w:tr w14:paraId="4529B6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0" w:type="auto"/>
            <w:vAlign w:val="center"/>
          </w:tcPr>
          <w:p w14:paraId="72B1066C">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w:t>
            </w:r>
          </w:p>
        </w:tc>
        <w:tc>
          <w:tcPr>
            <w:tcW w:w="0" w:type="auto"/>
            <w:vMerge w:val="continue"/>
            <w:vAlign w:val="center"/>
          </w:tcPr>
          <w:p w14:paraId="6E0581AF">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18DF13B5">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铅蓄电池泄漏的电解液</w:t>
            </w:r>
          </w:p>
        </w:tc>
        <w:tc>
          <w:tcPr>
            <w:tcW w:w="0" w:type="auto"/>
            <w:vAlign w:val="center"/>
          </w:tcPr>
          <w:p w14:paraId="0845EBB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lang w:val="en-US" w:eastAsia="zh-CN"/>
              </w:rPr>
            </w:pPr>
            <w:r>
              <w:rPr>
                <w:rFonts w:hint="default" w:ascii="Times New Roman" w:hAnsi="Times New Roman" w:eastAsia="宋体" w:cs="Times New Roman"/>
              </w:rPr>
              <w:t>HW</w:t>
            </w:r>
            <w:r>
              <w:rPr>
                <w:rFonts w:hint="default" w:ascii="Times New Roman" w:hAnsi="Times New Roman" w:eastAsia="宋体" w:cs="Times New Roman"/>
                <w:lang w:val="en-US" w:eastAsia="zh-CN"/>
              </w:rPr>
              <w:t>31</w:t>
            </w:r>
          </w:p>
        </w:tc>
        <w:tc>
          <w:tcPr>
            <w:tcW w:w="0" w:type="auto"/>
            <w:vAlign w:val="center"/>
          </w:tcPr>
          <w:p w14:paraId="2FF8952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900-052-31（T，I）</w:t>
            </w:r>
          </w:p>
        </w:tc>
        <w:tc>
          <w:tcPr>
            <w:tcW w:w="0" w:type="auto"/>
            <w:vMerge w:val="continue"/>
            <w:vAlign w:val="center"/>
          </w:tcPr>
          <w:p w14:paraId="38ACC36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Merge w:val="continue"/>
            <w:vAlign w:val="center"/>
          </w:tcPr>
          <w:p w14:paraId="394A401B">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lang w:eastAsia="zh-CN"/>
              </w:rPr>
            </w:pPr>
          </w:p>
        </w:tc>
        <w:tc>
          <w:tcPr>
            <w:tcW w:w="0" w:type="auto"/>
            <w:vAlign w:val="center"/>
          </w:tcPr>
          <w:p w14:paraId="7F571B16">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包装桶盛放</w:t>
            </w:r>
          </w:p>
        </w:tc>
      </w:tr>
      <w:tr w14:paraId="6F0A8D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0" w:type="auto"/>
            <w:vAlign w:val="center"/>
          </w:tcPr>
          <w:p w14:paraId="2ADCBD73">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3</w:t>
            </w:r>
          </w:p>
        </w:tc>
        <w:tc>
          <w:tcPr>
            <w:tcW w:w="0" w:type="auto"/>
            <w:vMerge w:val="continue"/>
            <w:vAlign w:val="center"/>
          </w:tcPr>
          <w:p w14:paraId="2208045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0152B384">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废残液</w:t>
            </w:r>
          </w:p>
        </w:tc>
        <w:tc>
          <w:tcPr>
            <w:tcW w:w="0" w:type="auto"/>
            <w:vAlign w:val="center"/>
          </w:tcPr>
          <w:p w14:paraId="1CEF210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HW06 HW08 HW12 HW13</w:t>
            </w:r>
          </w:p>
        </w:tc>
        <w:tc>
          <w:tcPr>
            <w:tcW w:w="0" w:type="auto"/>
            <w:vAlign w:val="center"/>
          </w:tcPr>
          <w:p w14:paraId="0CD4D118">
            <w:pPr>
              <w:pStyle w:val="60"/>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900-404-06（T，I，R）</w:t>
            </w:r>
          </w:p>
          <w:p w14:paraId="2BE27831">
            <w:pPr>
              <w:pStyle w:val="60"/>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900-249-08（T，I）</w:t>
            </w:r>
          </w:p>
          <w:p w14:paraId="1A35AEEF">
            <w:pPr>
              <w:pStyle w:val="60"/>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rPr>
            </w:pPr>
            <w:r>
              <w:rPr>
                <w:rFonts w:hint="default" w:ascii="Times New Roman" w:hAnsi="Times New Roman" w:eastAsia="宋体" w:cs="Times New Roman"/>
                <w:sz w:val="21"/>
              </w:rPr>
              <w:t>900-256-12（T，I，C）</w:t>
            </w:r>
          </w:p>
          <w:p w14:paraId="182AE41E">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900-016-13（T）</w:t>
            </w:r>
          </w:p>
        </w:tc>
        <w:tc>
          <w:tcPr>
            <w:tcW w:w="0" w:type="auto"/>
            <w:vMerge w:val="continue"/>
            <w:vAlign w:val="center"/>
          </w:tcPr>
          <w:p w14:paraId="1B01EEA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Merge w:val="continue"/>
            <w:vAlign w:val="center"/>
          </w:tcPr>
          <w:p w14:paraId="31C13796">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0015B413">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包装桶盛放</w:t>
            </w:r>
          </w:p>
        </w:tc>
      </w:tr>
      <w:tr w14:paraId="1059B0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0" w:type="auto"/>
            <w:vAlign w:val="center"/>
          </w:tcPr>
          <w:p w14:paraId="55146AF0">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4</w:t>
            </w:r>
          </w:p>
        </w:tc>
        <w:tc>
          <w:tcPr>
            <w:tcW w:w="0" w:type="auto"/>
            <w:vMerge w:val="continue"/>
            <w:vAlign w:val="center"/>
          </w:tcPr>
          <w:p w14:paraId="3B633C40">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0C4DEAF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废滤纸</w:t>
            </w:r>
          </w:p>
        </w:tc>
        <w:tc>
          <w:tcPr>
            <w:tcW w:w="0" w:type="auto"/>
            <w:vAlign w:val="center"/>
          </w:tcPr>
          <w:p w14:paraId="6EAED22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HW08</w:t>
            </w:r>
          </w:p>
        </w:tc>
        <w:tc>
          <w:tcPr>
            <w:tcW w:w="0" w:type="auto"/>
            <w:vAlign w:val="center"/>
          </w:tcPr>
          <w:p w14:paraId="197B2F06">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900-249-08（T，I）</w:t>
            </w:r>
          </w:p>
        </w:tc>
        <w:tc>
          <w:tcPr>
            <w:tcW w:w="0" w:type="auto"/>
            <w:vMerge w:val="continue"/>
            <w:vAlign w:val="center"/>
          </w:tcPr>
          <w:p w14:paraId="5EBF851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Merge w:val="continue"/>
            <w:vAlign w:val="center"/>
          </w:tcPr>
          <w:p w14:paraId="24BCEA06">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1DE165F3">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直接贮存</w:t>
            </w:r>
          </w:p>
        </w:tc>
      </w:tr>
      <w:tr w14:paraId="327188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0" w:type="auto"/>
            <w:vAlign w:val="center"/>
          </w:tcPr>
          <w:p w14:paraId="4B3954DE">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5</w:t>
            </w:r>
          </w:p>
        </w:tc>
        <w:tc>
          <w:tcPr>
            <w:tcW w:w="0" w:type="auto"/>
            <w:vMerge w:val="continue"/>
            <w:vAlign w:val="center"/>
          </w:tcPr>
          <w:p w14:paraId="6B80D87D">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7D8ACE9A">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废活性炭</w:t>
            </w:r>
          </w:p>
        </w:tc>
        <w:tc>
          <w:tcPr>
            <w:tcW w:w="0" w:type="auto"/>
            <w:vAlign w:val="center"/>
          </w:tcPr>
          <w:p w14:paraId="6391E0A9">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HW49</w:t>
            </w:r>
          </w:p>
        </w:tc>
        <w:tc>
          <w:tcPr>
            <w:tcW w:w="0" w:type="auto"/>
            <w:vAlign w:val="center"/>
          </w:tcPr>
          <w:p w14:paraId="142E2E04">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900-039-49（T）</w:t>
            </w:r>
          </w:p>
        </w:tc>
        <w:tc>
          <w:tcPr>
            <w:tcW w:w="0" w:type="auto"/>
            <w:vMerge w:val="continue"/>
            <w:vAlign w:val="center"/>
          </w:tcPr>
          <w:p w14:paraId="79F1473E">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Merge w:val="continue"/>
            <w:vAlign w:val="center"/>
          </w:tcPr>
          <w:p w14:paraId="5E7E9CAF">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7C248430">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直接贮存</w:t>
            </w:r>
          </w:p>
        </w:tc>
      </w:tr>
      <w:tr w14:paraId="5EFE601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0" w:type="auto"/>
            <w:vAlign w:val="center"/>
          </w:tcPr>
          <w:p w14:paraId="62A09B2C">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6</w:t>
            </w:r>
          </w:p>
        </w:tc>
        <w:tc>
          <w:tcPr>
            <w:tcW w:w="0" w:type="auto"/>
            <w:vMerge w:val="continue"/>
            <w:vAlign w:val="center"/>
          </w:tcPr>
          <w:p w14:paraId="2606B376">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04DF50BD">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废矿物油</w:t>
            </w:r>
          </w:p>
        </w:tc>
        <w:tc>
          <w:tcPr>
            <w:tcW w:w="0" w:type="auto"/>
            <w:vAlign w:val="center"/>
          </w:tcPr>
          <w:p w14:paraId="17963425">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HW08</w:t>
            </w:r>
          </w:p>
        </w:tc>
        <w:tc>
          <w:tcPr>
            <w:tcW w:w="0" w:type="auto"/>
            <w:vAlign w:val="center"/>
          </w:tcPr>
          <w:p w14:paraId="2B6121FB">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900-249-08（T，I）</w:t>
            </w:r>
          </w:p>
        </w:tc>
        <w:tc>
          <w:tcPr>
            <w:tcW w:w="0" w:type="auto"/>
            <w:vMerge w:val="continue"/>
            <w:vAlign w:val="center"/>
          </w:tcPr>
          <w:p w14:paraId="1BFA7326">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Merge w:val="continue"/>
            <w:vAlign w:val="center"/>
          </w:tcPr>
          <w:p w14:paraId="0521CDC2">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4729A223">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包装桶盛放</w:t>
            </w:r>
          </w:p>
        </w:tc>
      </w:tr>
      <w:tr w14:paraId="1D405D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0" w:type="auto"/>
            <w:vAlign w:val="center"/>
          </w:tcPr>
          <w:p w14:paraId="3E3BE46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7</w:t>
            </w:r>
          </w:p>
        </w:tc>
        <w:tc>
          <w:tcPr>
            <w:tcW w:w="0" w:type="auto"/>
            <w:vMerge w:val="continue"/>
            <w:vAlign w:val="center"/>
          </w:tcPr>
          <w:p w14:paraId="58B81578">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0E5DC403">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废弃的含油抹布和劳保用品</w:t>
            </w:r>
          </w:p>
        </w:tc>
        <w:tc>
          <w:tcPr>
            <w:tcW w:w="0" w:type="auto"/>
            <w:vAlign w:val="center"/>
          </w:tcPr>
          <w:p w14:paraId="213928D1">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HW49</w:t>
            </w:r>
          </w:p>
        </w:tc>
        <w:tc>
          <w:tcPr>
            <w:tcW w:w="0" w:type="auto"/>
            <w:vAlign w:val="center"/>
          </w:tcPr>
          <w:p w14:paraId="789189E8">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900-041-49（T/In）</w:t>
            </w:r>
          </w:p>
        </w:tc>
        <w:tc>
          <w:tcPr>
            <w:tcW w:w="0" w:type="auto"/>
            <w:vMerge w:val="continue"/>
            <w:vAlign w:val="center"/>
          </w:tcPr>
          <w:p w14:paraId="3F54AE68">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Merge w:val="continue"/>
            <w:vAlign w:val="center"/>
          </w:tcPr>
          <w:p w14:paraId="52A3E051">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3437EEF0">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直接贮存</w:t>
            </w:r>
          </w:p>
        </w:tc>
      </w:tr>
      <w:tr w14:paraId="6EC4C33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0" w:type="auto"/>
            <w:vAlign w:val="center"/>
          </w:tcPr>
          <w:p w14:paraId="7F7A1CB5">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8</w:t>
            </w:r>
          </w:p>
        </w:tc>
        <w:tc>
          <w:tcPr>
            <w:tcW w:w="0" w:type="auto"/>
            <w:vMerge w:val="continue"/>
            <w:vAlign w:val="center"/>
          </w:tcPr>
          <w:p w14:paraId="61A1017C">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2E95AFAC">
            <w:pPr>
              <w:keepNext w:val="0"/>
              <w:keepLines w:val="0"/>
              <w:suppressLineNumbers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废油桶</w:t>
            </w:r>
          </w:p>
        </w:tc>
        <w:tc>
          <w:tcPr>
            <w:tcW w:w="0" w:type="auto"/>
            <w:vAlign w:val="center"/>
          </w:tcPr>
          <w:p w14:paraId="63591D62">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HW08</w:t>
            </w:r>
          </w:p>
        </w:tc>
        <w:tc>
          <w:tcPr>
            <w:tcW w:w="0" w:type="auto"/>
            <w:vAlign w:val="center"/>
          </w:tcPr>
          <w:p w14:paraId="6A91C99A">
            <w:pPr>
              <w:keepNext w:val="0"/>
              <w:keepLines w:val="0"/>
              <w:widowControl/>
              <w:suppressLineNumbers w:val="0"/>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900-249-08（T，I）</w:t>
            </w:r>
          </w:p>
        </w:tc>
        <w:tc>
          <w:tcPr>
            <w:tcW w:w="0" w:type="auto"/>
            <w:vMerge w:val="continue"/>
            <w:vAlign w:val="center"/>
          </w:tcPr>
          <w:p w14:paraId="6ACD38C3">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Merge w:val="continue"/>
            <w:vAlign w:val="center"/>
          </w:tcPr>
          <w:p w14:paraId="47C57D95">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p>
        </w:tc>
        <w:tc>
          <w:tcPr>
            <w:tcW w:w="0" w:type="auto"/>
            <w:vAlign w:val="center"/>
          </w:tcPr>
          <w:p w14:paraId="6FC12E4A">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rPr>
            </w:pPr>
            <w:r>
              <w:rPr>
                <w:rFonts w:hint="default" w:ascii="Times New Roman" w:hAnsi="Times New Roman" w:eastAsia="宋体" w:cs="Times New Roman"/>
              </w:rPr>
              <w:t>直接贮存</w:t>
            </w:r>
          </w:p>
        </w:tc>
      </w:tr>
    </w:tbl>
    <w:p w14:paraId="669B6FB0">
      <w:pPr>
        <w:spacing w:line="360" w:lineRule="auto"/>
        <w:ind w:firstLine="482"/>
        <w:rPr>
          <w:rFonts w:hint="default" w:ascii="Times New Roman" w:hAnsi="Times New Roman" w:eastAsia="宋体" w:cs="Times New Roman"/>
          <w:kern w:val="0"/>
          <w:sz w:val="24"/>
        </w:rPr>
      </w:pPr>
      <w:r>
        <w:rPr>
          <w:rFonts w:hint="default" w:ascii="Times New Roman" w:hAnsi="Times New Roman" w:eastAsia="宋体" w:cs="Times New Roman"/>
          <w:kern w:val="0"/>
          <w:sz w:val="24"/>
        </w:rPr>
        <w:t>本项目对生产过程中产生危险废物的收集、运输、贮存、管理以及转运应严格按照《危险废物污染防治技术政策》、《危险废物转移联单管理办法》、《危险废物贮存污染控制标准》（GB18597-2023）和《危险废物识别标志设置技术规范（HJ 1276-2022）》实行。</w:t>
      </w:r>
    </w:p>
    <w:p w14:paraId="0115F1C3">
      <w:pPr>
        <w:spacing w:line="360" w:lineRule="auto"/>
        <w:ind w:firstLine="482"/>
        <w:rPr>
          <w:rFonts w:hint="default" w:ascii="Times New Roman" w:hAnsi="Times New Roman" w:eastAsia="宋体" w:cs="Times New Roman"/>
          <w:kern w:val="0"/>
          <w:sz w:val="24"/>
        </w:rPr>
      </w:pPr>
      <w:r>
        <w:rPr>
          <w:rFonts w:hint="default" w:ascii="Times New Roman" w:hAnsi="Times New Roman" w:eastAsia="宋体" w:cs="Times New Roman"/>
          <w:sz w:val="24"/>
          <w:szCs w:val="24"/>
        </w:rPr>
        <w:t>此外，根据《湖南省生态环境厅关于印发&lt;湖南省危险废物事中事后监管工作实施方案（试行）&gt;的通知》（湘环发〔2022〕85号）的要求，本项目应根据危险废物管理台账记录归纳总结申报期内危险废物有关情况，并通过湖南省固体废物管理信息平台向所在地生态环境主管部门申报危险废物的种类、产生量、流向贮存、利用、处置等有关资料，于每年3月31日前完成上一年度的申报；同时制定危险废物管理计划，并向所在地生态环境主管部门备案。</w:t>
      </w:r>
    </w:p>
    <w:p w14:paraId="477B94D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若本项目企业后期纳入开展危险废物远程监管的试点单位，则需在厂区内涉危险废物关键点位（包括但不限于厂区出入口、贮存库出入口、处置利用设施、产废点、磅秤等）安装视频监控设施，视频监控应当覆盖涉危险废物全过程，并与湖南省固体废物管理信息平台联网。视频文件由被监管单位保存，应保持视频记录连贯完整，不得拼接、剪辑、编辑，保存时限不少于3年。</w:t>
      </w:r>
    </w:p>
    <w:p w14:paraId="31B4A78C">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综上，项目固体废弃物能妥善落实处置途径，可做到无害化、资源化处理；危险废物在按上述</w:t>
      </w:r>
      <w:r>
        <w:rPr>
          <w:rFonts w:hint="default" w:ascii="Times New Roman" w:hAnsi="Times New Roman" w:eastAsia="宋体" w:cs="Times New Roman"/>
          <w:sz w:val="24"/>
          <w:szCs w:val="24"/>
          <w:lang w:eastAsia="zh-CN"/>
        </w:rPr>
        <w:t>要求</w:t>
      </w:r>
      <w:r>
        <w:rPr>
          <w:rFonts w:hint="default" w:ascii="Times New Roman" w:hAnsi="Times New Roman" w:eastAsia="宋体" w:cs="Times New Roman"/>
          <w:sz w:val="24"/>
          <w:szCs w:val="24"/>
        </w:rPr>
        <w:t>暂存于规范的危废暂存库并按照要求进行危废管理后，对周边环境影响不大。</w:t>
      </w:r>
    </w:p>
    <w:p w14:paraId="458AE4AD">
      <w:pPr>
        <w:pStyle w:val="3"/>
        <w:spacing w:before="0" w:after="0" w:line="360" w:lineRule="auto"/>
        <w:jc w:val="left"/>
        <w:rPr>
          <w:rFonts w:hint="default" w:ascii="Times New Roman" w:hAnsi="Times New Roman" w:eastAsia="宋体" w:cs="Times New Roman"/>
        </w:rPr>
      </w:pPr>
      <w:bookmarkStart w:id="340" w:name="_Toc26722"/>
      <w:bookmarkStart w:id="341" w:name="_Toc106961904"/>
      <w:bookmarkStart w:id="342" w:name="_Toc119413800"/>
      <w:r>
        <w:rPr>
          <w:rFonts w:hint="default" w:ascii="Times New Roman" w:hAnsi="Times New Roman" w:eastAsia="宋体" w:cs="Times New Roman"/>
          <w:kern w:val="0"/>
          <w:sz w:val="30"/>
          <w:szCs w:val="28"/>
        </w:rPr>
        <w:t>7.6地下水环境影响分析</w:t>
      </w:r>
      <w:bookmarkEnd w:id="340"/>
      <w:bookmarkEnd w:id="341"/>
      <w:bookmarkEnd w:id="342"/>
    </w:p>
    <w:p w14:paraId="43CB7B0B">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7.6.1区域工程地质条件</w:t>
      </w:r>
    </w:p>
    <w:p w14:paraId="535EDE12">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收集了湖南捷瑞化工有限公司、湖南黎达化工有限公司、湖南锦轩化工有限公司地勘报告中的水文地质资料，由于以上企业均位于松木工业园内，且在本项目地下水评价范围内，故本次环评引用以上项目地勘报告说明评价区域工程地质及水文地质情况可行。</w:t>
      </w:r>
    </w:p>
    <w:p w14:paraId="0E452F3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（1）区域地质构造 </w:t>
      </w:r>
    </w:p>
    <w:p w14:paraId="175FB668">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根据工程地质调查，拟建地未见区域性活动断裂构造分布，地层分布较稳定。</w:t>
      </w:r>
    </w:p>
    <w:p w14:paraId="798B8B2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（2）地形地貌</w:t>
      </w:r>
    </w:p>
    <w:p w14:paraId="10747B3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本项目拟建地址位于湖南省衡阳市松木经济开发区，属于湖南省中南部，东依湘江。场地属低山丘陵和丘陵间的洼地，地形起伏不大，地面标高一般介于60~110m。</w:t>
      </w:r>
    </w:p>
    <w:p w14:paraId="38863BB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（3）地层岩性</w:t>
      </w:r>
    </w:p>
    <w:p w14:paraId="2DD0D24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根据对厂区内的场地及周边其他项目的场地钻探，厂区及周边项目地层主要有第四系人工填土（Qml）、粉质粘土（Qel）、圆砾（Qal）、古近系粉砂质泥岩（E）。</w:t>
      </w:r>
    </w:p>
    <w:p w14:paraId="3370863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各地层特征依次描述如下：</w:t>
      </w:r>
    </w:p>
    <w:p w14:paraId="7F24585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①人工填土（Q4ml）：分层厚度 3.5~5m，杂色，松散，稍湿，主要组成物为碎石、碎石块等，间隙充填少量粘性土，由人工回填而成，渗透性根据其堆填土的性质及堆填的时间，差异很大，属中等透水~弱透水地层。 </w:t>
      </w:r>
    </w:p>
    <w:p w14:paraId="2E88C282">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②粉质黏土（Q4el）：分层厚度 2.3~8.8m，褐红色，软可塑——硬塑，稍湿，主要组成物为粘粒、粉粒，干强度中等，韧性一般，无摇震反应，成分不均，渗透系数 K=2.68×10</w:t>
      </w:r>
      <w:r>
        <w:rPr>
          <w:rFonts w:hint="default" w:ascii="Times New Roman" w:hAnsi="Times New Roman" w:eastAsia="宋体" w:cs="Times New Roman"/>
          <w:sz w:val="24"/>
          <w:szCs w:val="24"/>
          <w:vertAlign w:val="superscript"/>
        </w:rPr>
        <w:t>-6</w:t>
      </w:r>
      <w:r>
        <w:rPr>
          <w:rFonts w:hint="default" w:ascii="Times New Roman" w:hAnsi="Times New Roman" w:eastAsia="宋体" w:cs="Times New Roman"/>
          <w:sz w:val="24"/>
          <w:szCs w:val="24"/>
        </w:rPr>
        <w:t>~3.75×10</w:t>
      </w:r>
      <w:r>
        <w:rPr>
          <w:rFonts w:hint="default" w:ascii="Times New Roman" w:hAnsi="Times New Roman" w:eastAsia="宋体" w:cs="Times New Roman"/>
          <w:sz w:val="24"/>
          <w:szCs w:val="24"/>
          <w:vertAlign w:val="superscript"/>
        </w:rPr>
        <w:t>-5</w:t>
      </w:r>
      <w:r>
        <w:rPr>
          <w:rFonts w:hint="default" w:ascii="Times New Roman" w:hAnsi="Times New Roman" w:eastAsia="宋体" w:cs="Times New Roman"/>
          <w:sz w:val="24"/>
          <w:szCs w:val="24"/>
        </w:rPr>
        <w:t>cm/s，属弱透水~微透水性地层。</w:t>
      </w:r>
    </w:p>
    <w:p w14:paraId="1EE7C829">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 ③细砂（Q4al）：分层厚度 1.7m~3m，灰白色，稍密，潮湿。以石英、长石为主，细颗粒状，级配良好，含少量粘性土，渗透系数 K=5.79×10</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~1.16×10</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 xml:space="preserve">cm/s，属强透水性地层。 </w:t>
      </w:r>
    </w:p>
    <w:p w14:paraId="047F7969">
      <w:pPr>
        <w:pStyle w:val="82"/>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粉砂质泥岩（E）：仅在黎达公司柱状点有钻探到，其他点位该层埋深更深，以本次钻探的深度，其他点位未发现该岩层分布。紫红色，中风化，原岩结构可辨，岩芯呈（坚硬）密实土状，夹少量强风化岩块。吸水后易软化，崩解，渗透系数 K=5.79×10</w:t>
      </w:r>
      <w:r>
        <w:rPr>
          <w:rFonts w:hint="default" w:ascii="Times New Roman" w:hAnsi="Times New Roman" w:eastAsia="宋体" w:cs="Times New Roman"/>
          <w:sz w:val="24"/>
          <w:szCs w:val="24"/>
          <w:vertAlign w:val="superscript"/>
        </w:rPr>
        <w:t>-4</w:t>
      </w:r>
      <w:r>
        <w:rPr>
          <w:rFonts w:hint="default" w:ascii="Times New Roman" w:hAnsi="Times New Roman" w:eastAsia="宋体" w:cs="Times New Roman"/>
          <w:sz w:val="24"/>
          <w:szCs w:val="24"/>
        </w:rPr>
        <w:t>~1.16×10</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cm/s，属中等透水性地层。</w:t>
      </w:r>
    </w:p>
    <w:p w14:paraId="2FD6AF76">
      <w:pPr>
        <w:pStyle w:val="4"/>
        <w:spacing w:before="0" w:after="0" w:line="360" w:lineRule="auto"/>
        <w:rPr>
          <w:rFonts w:hint="default" w:ascii="Times New Roman" w:hAnsi="Times New Roman" w:eastAsia="宋体" w:cs="Times New Roman"/>
          <w:sz w:val="28"/>
          <w:u w:val="single"/>
        </w:rPr>
      </w:pPr>
      <w:r>
        <w:rPr>
          <w:rFonts w:hint="default" w:ascii="Times New Roman" w:hAnsi="Times New Roman" w:eastAsia="宋体" w:cs="Times New Roman"/>
          <w:sz w:val="28"/>
          <w:u w:val="single"/>
        </w:rPr>
        <w:t>7.6.2区域水文地质条件</w:t>
      </w:r>
    </w:p>
    <w:p w14:paraId="3341E89B">
      <w:pPr>
        <w:pStyle w:val="106"/>
        <w:spacing w:line="360" w:lineRule="auto"/>
        <w:ind w:firstLine="0" w:firstLineChars="0"/>
        <w:rPr>
          <w:rFonts w:hint="default" w:ascii="Times New Roman" w:hAnsi="Times New Roman" w:eastAsia="宋体" w:cs="Times New Roman"/>
          <w:b/>
          <w:bCs/>
          <w:sz w:val="24"/>
          <w:u w:val="single"/>
        </w:rPr>
      </w:pPr>
      <w:r>
        <w:rPr>
          <w:rFonts w:hint="default" w:ascii="Times New Roman" w:hAnsi="Times New Roman" w:eastAsia="宋体" w:cs="Times New Roman"/>
          <w:b/>
          <w:bCs/>
          <w:sz w:val="24"/>
          <w:u w:val="single"/>
        </w:rPr>
        <w:t>7.6.2.1含水岩组与地下水类型</w:t>
      </w:r>
    </w:p>
    <w:p w14:paraId="76BAF178">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区域地下水自上而下可划分为三个含水层，即风化裂隙潜水含水层，易于接受降雨的渗漏补给，径流条件好，常在丘陵谷地形成下降泉出露地表，流量随季节变化，枯水季显著减少或</w:t>
      </w:r>
      <w:r>
        <w:rPr>
          <w:rFonts w:hint="default" w:ascii="Times New Roman" w:hAnsi="Times New Roman" w:eastAsia="宋体" w:cs="Times New Roman"/>
          <w:sz w:val="24"/>
          <w:u w:val="single"/>
          <w:lang w:eastAsia="zh-CN"/>
        </w:rPr>
        <w:t>干涸</w:t>
      </w:r>
      <w:r>
        <w:rPr>
          <w:rFonts w:hint="default" w:ascii="Times New Roman" w:hAnsi="Times New Roman" w:eastAsia="宋体" w:cs="Times New Roman"/>
          <w:sz w:val="24"/>
          <w:u w:val="single"/>
        </w:rPr>
        <w:t>；裂隙承压水带，一般在地表以下40-120m之间，含水层延伸不稳定，呈透镜状，地下水具承压；盐层上部盐水带，厚度5-20m不等，呈透镜状，溶蚀明显。</w:t>
      </w:r>
    </w:p>
    <w:p w14:paraId="15FC75D2">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（1）粉质粘土层</w:t>
      </w:r>
    </w:p>
    <w:p w14:paraId="37C11704">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该层含松散岩类孔隙水，大多承压。单井涌水量94.95-223.54m</w:t>
      </w:r>
      <w:r>
        <w:rPr>
          <w:rFonts w:hint="default" w:ascii="Times New Roman" w:hAnsi="Times New Roman" w:eastAsia="宋体" w:cs="Times New Roman"/>
          <w:sz w:val="24"/>
          <w:u w:val="single"/>
          <w:vertAlign w:val="superscript"/>
        </w:rPr>
        <w:t>3</w:t>
      </w:r>
      <w:r>
        <w:rPr>
          <w:rFonts w:hint="default" w:ascii="Times New Roman" w:hAnsi="Times New Roman" w:eastAsia="宋体" w:cs="Times New Roman"/>
          <w:sz w:val="24"/>
          <w:u w:val="single"/>
        </w:rPr>
        <w:t>/d，水量中渗透系数53.70-80.97m/d。水化学类型以HCO</w:t>
      </w:r>
      <w:r>
        <w:rPr>
          <w:rFonts w:hint="default" w:ascii="Times New Roman" w:hAnsi="Times New Roman" w:eastAsia="宋体" w:cs="Times New Roman"/>
          <w:sz w:val="24"/>
          <w:u w:val="single"/>
          <w:vertAlign w:val="subscript"/>
        </w:rPr>
        <w:t>3</w:t>
      </w:r>
      <w:r>
        <w:rPr>
          <w:rFonts w:hint="default" w:ascii="Times New Roman" w:hAnsi="Times New Roman" w:eastAsia="宋体" w:cs="Times New Roman"/>
          <w:sz w:val="24"/>
          <w:u w:val="single"/>
        </w:rPr>
        <w:t>-Ca（或Ca·Mg；Ca·K+Na；K+Na·Mg）、HCO</w:t>
      </w:r>
      <w:r>
        <w:rPr>
          <w:rFonts w:hint="default" w:ascii="Times New Roman" w:hAnsi="Times New Roman" w:eastAsia="宋体" w:cs="Times New Roman"/>
          <w:sz w:val="24"/>
          <w:u w:val="single"/>
          <w:vertAlign w:val="subscript"/>
        </w:rPr>
        <w:t>3</w:t>
      </w:r>
      <w:r>
        <w:rPr>
          <w:rFonts w:hint="default" w:ascii="Times New Roman" w:hAnsi="Times New Roman" w:eastAsia="宋体" w:cs="Times New Roman"/>
          <w:sz w:val="24"/>
          <w:u w:val="single"/>
        </w:rPr>
        <w:t>·Cl-Ca（或Ca·Mg；Ca·K+Na；K+Na·Mg）型水为主。总硬度一般为0.094-4.852mmol/L，矿化度一般小于0.5g/L，pH值5.0-7。</w:t>
      </w:r>
    </w:p>
    <w:p w14:paraId="47D50A3B">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（2）圆砾层</w:t>
      </w:r>
    </w:p>
    <w:p w14:paraId="5D50E454">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该层含松散类孔隙潜水，单井涌水量6.91m</w:t>
      </w:r>
      <w:r>
        <w:rPr>
          <w:rFonts w:hint="default" w:ascii="Times New Roman" w:hAnsi="Times New Roman" w:eastAsia="宋体" w:cs="Times New Roman"/>
          <w:sz w:val="24"/>
          <w:u w:val="single"/>
          <w:vertAlign w:val="superscript"/>
        </w:rPr>
        <w:t>3</w:t>
      </w:r>
      <w:r>
        <w:rPr>
          <w:rFonts w:hint="default" w:ascii="Times New Roman" w:hAnsi="Times New Roman" w:eastAsia="宋体" w:cs="Times New Roman"/>
          <w:sz w:val="24"/>
          <w:u w:val="single"/>
        </w:rPr>
        <w:t>/d，泉井流量小于0.5L/s，水量贫乏。水化学类型以HCO</w:t>
      </w:r>
      <w:r>
        <w:rPr>
          <w:rFonts w:hint="default" w:ascii="Times New Roman" w:hAnsi="Times New Roman" w:eastAsia="宋体" w:cs="Times New Roman"/>
          <w:sz w:val="24"/>
          <w:u w:val="single"/>
          <w:vertAlign w:val="subscript"/>
        </w:rPr>
        <w:t>3</w:t>
      </w:r>
      <w:r>
        <w:rPr>
          <w:rFonts w:hint="default" w:ascii="Times New Roman" w:hAnsi="Times New Roman" w:eastAsia="宋体" w:cs="Times New Roman"/>
          <w:sz w:val="24"/>
          <w:u w:val="single"/>
        </w:rPr>
        <w:t>-Ca（或Ca·K+Na；HCO</w:t>
      </w:r>
      <w:r>
        <w:rPr>
          <w:rFonts w:hint="default" w:ascii="Times New Roman" w:hAnsi="Times New Roman" w:eastAsia="宋体" w:cs="Times New Roman"/>
          <w:sz w:val="24"/>
          <w:u w:val="single"/>
          <w:vertAlign w:val="subscript"/>
        </w:rPr>
        <w:t>3</w:t>
      </w:r>
      <w:r>
        <w:rPr>
          <w:rFonts w:hint="default" w:ascii="Times New Roman" w:hAnsi="Times New Roman" w:eastAsia="宋体" w:cs="Times New Roman"/>
          <w:sz w:val="24"/>
          <w:u w:val="single"/>
        </w:rPr>
        <w:t>·Cl-Ca）型水为主。总硬度一般为0.134-0.724mmol/L，矿化度一般小于0.008-0.064g/L，pH值5.1-6.5。</w:t>
      </w:r>
    </w:p>
    <w:p w14:paraId="645E1D14">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（3）砂质泥岩层</w:t>
      </w:r>
    </w:p>
    <w:p w14:paraId="6ADC86E1">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该层含红层溶孔裂隙水，钻孔涌水量为100-500m</w:t>
      </w:r>
      <w:r>
        <w:rPr>
          <w:rFonts w:hint="default" w:ascii="Times New Roman" w:hAnsi="Times New Roman" w:eastAsia="宋体" w:cs="Times New Roman"/>
          <w:sz w:val="24"/>
          <w:u w:val="single"/>
          <w:vertAlign w:val="superscript"/>
        </w:rPr>
        <w:t>3</w:t>
      </w:r>
      <w:r>
        <w:rPr>
          <w:rFonts w:hint="default" w:ascii="Times New Roman" w:hAnsi="Times New Roman" w:eastAsia="宋体" w:cs="Times New Roman"/>
          <w:sz w:val="24"/>
          <w:u w:val="single"/>
        </w:rPr>
        <w:t>/d，地下</w:t>
      </w:r>
      <w:r>
        <w:rPr>
          <w:rFonts w:hint="default" w:ascii="Times New Roman" w:hAnsi="Times New Roman" w:eastAsia="宋体" w:cs="Times New Roman"/>
          <w:sz w:val="24"/>
          <w:u w:val="single"/>
          <w:lang w:eastAsia="zh-CN"/>
        </w:rPr>
        <w:t>径流</w:t>
      </w:r>
      <w:r>
        <w:rPr>
          <w:rFonts w:hint="default" w:ascii="Times New Roman" w:hAnsi="Times New Roman" w:eastAsia="宋体" w:cs="Times New Roman"/>
          <w:sz w:val="24"/>
          <w:u w:val="single"/>
        </w:rPr>
        <w:t>模数0.1667-0.6393L/s·km</w:t>
      </w:r>
      <w:r>
        <w:rPr>
          <w:rFonts w:hint="default" w:ascii="Times New Roman" w:hAnsi="Times New Roman" w:eastAsia="宋体" w:cs="Times New Roman"/>
          <w:sz w:val="24"/>
          <w:u w:val="single"/>
          <w:vertAlign w:val="superscript"/>
        </w:rPr>
        <w:t>2</w:t>
      </w:r>
      <w:r>
        <w:rPr>
          <w:rFonts w:hint="default" w:ascii="Times New Roman" w:hAnsi="Times New Roman" w:eastAsia="宋体" w:cs="Times New Roman"/>
          <w:sz w:val="24"/>
          <w:u w:val="single"/>
        </w:rPr>
        <w:t>，水量中等。水化学类型以HCO</w:t>
      </w:r>
      <w:r>
        <w:rPr>
          <w:rFonts w:hint="default" w:ascii="Times New Roman" w:hAnsi="Times New Roman" w:eastAsia="宋体" w:cs="Times New Roman"/>
          <w:sz w:val="24"/>
          <w:u w:val="single"/>
          <w:vertAlign w:val="subscript"/>
        </w:rPr>
        <w:t>3</w:t>
      </w:r>
      <w:r>
        <w:rPr>
          <w:rFonts w:hint="default" w:ascii="Times New Roman" w:hAnsi="Times New Roman" w:eastAsia="宋体" w:cs="Times New Roman"/>
          <w:sz w:val="24"/>
          <w:u w:val="single"/>
        </w:rPr>
        <w:t>-Ca（或Ca·Mg；Ca·Na+K）型水为主。总硬度一般为0.26-6.39mmol/L，矿化度一般小于0.012-0.654g/L，pH值5.3-8.3。</w:t>
      </w:r>
    </w:p>
    <w:p w14:paraId="089802E8">
      <w:pPr>
        <w:pStyle w:val="106"/>
        <w:spacing w:line="360" w:lineRule="auto"/>
        <w:ind w:firstLine="0" w:firstLineChars="0"/>
        <w:rPr>
          <w:rFonts w:hint="default" w:ascii="Times New Roman" w:hAnsi="Times New Roman" w:eastAsia="宋体" w:cs="Times New Roman"/>
          <w:b/>
          <w:bCs/>
          <w:sz w:val="24"/>
          <w:u w:val="single"/>
        </w:rPr>
      </w:pPr>
      <w:r>
        <w:rPr>
          <w:rFonts w:hint="default" w:ascii="Times New Roman" w:hAnsi="Times New Roman" w:eastAsia="宋体" w:cs="Times New Roman"/>
          <w:b/>
          <w:bCs/>
          <w:sz w:val="24"/>
          <w:u w:val="single"/>
        </w:rPr>
        <w:t>6.7.2.2地下水化学特征</w:t>
      </w:r>
    </w:p>
    <w:p w14:paraId="755D2F49">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根据水文地质资料调查，区内地下水基本呈中性，个别点呈现酸性水。水的硬度较大，一般为硬水。地下水化学类型为HCO</w:t>
      </w:r>
      <w:r>
        <w:rPr>
          <w:rFonts w:hint="default" w:ascii="Times New Roman" w:hAnsi="Times New Roman" w:eastAsia="宋体" w:cs="Times New Roman"/>
          <w:sz w:val="24"/>
          <w:u w:val="single"/>
          <w:vertAlign w:val="subscript"/>
        </w:rPr>
        <w:t>3</w:t>
      </w:r>
      <w:r>
        <w:rPr>
          <w:rFonts w:hint="default" w:ascii="Times New Roman" w:hAnsi="Times New Roman" w:eastAsia="宋体" w:cs="Times New Roman"/>
          <w:sz w:val="24"/>
          <w:u w:val="single"/>
        </w:rPr>
        <w:t>-Ca、HCO</w:t>
      </w:r>
      <w:r>
        <w:rPr>
          <w:rFonts w:hint="default" w:ascii="Times New Roman" w:hAnsi="Times New Roman" w:eastAsia="宋体" w:cs="Times New Roman"/>
          <w:sz w:val="24"/>
          <w:u w:val="single"/>
          <w:vertAlign w:val="subscript"/>
        </w:rPr>
        <w:t>3</w:t>
      </w:r>
      <w:r>
        <w:rPr>
          <w:rFonts w:hint="default" w:ascii="Times New Roman" w:hAnsi="Times New Roman" w:eastAsia="宋体" w:cs="Times New Roman"/>
          <w:sz w:val="24"/>
          <w:u w:val="single"/>
        </w:rPr>
        <w:t>·Cl-Ca 型水。</w:t>
      </w:r>
    </w:p>
    <w:p w14:paraId="322173D3">
      <w:pPr>
        <w:pStyle w:val="106"/>
        <w:spacing w:line="360" w:lineRule="auto"/>
        <w:ind w:firstLine="0" w:firstLineChars="0"/>
        <w:rPr>
          <w:rFonts w:hint="default" w:ascii="Times New Roman" w:hAnsi="Times New Roman" w:eastAsia="宋体" w:cs="Times New Roman"/>
          <w:b/>
          <w:bCs/>
          <w:sz w:val="24"/>
          <w:u w:val="single"/>
        </w:rPr>
      </w:pPr>
      <w:r>
        <w:rPr>
          <w:rFonts w:hint="default" w:ascii="Times New Roman" w:hAnsi="Times New Roman" w:eastAsia="宋体" w:cs="Times New Roman"/>
          <w:b/>
          <w:bCs/>
          <w:sz w:val="24"/>
          <w:u w:val="single"/>
        </w:rPr>
        <w:t>6.7.2.3水文地质概况</w:t>
      </w:r>
    </w:p>
    <w:p w14:paraId="79CB875E">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项目区地下水类型为风化裂隙潜水含水层，评价范围内地表没有地下水天然露头，上覆粘土属不透水不含水，下伏风化裂隙水水量中等，项目场地内，枯季地下水埋深约为8m至10.5m，雨季地下水埋深7m左右。区域地下水补给源主要为大气降水，地下水流向由西向东径流，以裂隙流的形式排泄于湘江。</w:t>
      </w:r>
    </w:p>
    <w:p w14:paraId="5F84BD5E">
      <w:pPr>
        <w:pStyle w:val="106"/>
        <w:spacing w:line="240" w:lineRule="auto"/>
        <w:ind w:firstLine="0" w:firstLineChars="0"/>
        <w:rPr>
          <w:rFonts w:hint="default" w:ascii="Times New Roman" w:hAnsi="Times New Roman" w:eastAsia="宋体" w:cs="Times New Roman"/>
          <w:u w:val="single"/>
        </w:rPr>
      </w:pPr>
      <w:r>
        <w:rPr>
          <w:rFonts w:hint="default" w:ascii="Times New Roman" w:hAnsi="Times New Roman" w:eastAsia="宋体" w:cs="Times New Roman"/>
          <w:u w:val="single"/>
        </w:rPr>
        <w:drawing>
          <wp:anchor distT="0" distB="0" distL="114300" distR="114300" simplePos="0" relativeHeight="251669504" behindDoc="0" locked="0" layoutInCell="1" allowOverlap="1">
            <wp:simplePos x="0" y="0"/>
            <wp:positionH relativeFrom="column">
              <wp:posOffset>2459990</wp:posOffset>
            </wp:positionH>
            <wp:positionV relativeFrom="paragraph">
              <wp:posOffset>2964180</wp:posOffset>
            </wp:positionV>
            <wp:extent cx="377190" cy="125095"/>
            <wp:effectExtent l="0" t="0" r="3810" b="825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84373" cy="127477"/>
                    </a:xfrm>
                    <a:prstGeom prst="rect">
                      <a:avLst/>
                    </a:prstGeom>
                  </pic:spPr>
                </pic:pic>
              </a:graphicData>
            </a:graphic>
          </wp:anchor>
        </w:drawing>
      </w:r>
      <w:r>
        <w:rPr>
          <w:rFonts w:hint="default" w:ascii="Times New Roman" w:hAnsi="Times New Roman" w:eastAsia="宋体" w:cs="Times New Roman"/>
          <w:u w:val="single"/>
        </w:rPr>
        <w:drawing>
          <wp:anchor distT="0" distB="0" distL="114300" distR="114300" simplePos="0" relativeHeight="251670528" behindDoc="0" locked="0" layoutInCell="1" allowOverlap="1">
            <wp:simplePos x="0" y="0"/>
            <wp:positionH relativeFrom="column">
              <wp:posOffset>2610485</wp:posOffset>
            </wp:positionH>
            <wp:positionV relativeFrom="paragraph">
              <wp:posOffset>3098800</wp:posOffset>
            </wp:positionV>
            <wp:extent cx="669290" cy="235585"/>
            <wp:effectExtent l="19050" t="38100" r="17145" b="3175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rot="296096">
                      <a:off x="0" y="0"/>
                      <a:ext cx="669235" cy="235541"/>
                    </a:xfrm>
                    <a:prstGeom prst="rect">
                      <a:avLst/>
                    </a:prstGeom>
                  </pic:spPr>
                </pic:pic>
              </a:graphicData>
            </a:graphic>
          </wp:anchor>
        </w:drawing>
      </w:r>
      <w:r>
        <w:rPr>
          <w:rFonts w:hint="default" w:ascii="Times New Roman" w:hAnsi="Times New Roman" w:eastAsia="宋体" w:cs="Times New Roman"/>
          <w:u w:val="single"/>
        </w:rPr>
        <w:drawing>
          <wp:inline distT="0" distB="0" distL="0" distR="0">
            <wp:extent cx="5603875" cy="5955665"/>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607700" cy="5959919"/>
                    </a:xfrm>
                    <a:prstGeom prst="rect">
                      <a:avLst/>
                    </a:prstGeom>
                    <a:noFill/>
                    <a:ln>
                      <a:noFill/>
                    </a:ln>
                  </pic:spPr>
                </pic:pic>
              </a:graphicData>
            </a:graphic>
          </wp:inline>
        </w:drawing>
      </w:r>
    </w:p>
    <w:p w14:paraId="14B762C3">
      <w:pPr>
        <w:pStyle w:val="106"/>
        <w:spacing w:line="360" w:lineRule="auto"/>
        <w:ind w:firstLine="0" w:firstLineChars="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图7.6-1 项目所在区域水文地质图（1：50000）</w:t>
      </w:r>
    </w:p>
    <w:p w14:paraId="05380034">
      <w:pPr>
        <w:pStyle w:val="90"/>
        <w:spacing w:before="0" w:beforeLines="0" w:after="0" w:afterLines="0"/>
        <w:rPr>
          <w:rFonts w:hint="default" w:ascii="Times New Roman" w:hAnsi="Times New Roman" w:eastAsia="宋体" w:cs="Times New Roman"/>
          <w:u w:val="single"/>
        </w:rPr>
      </w:pPr>
      <w:r>
        <w:rPr>
          <w:rFonts w:hint="default" w:ascii="Times New Roman" w:hAnsi="Times New Roman" w:eastAsia="宋体" w:cs="Times New Roman"/>
          <w:u w:val="single"/>
        </w:rPr>
        <w:t>7.6.3地下水的补给、径流、排泄条件</w:t>
      </w:r>
    </w:p>
    <w:p w14:paraId="10EE85C7">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区域地下水补给主要是大气降水补给，多以径流的形式侧向补给松散岩类孔隙水，其次是上游流入补给，局部是以泉的形式出露地表。地下水排泄方式以下游河流排泄补给地表水体、蒸发为主，以及人工开采等。地下水流向主要受地形影响从地势高的地方流向地势低的地方，总体走势从西向东流入湘江。</w:t>
      </w:r>
    </w:p>
    <w:p w14:paraId="47BC893B">
      <w:pPr>
        <w:pStyle w:val="90"/>
        <w:spacing w:before="0" w:beforeLines="0" w:after="0" w:afterLines="0"/>
        <w:rPr>
          <w:rFonts w:hint="default" w:ascii="Times New Roman" w:hAnsi="Times New Roman" w:eastAsia="宋体" w:cs="Times New Roman"/>
          <w:u w:val="single"/>
        </w:rPr>
      </w:pPr>
      <w:r>
        <w:rPr>
          <w:rFonts w:hint="default" w:ascii="Times New Roman" w:hAnsi="Times New Roman" w:eastAsia="宋体" w:cs="Times New Roman"/>
          <w:u w:val="single"/>
        </w:rPr>
        <w:t>7.6.4地下水动态</w:t>
      </w:r>
    </w:p>
    <w:p w14:paraId="1B5B7CF7">
      <w:pPr>
        <w:pStyle w:val="106"/>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本区地下水位年内动态：地下水位年内变化与降水量密切相关，动态类型为降水入渗—径流—蒸发—下游排泄型，季节性变化明显。每年10月底进入秋季的影响，降雨开始减少，水位由升转降，出现单独水文年最高水位。11月至次年5月水位明显下降，出现地下水位出现年内最低水位，6月至10月进入雨季，受降水入渗补给的影响，地下水位开始明显回升，出现年内最高水位。年内山谷观测点水位变化平均在1.0m左右。</w:t>
      </w:r>
    </w:p>
    <w:p w14:paraId="5F9AA0AF">
      <w:pPr>
        <w:pStyle w:val="90"/>
        <w:spacing w:before="0" w:beforeLines="0" w:after="0" w:afterLines="0"/>
        <w:rPr>
          <w:rFonts w:hint="default" w:ascii="Times New Roman" w:hAnsi="Times New Roman" w:eastAsia="宋体" w:cs="Times New Roman"/>
        </w:rPr>
      </w:pPr>
      <w:r>
        <w:rPr>
          <w:rFonts w:hint="default" w:ascii="Times New Roman" w:hAnsi="Times New Roman" w:eastAsia="宋体" w:cs="Times New Roman"/>
        </w:rPr>
        <w:t>7.6.5水资源及其开发利用状况</w:t>
      </w:r>
    </w:p>
    <w:p w14:paraId="37E877A7">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目前地区生活用水取自水厂集中供水，不开采地下水。</w:t>
      </w:r>
    </w:p>
    <w:p w14:paraId="4583B420">
      <w:pPr>
        <w:pStyle w:val="4"/>
        <w:spacing w:before="0" w:after="0" w:line="360" w:lineRule="auto"/>
        <w:rPr>
          <w:rFonts w:hint="default" w:ascii="Times New Roman" w:hAnsi="Times New Roman" w:eastAsia="宋体" w:cs="Times New Roman"/>
          <w:sz w:val="28"/>
          <w:u w:val="single"/>
        </w:rPr>
      </w:pPr>
      <w:r>
        <w:rPr>
          <w:rFonts w:hint="default" w:ascii="Times New Roman" w:hAnsi="Times New Roman" w:eastAsia="宋体" w:cs="Times New Roman"/>
          <w:sz w:val="28"/>
          <w:u w:val="single"/>
        </w:rPr>
        <w:t>7.6.6地下水污染物和工况情景设定</w:t>
      </w:r>
    </w:p>
    <w:p w14:paraId="39F75D74">
      <w:pPr>
        <w:pStyle w:val="12"/>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依据《环境影响评价技术导则地下水环境》（HJ610-2016），一般情况下项目对地下水环境的影响应从正常状况、非正常状况两种情形进行模拟预测，已依据国家</w:t>
      </w:r>
      <w:r>
        <w:rPr>
          <w:rFonts w:hint="default" w:ascii="Times New Roman" w:hAnsi="Times New Roman" w:eastAsia="宋体" w:cs="Times New Roman"/>
          <w:u w:val="single"/>
          <w:lang w:eastAsia="zh-CN"/>
        </w:rPr>
        <w:t>相关</w:t>
      </w:r>
      <w:r>
        <w:rPr>
          <w:rFonts w:hint="default" w:ascii="Times New Roman" w:hAnsi="Times New Roman" w:eastAsia="宋体" w:cs="Times New Roman"/>
          <w:u w:val="single"/>
        </w:rPr>
        <w:t>标准设计地下水污染防渗措施的建设项目，可不进行正常状况情景下的预测。</w:t>
      </w:r>
    </w:p>
    <w:p w14:paraId="57FEA53D">
      <w:pPr>
        <w:spacing w:line="360" w:lineRule="auto"/>
        <w:ind w:firstLine="482"/>
        <w:rPr>
          <w:rFonts w:hint="default" w:ascii="Times New Roman" w:hAnsi="Times New Roman" w:eastAsia="宋体" w:cs="Times New Roman"/>
          <w:sz w:val="24"/>
          <w:u w:val="single"/>
          <w:lang w:val="zh-CN"/>
        </w:rPr>
      </w:pPr>
      <w:r>
        <w:rPr>
          <w:rFonts w:hint="default" w:ascii="Times New Roman" w:hAnsi="Times New Roman" w:eastAsia="宋体" w:cs="Times New Roman"/>
          <w:sz w:val="24"/>
          <w:szCs w:val="24"/>
          <w:u w:val="single"/>
        </w:rPr>
        <w:t>根据工程分析，建设项目的生产场地均按照标准设计有</w:t>
      </w:r>
      <w:r>
        <w:rPr>
          <w:rFonts w:hint="default" w:ascii="Times New Roman" w:hAnsi="Times New Roman" w:eastAsia="宋体" w:cs="Times New Roman"/>
          <w:sz w:val="24"/>
          <w:szCs w:val="24"/>
          <w:u w:val="single"/>
          <w:lang w:val="en-US" w:eastAsia="zh-CN"/>
        </w:rPr>
        <w:t>满足防渗要求的</w:t>
      </w:r>
      <w:r>
        <w:rPr>
          <w:rFonts w:hint="default" w:ascii="Times New Roman" w:hAnsi="Times New Roman" w:eastAsia="宋体" w:cs="Times New Roman"/>
          <w:sz w:val="24"/>
          <w:szCs w:val="24"/>
          <w:u w:val="single"/>
        </w:rPr>
        <w:t>防渗设施和围堰</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废矿物油储罐区等</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，正常状况下，不会对地下水环境造成影响，因此本次预测仅对项目非正常状况下对地下水的影响进行预测分析。</w:t>
      </w:r>
    </w:p>
    <w:p w14:paraId="1F51B29E">
      <w:pPr>
        <w:spacing w:line="360" w:lineRule="auto"/>
        <w:ind w:firstLine="482"/>
        <w:rPr>
          <w:rFonts w:hint="default" w:ascii="Times New Roman" w:hAnsi="Times New Roman" w:eastAsia="宋体" w:cs="Times New Roman"/>
          <w:sz w:val="24"/>
          <w:u w:val="single"/>
        </w:rPr>
      </w:pPr>
      <w:r>
        <w:rPr>
          <w:rFonts w:hint="default" w:ascii="Times New Roman" w:hAnsi="Times New Roman" w:eastAsia="宋体" w:cs="Times New Roman"/>
          <w:sz w:val="24"/>
          <w:u w:val="single"/>
          <w:lang w:val="zh-CN"/>
        </w:rPr>
        <w:t>（</w:t>
      </w:r>
      <w:r>
        <w:rPr>
          <w:rFonts w:hint="default" w:ascii="Times New Roman" w:hAnsi="Times New Roman" w:eastAsia="宋体" w:cs="Times New Roman"/>
          <w:sz w:val="24"/>
          <w:u w:val="single"/>
        </w:rPr>
        <w:t>1</w:t>
      </w:r>
      <w:r>
        <w:rPr>
          <w:rFonts w:hint="default" w:ascii="Times New Roman" w:hAnsi="Times New Roman" w:eastAsia="宋体" w:cs="Times New Roman"/>
          <w:sz w:val="24"/>
          <w:u w:val="single"/>
          <w:lang w:val="zh-CN"/>
        </w:rPr>
        <w:t>）</w:t>
      </w:r>
      <w:r>
        <w:rPr>
          <w:rFonts w:hint="default" w:ascii="Times New Roman" w:hAnsi="Times New Roman" w:eastAsia="宋体" w:cs="Times New Roman"/>
          <w:sz w:val="24"/>
          <w:u w:val="single"/>
        </w:rPr>
        <w:t>污染源</w:t>
      </w:r>
    </w:p>
    <w:p w14:paraId="774AF325">
      <w:pPr>
        <w:spacing w:line="360" w:lineRule="auto"/>
        <w:ind w:firstLine="482"/>
        <w:rPr>
          <w:rFonts w:hint="default" w:ascii="Times New Roman" w:hAnsi="Times New Roman" w:eastAsia="宋体" w:cs="Times New Roman"/>
          <w:sz w:val="24"/>
          <w:u w:val="single"/>
          <w:lang w:val="zh-CN"/>
        </w:rPr>
      </w:pPr>
      <w:r>
        <w:rPr>
          <w:rFonts w:hint="default" w:ascii="Times New Roman" w:hAnsi="Times New Roman" w:eastAsia="宋体" w:cs="Times New Roman"/>
          <w:sz w:val="24"/>
          <w:u w:val="single"/>
          <w:lang w:val="zh-TW"/>
        </w:rPr>
        <w:t>本次污染物数值模拟工况情景预测：污水处理站（调节池）泄漏对地下水的影响。</w:t>
      </w:r>
    </w:p>
    <w:p w14:paraId="35ABD7A9">
      <w:pPr>
        <w:spacing w:line="360" w:lineRule="auto"/>
        <w:ind w:firstLine="482"/>
        <w:rPr>
          <w:rFonts w:hint="default" w:ascii="Times New Roman" w:hAnsi="Times New Roman" w:eastAsia="宋体" w:cs="Times New Roman"/>
          <w:sz w:val="24"/>
          <w:u w:val="single"/>
        </w:rPr>
      </w:pPr>
      <w:r>
        <w:rPr>
          <w:rFonts w:hint="default" w:ascii="Times New Roman" w:hAnsi="Times New Roman" w:eastAsia="宋体" w:cs="Times New Roman"/>
          <w:sz w:val="24"/>
          <w:u w:val="single"/>
          <w:lang w:val="zh-CN"/>
        </w:rPr>
        <w:t>（</w:t>
      </w:r>
      <w:r>
        <w:rPr>
          <w:rFonts w:hint="default" w:ascii="Times New Roman" w:hAnsi="Times New Roman" w:eastAsia="宋体" w:cs="Times New Roman"/>
          <w:sz w:val="24"/>
          <w:u w:val="single"/>
        </w:rPr>
        <w:t>2</w:t>
      </w:r>
      <w:r>
        <w:rPr>
          <w:rFonts w:hint="default" w:ascii="Times New Roman" w:hAnsi="Times New Roman" w:eastAsia="宋体" w:cs="Times New Roman"/>
          <w:sz w:val="24"/>
          <w:u w:val="single"/>
          <w:lang w:val="zh-CN"/>
        </w:rPr>
        <w:t>）</w:t>
      </w:r>
      <w:r>
        <w:rPr>
          <w:rFonts w:hint="default" w:ascii="Times New Roman" w:hAnsi="Times New Roman" w:eastAsia="宋体" w:cs="Times New Roman"/>
          <w:sz w:val="24"/>
          <w:u w:val="single"/>
        </w:rPr>
        <w:t>污染因子</w:t>
      </w:r>
    </w:p>
    <w:p w14:paraId="48FF0E3B">
      <w:pPr>
        <w:spacing w:line="360" w:lineRule="auto"/>
        <w:ind w:firstLine="482"/>
        <w:rPr>
          <w:rFonts w:hint="default" w:ascii="Times New Roman" w:hAnsi="Times New Roman" w:eastAsia="宋体" w:cs="Times New Roman"/>
          <w:sz w:val="24"/>
          <w:u w:val="single"/>
        </w:rPr>
      </w:pPr>
      <w:r>
        <w:rPr>
          <w:rFonts w:hint="default" w:ascii="Times New Roman" w:hAnsi="Times New Roman" w:eastAsia="宋体" w:cs="Times New Roman"/>
          <w:sz w:val="24"/>
          <w:u w:val="single"/>
          <w:lang w:val="zh-TW"/>
        </w:rPr>
        <w:t>结合项目进入污水处理站的综合废水的主要污染因子</w:t>
      </w:r>
      <w:r>
        <w:rPr>
          <w:rFonts w:hint="default" w:ascii="Times New Roman" w:hAnsi="Times New Roman" w:eastAsia="宋体" w:cs="Times New Roman"/>
          <w:sz w:val="24"/>
          <w:u w:val="single"/>
        </w:rPr>
        <w:t>，评价选取CODcr和石油类作为地下水的预测因子。</w:t>
      </w:r>
    </w:p>
    <w:p w14:paraId="40AB4AC9">
      <w:pPr>
        <w:spacing w:line="360" w:lineRule="auto"/>
        <w:ind w:firstLine="482"/>
        <w:rPr>
          <w:rFonts w:hint="default" w:ascii="Times New Roman" w:hAnsi="Times New Roman" w:eastAsia="宋体" w:cs="Times New Roman"/>
          <w:sz w:val="24"/>
          <w:szCs w:val="24"/>
          <w:u w:val="single"/>
        </w:rPr>
      </w:pPr>
      <w:r>
        <w:rPr>
          <w:rFonts w:hint="default" w:ascii="Times New Roman" w:hAnsi="Times New Roman" w:eastAsia="宋体" w:cs="Times New Roman"/>
          <w:sz w:val="24"/>
          <w:u w:val="single"/>
          <w:lang w:val="zh-TW"/>
        </w:rPr>
        <w:t>根据综合废水中污染因子的浓度，</w:t>
      </w:r>
      <w:r>
        <w:rPr>
          <w:rFonts w:hint="default" w:ascii="Times New Roman" w:hAnsi="Times New Roman" w:eastAsia="宋体" w:cs="Times New Roman"/>
          <w:sz w:val="24"/>
          <w:szCs w:val="24"/>
          <w:u w:val="single"/>
        </w:rPr>
        <w:t>评价取调节池中</w:t>
      </w:r>
      <w:r>
        <w:rPr>
          <w:rFonts w:hint="default" w:ascii="Times New Roman" w:hAnsi="Times New Roman" w:eastAsia="宋体" w:cs="Times New Roman"/>
          <w:sz w:val="24"/>
          <w:u w:val="single"/>
        </w:rPr>
        <w:t>CODcr和石油类</w:t>
      </w:r>
      <w:r>
        <w:rPr>
          <w:rFonts w:hint="default" w:ascii="Times New Roman" w:hAnsi="Times New Roman" w:eastAsia="宋体" w:cs="Times New Roman"/>
          <w:sz w:val="24"/>
          <w:szCs w:val="24"/>
          <w:u w:val="single"/>
        </w:rPr>
        <w:t>的最大浓度为3007.5mg/L、123.3mg/L。</w:t>
      </w:r>
    </w:p>
    <w:p w14:paraId="0F9AE9B2">
      <w:pPr>
        <w:spacing w:line="360" w:lineRule="auto"/>
        <w:ind w:firstLine="482"/>
        <w:rPr>
          <w:rFonts w:hint="default" w:ascii="Times New Roman" w:hAnsi="Times New Roman" w:eastAsia="宋体" w:cs="Times New Roman"/>
          <w:sz w:val="24"/>
          <w:u w:val="single"/>
          <w:lang w:val="zh-TW"/>
        </w:rPr>
      </w:pPr>
      <w:r>
        <w:rPr>
          <w:rFonts w:hint="default" w:ascii="Times New Roman" w:hAnsi="Times New Roman" w:eastAsia="宋体" w:cs="Times New Roman"/>
          <w:sz w:val="24"/>
          <w:u w:val="single"/>
          <w:lang w:val="zh-TW"/>
        </w:rPr>
        <w:t>（3）</w:t>
      </w:r>
      <w:r>
        <w:rPr>
          <w:rFonts w:hint="default" w:ascii="Times New Roman" w:hAnsi="Times New Roman" w:eastAsia="宋体" w:cs="Times New Roman"/>
          <w:sz w:val="24"/>
          <w:u w:val="single"/>
        </w:rPr>
        <w:t>工况情景及源强设定</w:t>
      </w:r>
    </w:p>
    <w:p w14:paraId="52A63C8C">
      <w:pPr>
        <w:spacing w:line="360" w:lineRule="auto"/>
        <w:ind w:firstLine="482"/>
        <w:rPr>
          <w:rFonts w:hint="eastAsia" w:ascii="Times New Roman" w:hAnsi="Times New Roman" w:eastAsia="宋体" w:cs="Times New Roman"/>
          <w:sz w:val="24"/>
          <w:u w:val="single"/>
          <w:lang w:val="zh-TW" w:eastAsia="zh-CN"/>
        </w:rPr>
      </w:pPr>
      <w:r>
        <w:rPr>
          <w:rFonts w:hint="default" w:ascii="Times New Roman" w:hAnsi="Times New Roman" w:eastAsia="宋体" w:cs="Times New Roman"/>
          <w:sz w:val="24"/>
          <w:u w:val="single"/>
          <w:lang w:val="zh-TW"/>
        </w:rPr>
        <w:t>本次地下水污染预测情景主要考虑非正常状况情景，此次设定污水处理站调节池</w:t>
      </w:r>
    </w:p>
    <w:p w14:paraId="3FC830CC">
      <w:pPr>
        <w:spacing w:line="360" w:lineRule="auto"/>
        <w:ind w:firstLine="482"/>
        <w:rPr>
          <w:rFonts w:hint="default" w:ascii="Times New Roman" w:hAnsi="Times New Roman" w:eastAsia="宋体" w:cs="Times New Roman"/>
          <w:sz w:val="24"/>
          <w:u w:val="single"/>
          <w:lang w:val="zh-CN"/>
        </w:rPr>
      </w:pPr>
      <w:r>
        <w:rPr>
          <w:rFonts w:hint="default" w:ascii="Times New Roman" w:hAnsi="Times New Roman" w:eastAsia="宋体" w:cs="Times New Roman"/>
          <w:sz w:val="24"/>
          <w:u w:val="single"/>
          <w:lang w:val="zh-TW"/>
        </w:rPr>
        <w:t>（有效容积200m</w:t>
      </w:r>
      <w:r>
        <w:rPr>
          <w:rFonts w:hint="default" w:ascii="Times New Roman" w:hAnsi="Times New Roman" w:eastAsia="宋体" w:cs="Times New Roman"/>
          <w:sz w:val="24"/>
          <w:u w:val="single"/>
          <w:vertAlign w:val="superscript"/>
          <w:lang w:val="zh-TW"/>
        </w:rPr>
        <w:t>3</w:t>
      </w:r>
      <w:r>
        <w:rPr>
          <w:rFonts w:hint="default" w:ascii="Times New Roman" w:hAnsi="Times New Roman" w:eastAsia="宋体" w:cs="Times New Roman"/>
          <w:sz w:val="24"/>
          <w:u w:val="single"/>
          <w:lang w:val="zh-TW"/>
        </w:rPr>
        <w:t>）位置为模拟泄漏点。</w:t>
      </w:r>
    </w:p>
    <w:p w14:paraId="08D50853">
      <w:pPr>
        <w:spacing w:line="360" w:lineRule="auto"/>
        <w:ind w:firstLine="482"/>
        <w:rPr>
          <w:rFonts w:hint="default" w:ascii="Times New Roman" w:hAnsi="Times New Roman" w:eastAsia="宋体" w:cs="Times New Roman"/>
          <w:sz w:val="24"/>
          <w:u w:val="single"/>
          <w:lang w:val="zh-CN"/>
        </w:rPr>
      </w:pPr>
      <w:r>
        <w:rPr>
          <w:rFonts w:hint="default" w:ascii="Times New Roman" w:hAnsi="Times New Roman" w:eastAsia="宋体" w:cs="Times New Roman"/>
          <w:sz w:val="24"/>
          <w:u w:val="single"/>
          <w:lang w:val="zh-TW"/>
        </w:rPr>
        <w:t>①泄漏池体</w:t>
      </w:r>
    </w:p>
    <w:p w14:paraId="04F3967B">
      <w:pPr>
        <w:spacing w:line="360" w:lineRule="auto"/>
        <w:ind w:firstLine="482"/>
        <w:rPr>
          <w:rFonts w:hint="default" w:ascii="Times New Roman" w:hAnsi="Times New Roman" w:eastAsia="宋体" w:cs="Times New Roman"/>
          <w:sz w:val="24"/>
          <w:u w:val="single"/>
          <w:lang w:val="zh-CN"/>
        </w:rPr>
      </w:pPr>
      <w:r>
        <w:rPr>
          <w:rFonts w:hint="default" w:ascii="Times New Roman" w:hAnsi="Times New Roman" w:eastAsia="宋体" w:cs="Times New Roman"/>
          <w:sz w:val="24"/>
          <w:u w:val="single"/>
          <w:lang w:val="zh-TW"/>
        </w:rPr>
        <w:t>池体参数：长×宽×高</w:t>
      </w:r>
      <w:r>
        <w:rPr>
          <w:rFonts w:hint="default" w:ascii="Times New Roman" w:hAnsi="Times New Roman" w:eastAsia="宋体" w:cs="Times New Roman"/>
          <w:sz w:val="24"/>
          <w:u w:val="single"/>
          <w:lang w:val="zh-CN"/>
        </w:rPr>
        <w:t>=</w:t>
      </w:r>
      <w:r>
        <w:rPr>
          <w:rFonts w:hint="eastAsia" w:ascii="Times New Roman" w:hAnsi="Times New Roman" w:cs="Times New Roman"/>
          <w:sz w:val="24"/>
          <w:u w:val="single"/>
          <w:lang w:val="en-US" w:eastAsia="zh-CN"/>
        </w:rPr>
        <w:t>6</w:t>
      </w:r>
      <w:r>
        <w:rPr>
          <w:rFonts w:hint="default" w:ascii="Times New Roman" w:hAnsi="Times New Roman" w:eastAsia="宋体" w:cs="Times New Roman"/>
          <w:sz w:val="24"/>
          <w:u w:val="single"/>
          <w:lang w:val="zh-CN"/>
        </w:rPr>
        <w:t>m×</w:t>
      </w:r>
      <w:r>
        <w:rPr>
          <w:rFonts w:hint="eastAsia" w:ascii="Times New Roman" w:hAnsi="Times New Roman" w:cs="Times New Roman"/>
          <w:sz w:val="24"/>
          <w:u w:val="single"/>
          <w:lang w:val="en-US" w:eastAsia="zh-CN"/>
        </w:rPr>
        <w:t>3.2</w:t>
      </w:r>
      <w:r>
        <w:rPr>
          <w:rFonts w:hint="default" w:ascii="Times New Roman" w:hAnsi="Times New Roman" w:eastAsia="宋体" w:cs="Times New Roman"/>
          <w:sz w:val="24"/>
          <w:u w:val="single"/>
          <w:lang w:val="zh-CN"/>
        </w:rPr>
        <w:t>m×</w:t>
      </w:r>
      <w:r>
        <w:rPr>
          <w:rFonts w:hint="eastAsia" w:ascii="Times New Roman" w:hAnsi="Times New Roman" w:cs="Times New Roman"/>
          <w:sz w:val="24"/>
          <w:u w:val="single"/>
          <w:lang w:val="en-US" w:eastAsia="zh-CN"/>
        </w:rPr>
        <w:t>4</w:t>
      </w:r>
      <w:r>
        <w:rPr>
          <w:rFonts w:hint="default" w:ascii="Times New Roman" w:hAnsi="Times New Roman" w:eastAsia="宋体" w:cs="Times New Roman"/>
          <w:sz w:val="24"/>
          <w:u w:val="single"/>
          <w:lang w:val="zh-CN"/>
        </w:rPr>
        <w:t>.5m，为钢筋混凝土材质。</w:t>
      </w:r>
    </w:p>
    <w:p w14:paraId="54943320">
      <w:pPr>
        <w:spacing w:line="360" w:lineRule="auto"/>
        <w:ind w:firstLine="482"/>
        <w:rPr>
          <w:rFonts w:hint="default" w:ascii="Times New Roman" w:hAnsi="Times New Roman" w:eastAsia="宋体" w:cs="Times New Roman"/>
          <w:sz w:val="24"/>
          <w:u w:val="single"/>
          <w:lang w:val="zh-CN"/>
        </w:rPr>
      </w:pPr>
      <w:r>
        <w:rPr>
          <w:rFonts w:hint="default" w:ascii="Times New Roman" w:hAnsi="Times New Roman" w:eastAsia="宋体" w:cs="Times New Roman"/>
          <w:sz w:val="24"/>
          <w:u w:val="single"/>
          <w:lang w:val="zh-TW"/>
        </w:rPr>
        <w:t>②泄漏量计算如下</w:t>
      </w:r>
    </w:p>
    <w:p w14:paraId="644DAF15">
      <w:pPr>
        <w:spacing w:line="360" w:lineRule="auto"/>
        <w:ind w:firstLine="482"/>
        <w:rPr>
          <w:rFonts w:hint="default" w:ascii="Times New Roman" w:hAnsi="Times New Roman" w:eastAsia="宋体" w:cs="Times New Roman"/>
          <w:sz w:val="24"/>
          <w:szCs w:val="24"/>
          <w:u w:val="single"/>
        </w:rPr>
      </w:pPr>
      <w:r>
        <w:rPr>
          <w:rFonts w:hint="default" w:ascii="Times New Roman" w:hAnsi="Times New Roman" w:eastAsia="宋体" w:cs="Times New Roman"/>
          <w:sz w:val="24"/>
          <w:u w:val="single"/>
          <w:lang w:val="zh-TW"/>
        </w:rPr>
        <w:t>每天泄漏量：项目调节池侧面湿润面积为（（长+宽</w:t>
      </w:r>
      <w:r>
        <w:rPr>
          <w:rFonts w:hint="default" w:ascii="Times New Roman" w:hAnsi="Times New Roman" w:eastAsia="宋体" w:cs="Times New Roman"/>
          <w:sz w:val="24"/>
          <w:u w:val="single"/>
        </w:rPr>
        <w:t>）</w:t>
      </w:r>
      <w:r>
        <w:rPr>
          <w:rFonts w:hint="default" w:ascii="Times New Roman" w:hAnsi="Times New Roman" w:eastAsia="宋体" w:cs="Times New Roman"/>
          <w:sz w:val="24"/>
          <w:u w:val="single"/>
          <w:lang w:val="zh-CN"/>
        </w:rPr>
        <w:t>×</w:t>
      </w:r>
      <w:r>
        <w:rPr>
          <w:rFonts w:hint="default" w:ascii="Times New Roman" w:hAnsi="Times New Roman" w:eastAsia="宋体" w:cs="Times New Roman"/>
          <w:sz w:val="24"/>
          <w:u w:val="single"/>
          <w:lang w:val="zh-TW"/>
        </w:rPr>
        <w:t>有效高度</w:t>
      </w:r>
      <w:r>
        <w:rPr>
          <w:rFonts w:hint="default" w:ascii="Times New Roman" w:hAnsi="Times New Roman" w:eastAsia="宋体" w:cs="Times New Roman"/>
          <w:sz w:val="24"/>
          <w:u w:val="single"/>
          <w:lang w:val="zh-CN"/>
        </w:rPr>
        <w:t>×2</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u w:val="single"/>
          <w:lang w:val="zh-TW"/>
        </w:rPr>
        <w:t>=45</w:t>
      </w:r>
      <w:r>
        <w:rPr>
          <w:rFonts w:hint="default" w:ascii="Times New Roman" w:hAnsi="Times New Roman" w:eastAsia="宋体" w:cs="Times New Roman"/>
          <w:sz w:val="24"/>
          <w:u w:val="single"/>
          <w:lang w:val="zh-CN"/>
        </w:rPr>
        <w:t>m</w:t>
      </w:r>
      <w:r>
        <w:rPr>
          <w:rFonts w:hint="default" w:ascii="Times New Roman" w:hAnsi="Times New Roman" w:eastAsia="宋体" w:cs="Times New Roman"/>
          <w:sz w:val="24"/>
          <w:u w:val="single"/>
          <w:vertAlign w:val="superscript"/>
          <w:lang w:val="zh-CN"/>
        </w:rPr>
        <w:t>2</w:t>
      </w:r>
      <w:r>
        <w:rPr>
          <w:rFonts w:hint="default" w:ascii="Times New Roman" w:hAnsi="Times New Roman" w:eastAsia="宋体" w:cs="Times New Roman"/>
          <w:sz w:val="24"/>
          <w:u w:val="single"/>
          <w:lang w:val="zh-CN"/>
        </w:rPr>
        <w:t>。</w:t>
      </w:r>
      <w:r>
        <w:rPr>
          <w:rFonts w:hint="default" w:ascii="Times New Roman" w:hAnsi="Times New Roman" w:eastAsia="宋体" w:cs="Times New Roman"/>
          <w:sz w:val="24"/>
          <w:u w:val="single"/>
          <w:lang w:val="zh-TW"/>
        </w:rPr>
        <w:t>参照《给水排水建筑物工程施工及验收规范》</w:t>
      </w:r>
      <w:r>
        <w:rPr>
          <w:rFonts w:hint="default" w:ascii="Times New Roman" w:hAnsi="Times New Roman" w:eastAsia="宋体" w:cs="Times New Roman"/>
          <w:sz w:val="24"/>
          <w:u w:val="single"/>
        </w:rPr>
        <w:t>（</w:t>
      </w:r>
      <w:r>
        <w:rPr>
          <w:rFonts w:hint="default" w:ascii="Times New Roman" w:hAnsi="Times New Roman" w:eastAsia="宋体" w:cs="Times New Roman"/>
          <w:sz w:val="24"/>
          <w:u w:val="single"/>
          <w:lang w:val="zh-CN"/>
        </w:rPr>
        <w:t>GB50141-2008</w:t>
      </w:r>
      <w:r>
        <w:rPr>
          <w:rFonts w:hint="default" w:ascii="Times New Roman" w:hAnsi="Times New Roman" w:eastAsia="宋体" w:cs="Times New Roman"/>
          <w:sz w:val="24"/>
          <w:u w:val="single"/>
        </w:rPr>
        <w:t>）</w:t>
      </w:r>
      <w:r>
        <w:rPr>
          <w:rFonts w:hint="default" w:ascii="Times New Roman" w:hAnsi="Times New Roman" w:eastAsia="宋体" w:cs="Times New Roman"/>
          <w:sz w:val="24"/>
          <w:u w:val="single"/>
          <w:lang w:val="zh-TW"/>
        </w:rPr>
        <w:t>中关于钢筋混凝土的满水试验验收标准，水池渗水量的验收标准为</w:t>
      </w:r>
      <w:r>
        <w:rPr>
          <w:rFonts w:hint="default" w:ascii="Times New Roman" w:hAnsi="Times New Roman" w:eastAsia="宋体" w:cs="Times New Roman"/>
          <w:sz w:val="24"/>
          <w:u w:val="single"/>
          <w:lang w:val="zh-CN"/>
        </w:rPr>
        <w:t>2L/m</w:t>
      </w:r>
      <w:r>
        <w:rPr>
          <w:rFonts w:hint="default" w:ascii="Times New Roman" w:hAnsi="Times New Roman" w:eastAsia="宋体" w:cs="Times New Roman"/>
          <w:sz w:val="24"/>
          <w:u w:val="single"/>
          <w:vertAlign w:val="superscript"/>
          <w:lang w:val="zh-CN"/>
        </w:rPr>
        <w:t>2</w:t>
      </w:r>
      <w:r>
        <w:rPr>
          <w:rFonts w:hint="default" w:ascii="Times New Roman" w:hAnsi="Times New Roman" w:eastAsia="宋体" w:cs="Times New Roman"/>
          <w:sz w:val="24"/>
          <w:u w:val="single"/>
        </w:rPr>
        <w:t>·</w:t>
      </w:r>
      <w:r>
        <w:rPr>
          <w:rFonts w:hint="default" w:ascii="Times New Roman" w:hAnsi="Times New Roman" w:eastAsia="宋体" w:cs="Times New Roman"/>
          <w:sz w:val="24"/>
          <w:u w:val="single"/>
          <w:lang w:val="zh-CN"/>
        </w:rPr>
        <w:t>d，</w:t>
      </w:r>
      <w:r>
        <w:rPr>
          <w:rFonts w:hint="default" w:ascii="Times New Roman" w:hAnsi="Times New Roman" w:eastAsia="宋体" w:cs="Times New Roman"/>
          <w:sz w:val="24"/>
          <w:u w:val="single"/>
          <w:lang w:val="zh-TW"/>
        </w:rPr>
        <w:t>非正常情况下，考虑最大风险泄漏量取正常情况下渗漏量的10倍，故本次泄漏量为</w:t>
      </w:r>
      <w:r>
        <w:rPr>
          <w:rFonts w:hint="default" w:ascii="Times New Roman" w:hAnsi="Times New Roman" w:eastAsia="宋体" w:cs="Times New Roman"/>
          <w:sz w:val="24"/>
          <w:u w:val="single"/>
        </w:rPr>
        <w:t>（</w:t>
      </w:r>
      <w:r>
        <w:rPr>
          <w:rFonts w:hint="default" w:ascii="Times New Roman" w:hAnsi="Times New Roman" w:eastAsia="宋体" w:cs="Times New Roman"/>
          <w:sz w:val="24"/>
          <w:u w:val="single"/>
          <w:lang w:val="zh-CN"/>
        </w:rPr>
        <w:t>80m</w:t>
      </w:r>
      <w:r>
        <w:rPr>
          <w:rFonts w:hint="default" w:ascii="Times New Roman" w:hAnsi="Times New Roman" w:eastAsia="宋体" w:cs="Times New Roman"/>
          <w:sz w:val="24"/>
          <w:u w:val="single"/>
          <w:vertAlign w:val="superscript"/>
          <w:lang w:val="zh-CN"/>
        </w:rPr>
        <w:t>2</w:t>
      </w:r>
      <w:r>
        <w:rPr>
          <w:rFonts w:hint="default" w:ascii="Times New Roman" w:hAnsi="Times New Roman" w:eastAsia="宋体" w:cs="Times New Roman"/>
          <w:sz w:val="24"/>
          <w:u w:val="single"/>
          <w:lang w:val="zh-CN"/>
        </w:rPr>
        <w:t>+45m</w:t>
      </w:r>
      <w:r>
        <w:rPr>
          <w:rFonts w:hint="default" w:ascii="Times New Roman" w:hAnsi="Times New Roman" w:eastAsia="宋体" w:cs="Times New Roman"/>
          <w:sz w:val="24"/>
          <w:u w:val="single"/>
          <w:vertAlign w:val="superscript"/>
          <w:lang w:val="zh-CN"/>
        </w:rPr>
        <w:t>2</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u w:val="single"/>
          <w:lang w:val="zh-CN"/>
        </w:rPr>
        <w:t>×2L/ (m</w:t>
      </w:r>
      <w:r>
        <w:rPr>
          <w:rFonts w:hint="default" w:ascii="Times New Roman" w:hAnsi="Times New Roman" w:eastAsia="宋体" w:cs="Times New Roman"/>
          <w:sz w:val="24"/>
          <w:u w:val="single"/>
          <w:vertAlign w:val="superscript"/>
          <w:lang w:val="zh-CN"/>
        </w:rPr>
        <w:t>2</w:t>
      </w:r>
      <w:r>
        <w:rPr>
          <w:rFonts w:hint="default" w:ascii="Times New Roman" w:hAnsi="Times New Roman" w:eastAsia="宋体" w:cs="Times New Roman"/>
          <w:sz w:val="24"/>
          <w:u w:val="single"/>
          <w:lang w:val="zh-CN"/>
        </w:rPr>
        <w:t>·d</w:t>
      </w:r>
      <w:r>
        <w:rPr>
          <w:rFonts w:hint="default" w:ascii="Times New Roman" w:hAnsi="Times New Roman" w:eastAsia="宋体" w:cs="Times New Roman"/>
          <w:sz w:val="24"/>
          <w:u w:val="single"/>
        </w:rPr>
        <w:t xml:space="preserve">) </w:t>
      </w:r>
      <w:r>
        <w:rPr>
          <w:rFonts w:hint="default" w:ascii="Times New Roman" w:hAnsi="Times New Roman" w:eastAsia="宋体" w:cs="Times New Roman"/>
          <w:sz w:val="24"/>
          <w:u w:val="single"/>
          <w:lang w:val="zh-CN"/>
        </w:rPr>
        <w:t>×10=2500L/d，</w:t>
      </w:r>
      <w:r>
        <w:rPr>
          <w:rFonts w:hint="default" w:ascii="Times New Roman" w:hAnsi="Times New Roman" w:eastAsia="宋体" w:cs="Times New Roman"/>
          <w:sz w:val="24"/>
          <w:u w:val="single"/>
          <w:lang w:val="zh-TW"/>
        </w:rPr>
        <w:t>即泄漏量为</w:t>
      </w:r>
      <w:r>
        <w:rPr>
          <w:rFonts w:hint="default" w:ascii="Times New Roman" w:hAnsi="Times New Roman" w:eastAsia="宋体" w:cs="Times New Roman"/>
          <w:sz w:val="24"/>
          <w:u w:val="single"/>
          <w:lang w:val="zh-CN"/>
        </w:rPr>
        <w:t>2.5m</w:t>
      </w:r>
      <w:r>
        <w:rPr>
          <w:rFonts w:hint="default" w:ascii="Times New Roman" w:hAnsi="Times New Roman" w:eastAsia="宋体" w:cs="Times New Roman"/>
          <w:sz w:val="24"/>
          <w:u w:val="single"/>
          <w:vertAlign w:val="superscript"/>
          <w:lang w:val="zh-CN"/>
        </w:rPr>
        <w:t>3</w:t>
      </w:r>
      <w:r>
        <w:rPr>
          <w:rFonts w:hint="default" w:ascii="Times New Roman" w:hAnsi="Times New Roman" w:eastAsia="宋体" w:cs="Times New Roman"/>
          <w:sz w:val="24"/>
          <w:u w:val="single"/>
          <w:lang w:val="zh-CN"/>
        </w:rPr>
        <w:t>/d。</w:t>
      </w:r>
    </w:p>
    <w:p w14:paraId="7B6B94C7">
      <w:pPr>
        <w:pageBreakBefore w:val="0"/>
        <w:widowControl w:val="0"/>
        <w:kinsoku/>
        <w:wordWrap/>
        <w:overflowPunct/>
        <w:topLinePunct w:val="0"/>
        <w:autoSpaceDE/>
        <w:autoSpaceDN/>
        <w:bidi w:val="0"/>
        <w:adjustRightInd/>
        <w:snapToGrid/>
        <w:spacing w:line="360" w:lineRule="auto"/>
        <w:ind w:firstLine="482"/>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调节池中</w:t>
      </w:r>
      <w:r>
        <w:rPr>
          <w:rFonts w:hint="default" w:ascii="Times New Roman" w:hAnsi="Times New Roman" w:eastAsia="宋体" w:cs="Times New Roman"/>
          <w:sz w:val="24"/>
          <w:u w:val="single"/>
        </w:rPr>
        <w:t>CODcr和石油类</w:t>
      </w:r>
      <w:r>
        <w:rPr>
          <w:rFonts w:hint="default" w:ascii="Times New Roman" w:hAnsi="Times New Roman" w:eastAsia="宋体" w:cs="Times New Roman"/>
          <w:sz w:val="24"/>
          <w:szCs w:val="24"/>
          <w:u w:val="single"/>
        </w:rPr>
        <w:t>的最大浓度为3007.5mg/L、123.3mg/L，</w:t>
      </w:r>
      <w:r>
        <w:rPr>
          <w:rFonts w:hint="default" w:ascii="Times New Roman" w:hAnsi="Times New Roman" w:eastAsia="宋体" w:cs="Times New Roman"/>
          <w:sz w:val="24"/>
          <w:u w:val="single"/>
        </w:rPr>
        <w:t>故每日渗漏的CODcr和石油类质量分别为7.52kg/d、0.31kg/d。</w:t>
      </w:r>
    </w:p>
    <w:p w14:paraId="59090166">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u w:val="single"/>
          <w:lang w:val="zh-CN"/>
        </w:rPr>
      </w:pPr>
      <w:r>
        <w:rPr>
          <w:rFonts w:hint="default" w:ascii="Times New Roman" w:hAnsi="Times New Roman" w:eastAsia="宋体" w:cs="Times New Roman"/>
          <w:sz w:val="24"/>
          <w:u w:val="single"/>
          <w:lang w:val="zh-TW"/>
        </w:rPr>
        <w:t>③泄漏时间</w:t>
      </w:r>
    </w:p>
    <w:p w14:paraId="397C02A0">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lang w:val="zh-TW"/>
        </w:rPr>
      </w:pPr>
      <w:r>
        <w:rPr>
          <w:rFonts w:hint="default" w:ascii="Times New Roman" w:hAnsi="Times New Roman" w:eastAsia="宋体" w:cs="Times New Roman"/>
          <w:sz w:val="24"/>
          <w:u w:val="single"/>
          <w:lang w:val="zh-TW"/>
        </w:rPr>
        <w:t>结合污水处理站（调节池）发生泄漏及修复的时间，选取泄漏时间为连续泄漏至修复结束的工况时间为5天。</w:t>
      </w:r>
    </w:p>
    <w:p w14:paraId="7527F1DD">
      <w:pPr>
        <w:pStyle w:val="4"/>
        <w:pageBreakBefore w:val="0"/>
        <w:widowControl w:val="0"/>
        <w:kinsoku/>
        <w:wordWrap/>
        <w:overflowPunct/>
        <w:topLinePunct w:val="0"/>
        <w:autoSpaceDE/>
        <w:autoSpaceDN/>
        <w:bidi w:val="0"/>
        <w:adjustRightInd/>
        <w:snapToGrid/>
        <w:spacing w:before="0" w:after="0" w:line="360" w:lineRule="auto"/>
        <w:textAlignment w:val="auto"/>
        <w:rPr>
          <w:rFonts w:hint="default" w:ascii="Times New Roman" w:hAnsi="Times New Roman" w:eastAsia="宋体" w:cs="Times New Roman"/>
          <w:sz w:val="28"/>
          <w:lang w:val="zh-TW"/>
        </w:rPr>
      </w:pPr>
      <w:r>
        <w:rPr>
          <w:rFonts w:hint="default" w:ascii="Times New Roman" w:hAnsi="Times New Roman" w:eastAsia="宋体" w:cs="Times New Roman"/>
          <w:sz w:val="28"/>
        </w:rPr>
        <w:t>7.6.7预测模型概化及参数选取</w:t>
      </w:r>
    </w:p>
    <w:p w14:paraId="23BFDC25">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u w:val="single"/>
          <w:lang w:val="zh-TW"/>
        </w:rPr>
      </w:pPr>
      <w:r>
        <w:rPr>
          <w:rFonts w:hint="default" w:ascii="Times New Roman" w:hAnsi="Times New Roman" w:eastAsia="宋体" w:cs="Times New Roman"/>
          <w:sz w:val="24"/>
          <w:szCs w:val="24"/>
          <w:u w:val="single"/>
          <w:lang w:val="zh-TW"/>
        </w:rPr>
        <w:t>（</w:t>
      </w:r>
      <w:r>
        <w:rPr>
          <w:rFonts w:hint="default" w:ascii="Times New Roman" w:hAnsi="Times New Roman" w:eastAsia="宋体" w:cs="Times New Roman"/>
          <w:sz w:val="24"/>
          <w:szCs w:val="24"/>
          <w:u w:val="single"/>
        </w:rPr>
        <w:t>1</w:t>
      </w:r>
      <w:r>
        <w:rPr>
          <w:rFonts w:hint="default" w:ascii="Times New Roman" w:hAnsi="Times New Roman" w:eastAsia="宋体" w:cs="Times New Roman"/>
          <w:sz w:val="24"/>
          <w:szCs w:val="24"/>
          <w:u w:val="single"/>
          <w:lang w:val="zh-TW"/>
        </w:rPr>
        <w:t>）预测范围</w:t>
      </w:r>
    </w:p>
    <w:p w14:paraId="290A4CC5">
      <w:pPr>
        <w:pageBreakBefore w:val="0"/>
        <w:widowControl w:val="0"/>
        <w:kinsoku/>
        <w:wordWrap/>
        <w:overflowPunct/>
        <w:topLinePunct w:val="0"/>
        <w:autoSpaceDE/>
        <w:autoSpaceDN/>
        <w:bidi w:val="0"/>
        <w:adjustRightInd/>
        <w:snapToGrid/>
        <w:spacing w:line="360" w:lineRule="auto"/>
        <w:ind w:firstLine="480"/>
        <w:textAlignment w:val="auto"/>
        <w:rPr>
          <w:rFonts w:hint="default" w:ascii="Times New Roman" w:hAnsi="Times New Roman" w:eastAsia="宋体" w:cs="Times New Roman"/>
          <w:sz w:val="24"/>
          <w:szCs w:val="24"/>
          <w:u w:val="single"/>
          <w:lang w:val="zh-TW"/>
        </w:rPr>
      </w:pPr>
      <w:r>
        <w:rPr>
          <w:rFonts w:hint="default" w:ascii="Times New Roman" w:hAnsi="Times New Roman" w:eastAsia="宋体" w:cs="Times New Roman"/>
          <w:sz w:val="24"/>
          <w:szCs w:val="24"/>
          <w:u w:val="single"/>
          <w:lang w:val="zh-TW"/>
        </w:rPr>
        <w:t>根据地质及水文地质条件，同时考虑项目区对地下水环境影响范围及影响程度，以能满足环境影响预测和分析的要求为原则，确定本次工作评价区范围的确定采用HJ610-2016中“8.2.2.1-公式计算法”。</w:t>
      </w:r>
    </w:p>
    <w:p w14:paraId="49660896">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L</w:t>
      </w:r>
      <w:r>
        <w:rPr>
          <w:rFonts w:hint="default" w:ascii="Times New Roman" w:hAnsi="Times New Roman" w:eastAsia="宋体" w:cs="Times New Roman"/>
          <w:sz w:val="24"/>
          <w:szCs w:val="24"/>
          <w:u w:val="single"/>
          <w:lang w:eastAsia="zh-TW"/>
        </w:rPr>
        <w:t>=a×K×I×T/n</w:t>
      </w:r>
      <w:r>
        <w:rPr>
          <w:rFonts w:hint="default" w:ascii="Times New Roman" w:hAnsi="Times New Roman" w:eastAsia="宋体" w:cs="Times New Roman"/>
          <w:sz w:val="24"/>
          <w:szCs w:val="24"/>
          <w:u w:val="single"/>
          <w:vertAlign w:val="subscript"/>
          <w:lang w:eastAsia="zh-TW"/>
        </w:rPr>
        <w:t>e</w:t>
      </w:r>
      <w:r>
        <w:rPr>
          <w:rFonts w:hint="default" w:ascii="Times New Roman" w:hAnsi="Times New Roman" w:eastAsia="宋体" w:cs="Times New Roman"/>
          <w:sz w:val="24"/>
          <w:szCs w:val="24"/>
          <w:u w:val="single"/>
        </w:rPr>
        <w:t>（T取5000d）</w:t>
      </w:r>
    </w:p>
    <w:p w14:paraId="5E874AE9">
      <w:pPr>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u w:val="single"/>
          <w:lang w:val="zh-TW"/>
        </w:rPr>
      </w:pPr>
      <w:r>
        <w:rPr>
          <w:rFonts w:hint="default" w:ascii="Times New Roman" w:hAnsi="Times New Roman" w:eastAsia="宋体" w:cs="Times New Roman"/>
          <w:u w:val="single"/>
        </w:rPr>
        <w:drawing>
          <wp:inline distT="0" distB="0" distL="0" distR="0">
            <wp:extent cx="4298950" cy="1445260"/>
            <wp:effectExtent l="0" t="0" r="6350" b="254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9"/>
                    <a:stretch>
                      <a:fillRect/>
                    </a:stretch>
                  </pic:blipFill>
                  <pic:spPr>
                    <a:xfrm>
                      <a:off x="0" y="0"/>
                      <a:ext cx="4324004" cy="1454288"/>
                    </a:xfrm>
                    <a:prstGeom prst="rect">
                      <a:avLst/>
                    </a:prstGeom>
                  </pic:spPr>
                </pic:pic>
              </a:graphicData>
            </a:graphic>
          </wp:inline>
        </w:drawing>
      </w:r>
    </w:p>
    <w:p w14:paraId="410DE7C4">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lang w:val="zh-TW"/>
        </w:rPr>
        <w:t>根据表6.6-1 地下水含水层参数，计算得L=1425m，即本次地下水的预测评价范围为项目区域地下水流向下游迁移的1425m（取L），两侧迁移的1425m（取L），上游的1425m（取L），合围面积约8.12km</w:t>
      </w:r>
      <w:r>
        <w:rPr>
          <w:rFonts w:hint="default" w:ascii="Times New Roman" w:hAnsi="Times New Roman" w:eastAsia="宋体" w:cs="Times New Roman"/>
          <w:sz w:val="24"/>
          <w:szCs w:val="24"/>
          <w:u w:val="single"/>
          <w:vertAlign w:val="superscript"/>
          <w:lang w:val="zh-TW"/>
        </w:rPr>
        <w:t>2</w:t>
      </w:r>
      <w:r>
        <w:rPr>
          <w:rFonts w:hint="default" w:ascii="Times New Roman" w:hAnsi="Times New Roman" w:eastAsia="宋体" w:cs="Times New Roman"/>
          <w:sz w:val="24"/>
          <w:szCs w:val="24"/>
          <w:u w:val="single"/>
          <w:lang w:val="zh-TW"/>
        </w:rPr>
        <w:t>。</w:t>
      </w:r>
    </w:p>
    <w:p w14:paraId="540CCF2B">
      <w:pPr>
        <w:spacing w:line="360" w:lineRule="auto"/>
        <w:ind w:firstLine="480"/>
        <w:rPr>
          <w:rFonts w:hint="default" w:ascii="Times New Roman" w:hAnsi="Times New Roman" w:eastAsia="宋体" w:cs="Times New Roman"/>
          <w:sz w:val="24"/>
          <w:szCs w:val="24"/>
          <w:lang w:val="zh-TW"/>
        </w:rPr>
      </w:pPr>
      <w:bookmarkStart w:id="343" w:name="bookmark39"/>
      <w:r>
        <w:rPr>
          <w:rFonts w:hint="default" w:ascii="Times New Roman" w:hAnsi="Times New Roman" w:eastAsia="宋体" w:cs="Times New Roman"/>
          <w:sz w:val="24"/>
          <w:szCs w:val="24"/>
        </w:rPr>
        <w:t>（2）</w:t>
      </w:r>
      <w:r>
        <w:rPr>
          <w:rFonts w:hint="default" w:ascii="Times New Roman" w:hAnsi="Times New Roman" w:eastAsia="宋体" w:cs="Times New Roman"/>
          <w:sz w:val="24"/>
          <w:szCs w:val="24"/>
          <w:lang w:val="zh-TW"/>
        </w:rPr>
        <w:t>含水层概化</w:t>
      </w:r>
      <w:bookmarkEnd w:id="343"/>
    </w:p>
    <w:p w14:paraId="2441FC8C">
      <w:pPr>
        <w:spacing w:line="360" w:lineRule="auto"/>
        <w:ind w:firstLine="480"/>
        <w:rPr>
          <w:rFonts w:hint="default" w:ascii="Times New Roman" w:hAnsi="Times New Roman" w:eastAsia="宋体" w:cs="Times New Roman"/>
          <w:sz w:val="24"/>
          <w:szCs w:val="24"/>
          <w:lang w:val="zh-TW"/>
        </w:rPr>
      </w:pPr>
      <w:r>
        <w:rPr>
          <w:rFonts w:hint="default" w:ascii="Times New Roman" w:hAnsi="Times New Roman" w:eastAsia="宋体" w:cs="Times New Roman"/>
          <w:sz w:val="24"/>
          <w:szCs w:val="24"/>
          <w:lang w:val="zh-TW"/>
        </w:rPr>
        <w:t>1）含水层的结构特征</w:t>
      </w:r>
    </w:p>
    <w:p w14:paraId="61CBA07F">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区域地下水自上而下可划分为三个含水层，即风化裂隙潜水含水层，易于接受降雨的渗漏补给，径流条件好，常在丘陵谷地形成下降泉出露地表，流量随季节变化，枯水季显著减少或</w:t>
      </w:r>
      <w:r>
        <w:rPr>
          <w:rFonts w:hint="default" w:ascii="Times New Roman" w:hAnsi="Times New Roman" w:eastAsia="宋体" w:cs="Times New Roman"/>
          <w:sz w:val="24"/>
          <w:szCs w:val="24"/>
          <w:lang w:eastAsia="zh-CN"/>
        </w:rPr>
        <w:t>干涸</w:t>
      </w:r>
      <w:r>
        <w:rPr>
          <w:rFonts w:hint="default" w:ascii="Times New Roman" w:hAnsi="Times New Roman" w:eastAsia="宋体" w:cs="Times New Roman"/>
          <w:sz w:val="24"/>
          <w:szCs w:val="24"/>
        </w:rPr>
        <w:t>；裂隙承压水带，一般在地表以下40-120m 之间，含水层延伸不稳定，呈透镜状，地下水具承压；盐层上部盐水带，厚度5-20m不等，呈透镜状，溶蚀明显。</w:t>
      </w:r>
    </w:p>
    <w:p w14:paraId="68876F22">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（1）粉质粘土层</w:t>
      </w:r>
    </w:p>
    <w:p w14:paraId="18943AE5">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该层含松散岩类孔隙水，大多承压。单井涌水量94.95-223.54m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/d，水量中渗透系数53.70-80.97m/d。水化学类型以HCO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-Ca（或Ca·Mg；Ca·K+Na；K+Na·Mg）、HCO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·Cl-Ca（或Ca·Mg；Ca·K+Na；K+Na·Mg）型水为主。总硬度一般为0.094-4.852mmol/L，矿化度一般小于0.5g/L，pH值5.0-7。</w:t>
      </w:r>
    </w:p>
    <w:p w14:paraId="7EC0A2CE">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（2）圆砾层</w:t>
      </w:r>
    </w:p>
    <w:p w14:paraId="4A14AF10">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该层含松散类孔隙潜水，单井涌水量6.91m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/d，泉井流量小于0.5L/s，水量贫乏。水化学类型以HCO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-Ca（或Ca·K+Na；HCO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·Cl-Ca）型水为主。总硬度一般为0.134-0.724mmol/L，矿化度一般小于0.008-0.064g/L，pH值5.1-6.5。</w:t>
      </w:r>
    </w:p>
    <w:p w14:paraId="0FA34722">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（3）砂质泥岩层</w:t>
      </w:r>
    </w:p>
    <w:p w14:paraId="018F12D2">
      <w:pPr>
        <w:spacing w:line="360" w:lineRule="auto"/>
        <w:ind w:firstLine="482"/>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该层含红层溶孔裂隙水，钻孔涌水量为100-500m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/d，地下</w:t>
      </w:r>
      <w:r>
        <w:rPr>
          <w:rFonts w:hint="default" w:ascii="Times New Roman" w:hAnsi="Times New Roman" w:eastAsia="宋体" w:cs="Times New Roman"/>
          <w:sz w:val="24"/>
          <w:szCs w:val="24"/>
          <w:lang w:eastAsia="zh-CN"/>
        </w:rPr>
        <w:t>径流</w:t>
      </w:r>
      <w:r>
        <w:rPr>
          <w:rFonts w:hint="default" w:ascii="Times New Roman" w:hAnsi="Times New Roman" w:eastAsia="宋体" w:cs="Times New Roman"/>
          <w:sz w:val="24"/>
          <w:szCs w:val="24"/>
        </w:rPr>
        <w:t>模数0.1667-0.6393L/s·km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，水量中等。水化学类型以HCO</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-Ca（或Ca·Mg；Ca·Na+K）型水为主。总硬度一般为0.26-6.39mmol/L，矿化度一般小于0.012-0.654g/L，pH值5.3-8.3。</w:t>
      </w:r>
    </w:p>
    <w:p w14:paraId="3D089702">
      <w:pPr>
        <w:spacing w:line="360" w:lineRule="auto"/>
        <w:ind w:firstLine="480"/>
        <w:rPr>
          <w:rFonts w:hint="default" w:ascii="Times New Roman" w:hAnsi="Times New Roman" w:eastAsia="宋体" w:cs="Times New Roman"/>
          <w:sz w:val="24"/>
          <w:szCs w:val="24"/>
          <w:lang w:val="zh-TW"/>
        </w:rPr>
      </w:pPr>
      <w:r>
        <w:rPr>
          <w:rFonts w:hint="default" w:ascii="Times New Roman" w:hAnsi="Times New Roman" w:eastAsia="宋体" w:cs="Times New Roman"/>
          <w:sz w:val="24"/>
          <w:szCs w:val="24"/>
          <w:lang w:val="zh-TW"/>
        </w:rPr>
        <w:t>根据水文地质条件将含水层概化为单层含水层，模拟区地下水主要补给源为大气降水、上游侧渗补给等。区内主要排泄方式为径流排泄。根据模拟区地下水动态特征，本次模拟区地下水动态类型主要为降水-径流型。</w:t>
      </w:r>
    </w:p>
    <w:p w14:paraId="43BCA396">
      <w:pPr>
        <w:spacing w:line="360" w:lineRule="auto"/>
        <w:ind w:firstLine="480"/>
        <w:rPr>
          <w:rFonts w:hint="default" w:ascii="Times New Roman" w:hAnsi="Times New Roman" w:eastAsia="宋体" w:cs="Times New Roman"/>
          <w:sz w:val="24"/>
          <w:szCs w:val="24"/>
          <w:lang w:val="zh-TW"/>
        </w:rPr>
      </w:pPr>
      <w:r>
        <w:rPr>
          <w:rFonts w:hint="default" w:ascii="Times New Roman" w:hAnsi="Times New Roman" w:eastAsia="宋体" w:cs="Times New Roman"/>
          <w:sz w:val="24"/>
          <w:szCs w:val="24"/>
          <w:lang w:val="zh-TW"/>
        </w:rPr>
        <w:t>2）边界条件的概化</w:t>
      </w:r>
    </w:p>
    <w:p w14:paraId="71F55337">
      <w:pPr>
        <w:spacing w:line="360" w:lineRule="auto"/>
        <w:ind w:firstLine="480"/>
        <w:rPr>
          <w:rFonts w:hint="default" w:ascii="Times New Roman" w:hAnsi="Times New Roman" w:eastAsia="宋体" w:cs="Times New Roman"/>
          <w:sz w:val="24"/>
          <w:szCs w:val="24"/>
          <w:lang w:val="zh-TW"/>
        </w:rPr>
      </w:pPr>
      <w:r>
        <w:rPr>
          <w:rFonts w:hint="default" w:ascii="Times New Roman" w:hAnsi="Times New Roman" w:eastAsia="宋体" w:cs="Times New Roman"/>
          <w:sz w:val="24"/>
          <w:szCs w:val="24"/>
          <w:lang w:val="zh-TW"/>
        </w:rPr>
        <w:t>①侧向边界</w:t>
      </w:r>
    </w:p>
    <w:p w14:paraId="3E1F1ECF">
      <w:pPr>
        <w:spacing w:line="360" w:lineRule="auto"/>
        <w:ind w:firstLine="480"/>
        <w:rPr>
          <w:rFonts w:hint="default" w:ascii="Times New Roman" w:hAnsi="Times New Roman" w:eastAsia="宋体" w:cs="Times New Roman"/>
          <w:sz w:val="24"/>
          <w:szCs w:val="24"/>
          <w:lang w:val="zh-TW"/>
        </w:rPr>
      </w:pPr>
      <w:r>
        <w:rPr>
          <w:rFonts w:hint="default" w:ascii="Times New Roman" w:hAnsi="Times New Roman" w:eastAsia="宋体" w:cs="Times New Roman"/>
          <w:sz w:val="24"/>
          <w:szCs w:val="24"/>
          <w:lang w:val="zh-TW"/>
        </w:rPr>
        <w:t>模拟评价区为丘陵山谷，接受坡地侧向补给，因此东、西均定义为流量边界，边界流量值根据断面流量法分段进行计算，南、北边界均沿着地下水流向，垂直地下水等水位线，定义为零流量边界。</w:t>
      </w:r>
    </w:p>
    <w:p w14:paraId="5A5A68E4">
      <w:pPr>
        <w:spacing w:line="360" w:lineRule="auto"/>
        <w:ind w:firstLine="480"/>
        <w:rPr>
          <w:rFonts w:hint="default" w:ascii="Times New Roman" w:hAnsi="Times New Roman" w:eastAsia="宋体" w:cs="Times New Roman"/>
          <w:sz w:val="24"/>
          <w:szCs w:val="24"/>
          <w:lang w:val="zh-TW"/>
        </w:rPr>
      </w:pPr>
      <w:r>
        <w:rPr>
          <w:rFonts w:hint="default" w:ascii="Times New Roman" w:hAnsi="Times New Roman" w:eastAsia="宋体" w:cs="Times New Roman"/>
          <w:sz w:val="24"/>
          <w:szCs w:val="24"/>
          <w:lang w:val="zh-TW"/>
        </w:rPr>
        <w:t>②垂向边界</w:t>
      </w:r>
    </w:p>
    <w:p w14:paraId="7FABF4C1">
      <w:pPr>
        <w:spacing w:line="360" w:lineRule="auto"/>
        <w:ind w:firstLine="480"/>
        <w:rPr>
          <w:rFonts w:hint="default" w:ascii="Times New Roman" w:hAnsi="Times New Roman" w:eastAsia="宋体" w:cs="Times New Roman"/>
          <w:sz w:val="24"/>
          <w:szCs w:val="24"/>
          <w:lang w:val="zh-TW"/>
        </w:rPr>
      </w:pPr>
      <w:r>
        <w:rPr>
          <w:rFonts w:hint="default" w:ascii="Times New Roman" w:hAnsi="Times New Roman" w:eastAsia="宋体" w:cs="Times New Roman"/>
          <w:sz w:val="24"/>
          <w:szCs w:val="24"/>
          <w:lang w:val="zh-TW"/>
        </w:rPr>
        <w:t>模拟区仅概化一层含水层，该层含水层存在大气降水入渗、潜水蒸发排泄等垂向水量交换。降水入渗补给条件的不均匀性用入渗分区概化处理。依据有关降水入渗资料，并参考包气带岩性、潜水位埋深、地形、植被等因素，对降水入渗系数进行分区。</w:t>
      </w:r>
    </w:p>
    <w:p w14:paraId="3FA1445F">
      <w:pPr>
        <w:spacing w:line="360" w:lineRule="auto"/>
        <w:ind w:firstLine="480"/>
        <w:rPr>
          <w:rFonts w:hint="default" w:ascii="Times New Roman" w:hAnsi="Times New Roman" w:eastAsia="宋体" w:cs="Times New Roman"/>
          <w:sz w:val="24"/>
          <w:szCs w:val="24"/>
          <w:lang w:val="zh-TW"/>
        </w:rPr>
      </w:pPr>
      <w:r>
        <w:rPr>
          <w:rFonts w:hint="default" w:ascii="Times New Roman" w:hAnsi="Times New Roman" w:eastAsia="宋体" w:cs="Times New Roman"/>
          <w:sz w:val="24"/>
          <w:szCs w:val="24"/>
          <w:lang w:val="zh-TW"/>
        </w:rPr>
        <w:t>综上所述，模拟区地下水系统的概念模型可概化成一维稳定流动地下水流系统。</w:t>
      </w:r>
    </w:p>
    <w:p w14:paraId="3202E046">
      <w:pPr>
        <w:spacing w:line="360" w:lineRule="auto"/>
        <w:ind w:firstLine="480"/>
        <w:rPr>
          <w:rFonts w:hint="default" w:ascii="Times New Roman" w:hAnsi="Times New Roman" w:eastAsia="宋体" w:cs="Times New Roman"/>
          <w:sz w:val="24"/>
          <w:szCs w:val="24"/>
          <w:lang w:val="zh-TW"/>
        </w:rPr>
      </w:pPr>
      <w:bookmarkStart w:id="344" w:name="bookmark40"/>
      <w:r>
        <w:rPr>
          <w:rFonts w:hint="default" w:ascii="Times New Roman" w:hAnsi="Times New Roman" w:eastAsia="宋体" w:cs="Times New Roman"/>
          <w:sz w:val="24"/>
          <w:szCs w:val="24"/>
        </w:rPr>
        <w:t>（3）</w:t>
      </w:r>
      <w:r>
        <w:rPr>
          <w:rFonts w:hint="default" w:ascii="Times New Roman" w:hAnsi="Times New Roman" w:eastAsia="宋体" w:cs="Times New Roman"/>
          <w:sz w:val="24"/>
          <w:szCs w:val="24"/>
          <w:lang w:val="zh-TW"/>
        </w:rPr>
        <w:t>地下水数值模型的建立</w:t>
      </w:r>
      <w:bookmarkEnd w:id="344"/>
    </w:p>
    <w:p w14:paraId="5253510D">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基于保守考虑，本次模拟计算忽略污染物在包气带的运移过程，建设场地地下水整体呈一维流动。评价区地下水位动态稳定，因此污染物在含水层中的迁移可概化为瞬时注入示踪剂（平面瞬时点源）的一维稳定流动二维水动力弥散问题。当取平行地下水流动的方向为 x 轴正方向时。则污染物浓度分布模型如下：</w:t>
      </w:r>
    </w:p>
    <w:p w14:paraId="54B3A4D8">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3366770" cy="810260"/>
            <wp:effectExtent l="0" t="0" r="5080"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366770" cy="810260"/>
                    </a:xfrm>
                    <a:prstGeom prst="rect">
                      <a:avLst/>
                    </a:prstGeom>
                    <a:noFill/>
                    <a:ln>
                      <a:noFill/>
                    </a:ln>
                  </pic:spPr>
                </pic:pic>
              </a:graphicData>
            </a:graphic>
          </wp:inline>
        </w:drawing>
      </w:r>
    </w:p>
    <w:p w14:paraId="2FE12694">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w:t>
      </w:r>
    </w:p>
    <w:p w14:paraId="1134F5E7">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x，y—计算点处的位置坐标；</w:t>
      </w:r>
    </w:p>
    <w:p w14:paraId="0AAFC837">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t—时间，d；</w:t>
      </w:r>
    </w:p>
    <w:p w14:paraId="54FA088E">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C(x，y，t)—t时刻点x，y处的示踪剂浓度，g/L；</w:t>
      </w:r>
    </w:p>
    <w:p w14:paraId="2C46E5CE">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M—含水层的厚度，m；</w:t>
      </w:r>
    </w:p>
    <w:p w14:paraId="17999BC4">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mM—瞬时注入的示踪剂质量，kg；</w:t>
      </w:r>
    </w:p>
    <w:p w14:paraId="2B578384">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u—水流速度，m/d；</w:t>
      </w:r>
    </w:p>
    <w:p w14:paraId="69D5E1C4">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n—有效孔隙度，无量纲；</w:t>
      </w:r>
    </w:p>
    <w:p w14:paraId="7871ABF5">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DL—纵向x方向的弥散系数，m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/d；</w:t>
      </w:r>
    </w:p>
    <w:p w14:paraId="058E6AD2">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DT—横向y方向的弥散系数，m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/d；</w:t>
      </w:r>
    </w:p>
    <w:p w14:paraId="2BC8D5F1">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π—圆周率。</w:t>
      </w:r>
    </w:p>
    <w:p w14:paraId="1D4987ED">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本次预测模型需要的参数有：含水层厚度M；外泄污染物质量mM；有效孔隙度n；水流速度u；污染物纵向弥散系数DL；污染物横向弥散系数DT。这些参数由本次勘察试验资料以及科研文献经验公式来确定，</w:t>
      </w:r>
      <w:r>
        <w:rPr>
          <w:rFonts w:hint="default" w:ascii="Times New Roman" w:hAnsi="Times New Roman" w:eastAsia="宋体" w:cs="Times New Roman"/>
          <w:sz w:val="24"/>
        </w:rPr>
        <w:t>详见表6.6-1和表6.6-2。地下水实际流速和弥散系数的确定按下列方法取得：</w:t>
      </w:r>
    </w:p>
    <w:p w14:paraId="2BBD4012">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U＝K×I／n</w:t>
      </w:r>
    </w:p>
    <w:p w14:paraId="1ABD0871">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D＝aL×Um</w:t>
      </w:r>
    </w:p>
    <w:p w14:paraId="42161239">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其中：U—地下水实际流速，m/d；</w:t>
      </w:r>
    </w:p>
    <w:p w14:paraId="4E8A5BC5">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K—渗透系数，m/d；</w:t>
      </w:r>
    </w:p>
    <w:p w14:paraId="202F09C6">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I—水力坡度，‰；</w:t>
      </w:r>
    </w:p>
    <w:p w14:paraId="28611F24">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n—孔隙度；</w:t>
      </w:r>
    </w:p>
    <w:p w14:paraId="662909D6">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D—弥散系数，m</w:t>
      </w:r>
      <w:r>
        <w:rPr>
          <w:rFonts w:hint="default" w:ascii="Times New Roman" w:hAnsi="Times New Roman" w:eastAsia="宋体" w:cs="Times New Roman"/>
          <w:sz w:val="24"/>
          <w:vertAlign w:val="superscript"/>
        </w:rPr>
        <w:t>2</w:t>
      </w:r>
      <w:r>
        <w:rPr>
          <w:rFonts w:hint="default" w:ascii="Times New Roman" w:hAnsi="Times New Roman" w:eastAsia="宋体" w:cs="Times New Roman"/>
          <w:sz w:val="24"/>
        </w:rPr>
        <w:t>/d；</w:t>
      </w:r>
    </w:p>
    <w:p w14:paraId="6151DC66">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aL—弥散度，m；</w:t>
      </w:r>
    </w:p>
    <w:p w14:paraId="4856F682">
      <w:pPr>
        <w:pStyle w:val="106"/>
        <w:spacing w:line="360" w:lineRule="auto"/>
        <w:ind w:firstLine="480"/>
        <w:rPr>
          <w:rFonts w:hint="default" w:ascii="Times New Roman" w:hAnsi="Times New Roman" w:eastAsia="宋体" w:cs="Times New Roman"/>
          <w:sz w:val="24"/>
        </w:rPr>
      </w:pPr>
      <w:r>
        <w:rPr>
          <w:rFonts w:hint="default" w:ascii="Times New Roman" w:hAnsi="Times New Roman" w:eastAsia="宋体" w:cs="Times New Roman"/>
          <w:sz w:val="24"/>
        </w:rPr>
        <w:t>m—指数。</w:t>
      </w:r>
    </w:p>
    <w:p w14:paraId="59088D10">
      <w:pPr>
        <w:pStyle w:val="13"/>
        <w:spacing w:after="0" w:line="360" w:lineRule="auto"/>
        <w:jc w:val="center"/>
        <w:rPr>
          <w:rFonts w:hint="default" w:ascii="Times New Roman" w:hAnsi="Times New Roman" w:eastAsia="宋体" w:cs="Times New Roman"/>
          <w:b/>
          <w:szCs w:val="21"/>
        </w:rPr>
      </w:pPr>
      <w:bookmarkStart w:id="345" w:name="_Hlk129814060"/>
      <w:r>
        <w:rPr>
          <w:rFonts w:hint="default" w:ascii="Times New Roman" w:hAnsi="Times New Roman" w:eastAsia="宋体" w:cs="Times New Roman"/>
          <w:b/>
          <w:szCs w:val="21"/>
        </w:rPr>
        <w:t>表7.6-1  地下水含水层参数</w:t>
      </w:r>
    </w:p>
    <w:bookmarkEnd w:id="345"/>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85" w:type="dxa"/>
          <w:left w:w="108" w:type="dxa"/>
          <w:bottom w:w="85" w:type="dxa"/>
          <w:right w:w="108" w:type="dxa"/>
        </w:tblCellMar>
      </w:tblPr>
      <w:tblGrid>
        <w:gridCol w:w="2648"/>
        <w:gridCol w:w="2230"/>
        <w:gridCol w:w="2398"/>
        <w:gridCol w:w="1842"/>
      </w:tblGrid>
      <w:tr w14:paraId="18D689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108" w:type="dxa"/>
            <w:bottom w:w="85" w:type="dxa"/>
            <w:right w:w="108" w:type="dxa"/>
          </w:tblCellMar>
        </w:tblPrEx>
        <w:trPr>
          <w:trHeight w:val="340" w:hRule="atLeast"/>
          <w:jc w:val="center"/>
        </w:trPr>
        <w:tc>
          <w:tcPr>
            <w:tcW w:w="1452" w:type="pct"/>
            <w:tcMar>
              <w:top w:w="0" w:type="dxa"/>
              <w:left w:w="108" w:type="dxa"/>
              <w:bottom w:w="0" w:type="dxa"/>
              <w:right w:w="108" w:type="dxa"/>
            </w:tcMar>
            <w:vAlign w:val="center"/>
          </w:tcPr>
          <w:p w14:paraId="6E3EB2C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w:t>
            </w:r>
          </w:p>
        </w:tc>
        <w:tc>
          <w:tcPr>
            <w:tcW w:w="1223" w:type="pct"/>
            <w:tcMar>
              <w:top w:w="0" w:type="dxa"/>
              <w:left w:w="108" w:type="dxa"/>
              <w:bottom w:w="0" w:type="dxa"/>
              <w:right w:w="108" w:type="dxa"/>
            </w:tcMar>
            <w:vAlign w:val="center"/>
          </w:tcPr>
          <w:p w14:paraId="443179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渗透系数K（m/d）</w:t>
            </w:r>
          </w:p>
        </w:tc>
        <w:tc>
          <w:tcPr>
            <w:tcW w:w="1315" w:type="pct"/>
            <w:tcMar>
              <w:top w:w="0" w:type="dxa"/>
              <w:left w:w="108" w:type="dxa"/>
              <w:bottom w:w="0" w:type="dxa"/>
              <w:right w:w="108" w:type="dxa"/>
            </w:tcMar>
            <w:vAlign w:val="center"/>
          </w:tcPr>
          <w:p w14:paraId="6B9979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水力坡度I（‰）</w:t>
            </w:r>
          </w:p>
        </w:tc>
        <w:tc>
          <w:tcPr>
            <w:tcW w:w="1010" w:type="pct"/>
            <w:tcMar>
              <w:top w:w="0" w:type="dxa"/>
              <w:left w:w="108" w:type="dxa"/>
              <w:bottom w:w="0" w:type="dxa"/>
              <w:right w:w="108" w:type="dxa"/>
            </w:tcMar>
            <w:vAlign w:val="center"/>
          </w:tcPr>
          <w:p w14:paraId="7E7487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孔隙度n</w:t>
            </w:r>
          </w:p>
        </w:tc>
      </w:tr>
      <w:tr w14:paraId="463DE5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85" w:type="dxa"/>
            <w:left w:w="108" w:type="dxa"/>
            <w:bottom w:w="85" w:type="dxa"/>
            <w:right w:w="108" w:type="dxa"/>
          </w:tblCellMar>
        </w:tblPrEx>
        <w:trPr>
          <w:trHeight w:val="340" w:hRule="atLeast"/>
          <w:jc w:val="center"/>
        </w:trPr>
        <w:tc>
          <w:tcPr>
            <w:tcW w:w="1452" w:type="pct"/>
            <w:tcMar>
              <w:top w:w="0" w:type="dxa"/>
              <w:left w:w="108" w:type="dxa"/>
              <w:bottom w:w="0" w:type="dxa"/>
              <w:right w:w="108" w:type="dxa"/>
            </w:tcMar>
            <w:vAlign w:val="center"/>
          </w:tcPr>
          <w:p w14:paraId="174B80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项目建设区含水层</w:t>
            </w:r>
          </w:p>
        </w:tc>
        <w:tc>
          <w:tcPr>
            <w:tcW w:w="1223" w:type="pct"/>
            <w:tcMar>
              <w:top w:w="0" w:type="dxa"/>
              <w:left w:w="108" w:type="dxa"/>
              <w:bottom w:w="0" w:type="dxa"/>
              <w:right w:w="108" w:type="dxa"/>
            </w:tcMar>
            <w:vAlign w:val="center"/>
          </w:tcPr>
          <w:p w14:paraId="436DEE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0.75</w:t>
            </w:r>
          </w:p>
        </w:tc>
        <w:tc>
          <w:tcPr>
            <w:tcW w:w="1315" w:type="pct"/>
            <w:tcMar>
              <w:top w:w="0" w:type="dxa"/>
              <w:left w:w="108" w:type="dxa"/>
              <w:bottom w:w="0" w:type="dxa"/>
              <w:right w:w="108" w:type="dxa"/>
            </w:tcMar>
            <w:vAlign w:val="center"/>
          </w:tcPr>
          <w:p w14:paraId="2DF335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0.057</w:t>
            </w:r>
          </w:p>
        </w:tc>
        <w:tc>
          <w:tcPr>
            <w:tcW w:w="1010" w:type="pct"/>
            <w:tcMar>
              <w:top w:w="0" w:type="dxa"/>
              <w:left w:w="108" w:type="dxa"/>
              <w:bottom w:w="0" w:type="dxa"/>
              <w:right w:w="108" w:type="dxa"/>
            </w:tcMar>
            <w:vAlign w:val="center"/>
          </w:tcPr>
          <w:p w14:paraId="5A3D9CF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0.30</w:t>
            </w:r>
          </w:p>
        </w:tc>
      </w:tr>
    </w:tbl>
    <w:p w14:paraId="6CABDD1E">
      <w:pPr>
        <w:pStyle w:val="13"/>
        <w:spacing w:before="93" w:after="93"/>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表7.6-2  含水层弥散度类比取值表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57" w:type="dxa"/>
          <w:left w:w="108" w:type="dxa"/>
          <w:bottom w:w="57" w:type="dxa"/>
          <w:right w:w="108" w:type="dxa"/>
        </w:tblCellMar>
      </w:tblPr>
      <w:tblGrid>
        <w:gridCol w:w="2781"/>
        <w:gridCol w:w="2059"/>
        <w:gridCol w:w="2031"/>
        <w:gridCol w:w="2247"/>
      </w:tblGrid>
      <w:tr w14:paraId="72156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40" w:hRule="atLeast"/>
          <w:jc w:val="center"/>
        </w:trPr>
        <w:tc>
          <w:tcPr>
            <w:tcW w:w="1525" w:type="pct"/>
            <w:tcMar>
              <w:top w:w="0" w:type="dxa"/>
              <w:left w:w="108" w:type="dxa"/>
              <w:bottom w:w="0" w:type="dxa"/>
              <w:right w:w="108" w:type="dxa"/>
            </w:tcMar>
            <w:vAlign w:val="center"/>
          </w:tcPr>
          <w:p w14:paraId="4B1FA0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粒径变化范围（mm）</w:t>
            </w:r>
          </w:p>
        </w:tc>
        <w:tc>
          <w:tcPr>
            <w:tcW w:w="1129" w:type="pct"/>
            <w:tcMar>
              <w:top w:w="0" w:type="dxa"/>
              <w:left w:w="108" w:type="dxa"/>
              <w:bottom w:w="0" w:type="dxa"/>
              <w:right w:w="108" w:type="dxa"/>
            </w:tcMar>
            <w:vAlign w:val="center"/>
          </w:tcPr>
          <w:p w14:paraId="1F7593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均匀度系数</w:t>
            </w:r>
          </w:p>
        </w:tc>
        <w:tc>
          <w:tcPr>
            <w:tcW w:w="1114" w:type="pct"/>
            <w:tcMar>
              <w:top w:w="0" w:type="dxa"/>
              <w:left w:w="108" w:type="dxa"/>
              <w:bottom w:w="0" w:type="dxa"/>
              <w:right w:w="108" w:type="dxa"/>
            </w:tcMar>
            <w:vAlign w:val="center"/>
          </w:tcPr>
          <w:p w14:paraId="4376A5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指数m</w:t>
            </w:r>
          </w:p>
        </w:tc>
        <w:tc>
          <w:tcPr>
            <w:tcW w:w="1232" w:type="pct"/>
            <w:tcMar>
              <w:top w:w="0" w:type="dxa"/>
              <w:left w:w="108" w:type="dxa"/>
              <w:bottom w:w="0" w:type="dxa"/>
              <w:right w:w="108" w:type="dxa"/>
            </w:tcMar>
            <w:vAlign w:val="center"/>
          </w:tcPr>
          <w:p w14:paraId="411526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弥散度aL（m）</w:t>
            </w:r>
          </w:p>
        </w:tc>
      </w:tr>
      <w:tr w14:paraId="1AD291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525" w:type="pct"/>
            <w:tcMar>
              <w:top w:w="0" w:type="dxa"/>
              <w:left w:w="108" w:type="dxa"/>
              <w:bottom w:w="0" w:type="dxa"/>
              <w:right w:w="108" w:type="dxa"/>
            </w:tcMar>
            <w:vAlign w:val="center"/>
          </w:tcPr>
          <w:p w14:paraId="345CC5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0.4-0.7</w:t>
            </w:r>
          </w:p>
        </w:tc>
        <w:tc>
          <w:tcPr>
            <w:tcW w:w="1129" w:type="pct"/>
            <w:tcMar>
              <w:top w:w="0" w:type="dxa"/>
              <w:left w:w="108" w:type="dxa"/>
              <w:bottom w:w="0" w:type="dxa"/>
              <w:right w:w="108" w:type="dxa"/>
            </w:tcMar>
            <w:vAlign w:val="center"/>
          </w:tcPr>
          <w:p w14:paraId="438703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1.55</w:t>
            </w:r>
          </w:p>
        </w:tc>
        <w:tc>
          <w:tcPr>
            <w:tcW w:w="1114" w:type="pct"/>
            <w:tcMar>
              <w:top w:w="0" w:type="dxa"/>
              <w:left w:w="108" w:type="dxa"/>
              <w:bottom w:w="0" w:type="dxa"/>
              <w:right w:w="108" w:type="dxa"/>
            </w:tcMar>
            <w:vAlign w:val="center"/>
          </w:tcPr>
          <w:p w14:paraId="0BD95C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1.09</w:t>
            </w:r>
          </w:p>
        </w:tc>
        <w:tc>
          <w:tcPr>
            <w:tcW w:w="1232" w:type="pct"/>
            <w:tcMar>
              <w:top w:w="0" w:type="dxa"/>
              <w:left w:w="108" w:type="dxa"/>
              <w:bottom w:w="0" w:type="dxa"/>
              <w:right w:w="108" w:type="dxa"/>
            </w:tcMar>
            <w:vAlign w:val="center"/>
          </w:tcPr>
          <w:p w14:paraId="5E71CD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3.96×10</w:t>
            </w:r>
            <w:r>
              <w:rPr>
                <w:rFonts w:hint="default" w:ascii="Times New Roman" w:hAnsi="Times New Roman" w:eastAsia="宋体" w:cs="Times New Roman"/>
                <w:kern w:val="0"/>
                <w:szCs w:val="21"/>
                <w:vertAlign w:val="superscript"/>
              </w:rPr>
              <w:t>-3</w:t>
            </w:r>
          </w:p>
        </w:tc>
      </w:tr>
      <w:tr w14:paraId="52C428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525" w:type="pct"/>
            <w:tcMar>
              <w:top w:w="0" w:type="dxa"/>
              <w:left w:w="108" w:type="dxa"/>
              <w:bottom w:w="0" w:type="dxa"/>
              <w:right w:w="108" w:type="dxa"/>
            </w:tcMar>
            <w:vAlign w:val="center"/>
          </w:tcPr>
          <w:p w14:paraId="765F9A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0.5-1.5</w:t>
            </w:r>
          </w:p>
        </w:tc>
        <w:tc>
          <w:tcPr>
            <w:tcW w:w="1129" w:type="pct"/>
            <w:tcMar>
              <w:top w:w="0" w:type="dxa"/>
              <w:left w:w="108" w:type="dxa"/>
              <w:bottom w:w="0" w:type="dxa"/>
              <w:right w:w="108" w:type="dxa"/>
            </w:tcMar>
            <w:vAlign w:val="center"/>
          </w:tcPr>
          <w:p w14:paraId="6CD560D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1.85</w:t>
            </w:r>
          </w:p>
        </w:tc>
        <w:tc>
          <w:tcPr>
            <w:tcW w:w="1114" w:type="pct"/>
            <w:tcMar>
              <w:top w:w="0" w:type="dxa"/>
              <w:left w:w="108" w:type="dxa"/>
              <w:bottom w:w="0" w:type="dxa"/>
              <w:right w:w="108" w:type="dxa"/>
            </w:tcMar>
            <w:vAlign w:val="center"/>
          </w:tcPr>
          <w:p w14:paraId="37E784C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1232" w:type="pct"/>
            <w:tcMar>
              <w:top w:w="0" w:type="dxa"/>
              <w:left w:w="108" w:type="dxa"/>
              <w:bottom w:w="0" w:type="dxa"/>
              <w:right w:w="108" w:type="dxa"/>
            </w:tcMar>
            <w:vAlign w:val="center"/>
          </w:tcPr>
          <w:p w14:paraId="06CEB8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5.78×10</w:t>
            </w:r>
            <w:r>
              <w:rPr>
                <w:rFonts w:hint="default" w:ascii="Times New Roman" w:hAnsi="Times New Roman" w:eastAsia="宋体" w:cs="Times New Roman"/>
                <w:kern w:val="0"/>
                <w:szCs w:val="21"/>
                <w:vertAlign w:val="superscript"/>
              </w:rPr>
              <w:t>-3</w:t>
            </w:r>
          </w:p>
        </w:tc>
      </w:tr>
      <w:tr w14:paraId="61F9AB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525" w:type="pct"/>
            <w:tcMar>
              <w:top w:w="0" w:type="dxa"/>
              <w:left w:w="108" w:type="dxa"/>
              <w:bottom w:w="0" w:type="dxa"/>
              <w:right w:w="108" w:type="dxa"/>
            </w:tcMar>
            <w:vAlign w:val="center"/>
          </w:tcPr>
          <w:p w14:paraId="0FA6F6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w:t>
            </w:r>
          </w:p>
        </w:tc>
        <w:tc>
          <w:tcPr>
            <w:tcW w:w="1129" w:type="pct"/>
            <w:tcMar>
              <w:top w:w="0" w:type="dxa"/>
              <w:left w:w="108" w:type="dxa"/>
              <w:bottom w:w="0" w:type="dxa"/>
              <w:right w:w="108" w:type="dxa"/>
            </w:tcMar>
            <w:vAlign w:val="center"/>
          </w:tcPr>
          <w:p w14:paraId="2F653F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w:t>
            </w:r>
          </w:p>
        </w:tc>
        <w:tc>
          <w:tcPr>
            <w:tcW w:w="1114" w:type="pct"/>
            <w:tcMar>
              <w:top w:w="0" w:type="dxa"/>
              <w:left w:w="108" w:type="dxa"/>
              <w:bottom w:w="0" w:type="dxa"/>
              <w:right w:w="108" w:type="dxa"/>
            </w:tcMar>
            <w:vAlign w:val="center"/>
          </w:tcPr>
          <w:p w14:paraId="42F011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1.1</w:t>
            </w:r>
          </w:p>
        </w:tc>
        <w:tc>
          <w:tcPr>
            <w:tcW w:w="1232" w:type="pct"/>
            <w:tcMar>
              <w:top w:w="0" w:type="dxa"/>
              <w:left w:w="108" w:type="dxa"/>
              <w:bottom w:w="0" w:type="dxa"/>
              <w:right w:w="108" w:type="dxa"/>
            </w:tcMar>
            <w:vAlign w:val="center"/>
          </w:tcPr>
          <w:p w14:paraId="5998579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8.80×10</w:t>
            </w:r>
            <w:r>
              <w:rPr>
                <w:rFonts w:hint="default" w:ascii="Times New Roman" w:hAnsi="Times New Roman" w:eastAsia="宋体" w:cs="Times New Roman"/>
                <w:kern w:val="0"/>
                <w:szCs w:val="21"/>
                <w:vertAlign w:val="superscript"/>
              </w:rPr>
              <w:t>-3</w:t>
            </w:r>
          </w:p>
        </w:tc>
      </w:tr>
      <w:tr w14:paraId="2F94C3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525" w:type="pct"/>
            <w:tcMar>
              <w:top w:w="0" w:type="dxa"/>
              <w:left w:w="108" w:type="dxa"/>
              <w:bottom w:w="0" w:type="dxa"/>
              <w:right w:w="108" w:type="dxa"/>
            </w:tcMar>
            <w:vAlign w:val="center"/>
          </w:tcPr>
          <w:p w14:paraId="2291AB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2-3</w:t>
            </w:r>
          </w:p>
        </w:tc>
        <w:tc>
          <w:tcPr>
            <w:tcW w:w="1129" w:type="pct"/>
            <w:tcMar>
              <w:top w:w="0" w:type="dxa"/>
              <w:left w:w="108" w:type="dxa"/>
              <w:bottom w:w="0" w:type="dxa"/>
              <w:right w:w="108" w:type="dxa"/>
            </w:tcMar>
            <w:vAlign w:val="center"/>
          </w:tcPr>
          <w:p w14:paraId="7CFB51C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1114" w:type="pct"/>
            <w:tcMar>
              <w:top w:w="0" w:type="dxa"/>
              <w:left w:w="108" w:type="dxa"/>
              <w:bottom w:w="0" w:type="dxa"/>
              <w:right w:w="108" w:type="dxa"/>
            </w:tcMar>
            <w:vAlign w:val="center"/>
          </w:tcPr>
          <w:p w14:paraId="305020F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1.09</w:t>
            </w:r>
          </w:p>
        </w:tc>
        <w:tc>
          <w:tcPr>
            <w:tcW w:w="1232" w:type="pct"/>
            <w:tcMar>
              <w:top w:w="0" w:type="dxa"/>
              <w:left w:w="108" w:type="dxa"/>
              <w:bottom w:w="0" w:type="dxa"/>
              <w:right w:w="108" w:type="dxa"/>
            </w:tcMar>
            <w:vAlign w:val="center"/>
          </w:tcPr>
          <w:p w14:paraId="5192B3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1.30×10</w:t>
            </w:r>
            <w:r>
              <w:rPr>
                <w:rFonts w:hint="default" w:ascii="Times New Roman" w:hAnsi="Times New Roman" w:eastAsia="宋体" w:cs="Times New Roman"/>
                <w:kern w:val="0"/>
                <w:szCs w:val="21"/>
                <w:vertAlign w:val="superscript"/>
              </w:rPr>
              <w:t>-2</w:t>
            </w:r>
          </w:p>
        </w:tc>
      </w:tr>
      <w:tr w14:paraId="368573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525" w:type="pct"/>
            <w:tcMar>
              <w:top w:w="0" w:type="dxa"/>
              <w:left w:w="108" w:type="dxa"/>
              <w:bottom w:w="0" w:type="dxa"/>
              <w:right w:w="108" w:type="dxa"/>
            </w:tcMar>
            <w:vAlign w:val="center"/>
          </w:tcPr>
          <w:p w14:paraId="56F05C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5-7</w:t>
            </w:r>
          </w:p>
        </w:tc>
        <w:tc>
          <w:tcPr>
            <w:tcW w:w="1129" w:type="pct"/>
            <w:tcMar>
              <w:top w:w="0" w:type="dxa"/>
              <w:left w:w="108" w:type="dxa"/>
              <w:bottom w:w="0" w:type="dxa"/>
              <w:right w:w="108" w:type="dxa"/>
            </w:tcMar>
            <w:vAlign w:val="center"/>
          </w:tcPr>
          <w:p w14:paraId="6F5B0D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1.3</w:t>
            </w:r>
          </w:p>
        </w:tc>
        <w:tc>
          <w:tcPr>
            <w:tcW w:w="1114" w:type="pct"/>
            <w:tcMar>
              <w:top w:w="0" w:type="dxa"/>
              <w:left w:w="108" w:type="dxa"/>
              <w:bottom w:w="0" w:type="dxa"/>
              <w:right w:w="108" w:type="dxa"/>
            </w:tcMar>
            <w:vAlign w:val="center"/>
          </w:tcPr>
          <w:p w14:paraId="3B2B3C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1.09</w:t>
            </w:r>
          </w:p>
        </w:tc>
        <w:tc>
          <w:tcPr>
            <w:tcW w:w="1232" w:type="pct"/>
            <w:tcMar>
              <w:top w:w="0" w:type="dxa"/>
              <w:left w:w="108" w:type="dxa"/>
              <w:bottom w:w="0" w:type="dxa"/>
              <w:right w:w="108" w:type="dxa"/>
            </w:tcMar>
            <w:vAlign w:val="center"/>
          </w:tcPr>
          <w:p w14:paraId="137597B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1.67×10</w:t>
            </w:r>
            <w:r>
              <w:rPr>
                <w:rFonts w:hint="default" w:ascii="Times New Roman" w:hAnsi="Times New Roman" w:eastAsia="宋体" w:cs="Times New Roman"/>
                <w:kern w:val="0"/>
                <w:szCs w:val="21"/>
                <w:vertAlign w:val="superscript"/>
              </w:rPr>
              <w:t>-2</w:t>
            </w:r>
          </w:p>
        </w:tc>
      </w:tr>
      <w:tr w14:paraId="0BD9A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525" w:type="pct"/>
            <w:tcMar>
              <w:top w:w="0" w:type="dxa"/>
              <w:left w:w="108" w:type="dxa"/>
              <w:bottom w:w="0" w:type="dxa"/>
              <w:right w:w="108" w:type="dxa"/>
            </w:tcMar>
            <w:vAlign w:val="center"/>
          </w:tcPr>
          <w:p w14:paraId="5CD8C0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0.5-2</w:t>
            </w:r>
          </w:p>
        </w:tc>
        <w:tc>
          <w:tcPr>
            <w:tcW w:w="1129" w:type="pct"/>
            <w:tcMar>
              <w:top w:w="0" w:type="dxa"/>
              <w:left w:w="108" w:type="dxa"/>
              <w:bottom w:w="0" w:type="dxa"/>
              <w:right w:w="108" w:type="dxa"/>
            </w:tcMar>
            <w:vAlign w:val="center"/>
          </w:tcPr>
          <w:p w14:paraId="608015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w:t>
            </w:r>
          </w:p>
        </w:tc>
        <w:tc>
          <w:tcPr>
            <w:tcW w:w="1114" w:type="pct"/>
            <w:tcMar>
              <w:top w:w="0" w:type="dxa"/>
              <w:left w:w="108" w:type="dxa"/>
              <w:bottom w:w="0" w:type="dxa"/>
              <w:right w:w="108" w:type="dxa"/>
            </w:tcMar>
            <w:vAlign w:val="center"/>
          </w:tcPr>
          <w:p w14:paraId="6D0D8A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1.08</w:t>
            </w:r>
          </w:p>
        </w:tc>
        <w:tc>
          <w:tcPr>
            <w:tcW w:w="1232" w:type="pct"/>
            <w:tcMar>
              <w:top w:w="0" w:type="dxa"/>
              <w:left w:w="108" w:type="dxa"/>
              <w:bottom w:w="0" w:type="dxa"/>
              <w:right w:w="108" w:type="dxa"/>
            </w:tcMar>
            <w:vAlign w:val="center"/>
          </w:tcPr>
          <w:p w14:paraId="184FBD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3.11×10</w:t>
            </w:r>
            <w:r>
              <w:rPr>
                <w:rFonts w:hint="default" w:ascii="Times New Roman" w:hAnsi="Times New Roman" w:eastAsia="宋体" w:cs="Times New Roman"/>
                <w:kern w:val="0"/>
                <w:szCs w:val="21"/>
                <w:vertAlign w:val="superscript"/>
              </w:rPr>
              <w:t>-3</w:t>
            </w:r>
          </w:p>
        </w:tc>
      </w:tr>
      <w:tr w14:paraId="57BC36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525" w:type="pct"/>
            <w:tcMar>
              <w:top w:w="0" w:type="dxa"/>
              <w:left w:w="108" w:type="dxa"/>
              <w:bottom w:w="0" w:type="dxa"/>
              <w:right w:w="108" w:type="dxa"/>
            </w:tcMar>
            <w:vAlign w:val="center"/>
          </w:tcPr>
          <w:p w14:paraId="377E87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0.2-5</w:t>
            </w:r>
          </w:p>
        </w:tc>
        <w:tc>
          <w:tcPr>
            <w:tcW w:w="1129" w:type="pct"/>
            <w:tcMar>
              <w:top w:w="0" w:type="dxa"/>
              <w:left w:w="108" w:type="dxa"/>
              <w:bottom w:w="0" w:type="dxa"/>
              <w:right w:w="108" w:type="dxa"/>
            </w:tcMar>
            <w:vAlign w:val="center"/>
          </w:tcPr>
          <w:p w14:paraId="2D82BD1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5</w:t>
            </w:r>
          </w:p>
        </w:tc>
        <w:tc>
          <w:tcPr>
            <w:tcW w:w="1114" w:type="pct"/>
            <w:tcMar>
              <w:top w:w="0" w:type="dxa"/>
              <w:left w:w="108" w:type="dxa"/>
              <w:bottom w:w="0" w:type="dxa"/>
              <w:right w:w="108" w:type="dxa"/>
            </w:tcMar>
            <w:vAlign w:val="center"/>
          </w:tcPr>
          <w:p w14:paraId="2560EE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1.08</w:t>
            </w:r>
          </w:p>
        </w:tc>
        <w:tc>
          <w:tcPr>
            <w:tcW w:w="1232" w:type="pct"/>
            <w:tcMar>
              <w:top w:w="0" w:type="dxa"/>
              <w:left w:w="108" w:type="dxa"/>
              <w:bottom w:w="0" w:type="dxa"/>
              <w:right w:w="108" w:type="dxa"/>
            </w:tcMar>
            <w:vAlign w:val="center"/>
          </w:tcPr>
          <w:p w14:paraId="606560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8.30×10</w:t>
            </w:r>
            <w:r>
              <w:rPr>
                <w:rFonts w:hint="default" w:ascii="Times New Roman" w:hAnsi="Times New Roman" w:eastAsia="宋体" w:cs="Times New Roman"/>
                <w:kern w:val="0"/>
                <w:szCs w:val="21"/>
                <w:vertAlign w:val="superscript"/>
              </w:rPr>
              <w:t>-3</w:t>
            </w:r>
          </w:p>
        </w:tc>
      </w:tr>
      <w:tr w14:paraId="557ED6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525" w:type="pct"/>
            <w:tcMar>
              <w:top w:w="0" w:type="dxa"/>
              <w:left w:w="108" w:type="dxa"/>
              <w:bottom w:w="0" w:type="dxa"/>
              <w:right w:w="108" w:type="dxa"/>
            </w:tcMar>
            <w:vAlign w:val="center"/>
          </w:tcPr>
          <w:p w14:paraId="28C012C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0.1-10</w:t>
            </w:r>
          </w:p>
        </w:tc>
        <w:tc>
          <w:tcPr>
            <w:tcW w:w="1129" w:type="pct"/>
            <w:tcMar>
              <w:top w:w="0" w:type="dxa"/>
              <w:left w:w="108" w:type="dxa"/>
              <w:bottom w:w="0" w:type="dxa"/>
              <w:right w:w="108" w:type="dxa"/>
            </w:tcMar>
            <w:vAlign w:val="center"/>
          </w:tcPr>
          <w:p w14:paraId="411E1F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w:t>
            </w:r>
          </w:p>
        </w:tc>
        <w:tc>
          <w:tcPr>
            <w:tcW w:w="1114" w:type="pct"/>
            <w:tcMar>
              <w:top w:w="0" w:type="dxa"/>
              <w:left w:w="108" w:type="dxa"/>
              <w:bottom w:w="0" w:type="dxa"/>
              <w:right w:w="108" w:type="dxa"/>
            </w:tcMar>
            <w:vAlign w:val="center"/>
          </w:tcPr>
          <w:p w14:paraId="701D03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1.07</w:t>
            </w:r>
          </w:p>
        </w:tc>
        <w:tc>
          <w:tcPr>
            <w:tcW w:w="1232" w:type="pct"/>
            <w:tcMar>
              <w:top w:w="0" w:type="dxa"/>
              <w:left w:w="108" w:type="dxa"/>
              <w:bottom w:w="0" w:type="dxa"/>
              <w:right w:w="108" w:type="dxa"/>
            </w:tcMar>
            <w:vAlign w:val="center"/>
          </w:tcPr>
          <w:p w14:paraId="2A46F85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1.63×10</w:t>
            </w:r>
            <w:r>
              <w:rPr>
                <w:rFonts w:hint="default" w:ascii="Times New Roman" w:hAnsi="Times New Roman" w:eastAsia="宋体" w:cs="Times New Roman"/>
                <w:kern w:val="0"/>
                <w:szCs w:val="21"/>
                <w:vertAlign w:val="superscript"/>
              </w:rPr>
              <w:t>-2</w:t>
            </w:r>
          </w:p>
        </w:tc>
      </w:tr>
      <w:tr w14:paraId="317F72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525" w:type="pct"/>
            <w:tcMar>
              <w:top w:w="0" w:type="dxa"/>
              <w:left w:w="108" w:type="dxa"/>
              <w:bottom w:w="0" w:type="dxa"/>
              <w:right w:w="108" w:type="dxa"/>
            </w:tcMar>
            <w:vAlign w:val="center"/>
          </w:tcPr>
          <w:p w14:paraId="411A532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0.05-20</w:t>
            </w:r>
          </w:p>
        </w:tc>
        <w:tc>
          <w:tcPr>
            <w:tcW w:w="1129" w:type="pct"/>
            <w:tcMar>
              <w:top w:w="0" w:type="dxa"/>
              <w:left w:w="108" w:type="dxa"/>
              <w:bottom w:w="0" w:type="dxa"/>
              <w:right w:w="108" w:type="dxa"/>
            </w:tcMar>
            <w:vAlign w:val="center"/>
          </w:tcPr>
          <w:p w14:paraId="28D7D0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20</w:t>
            </w:r>
          </w:p>
        </w:tc>
        <w:tc>
          <w:tcPr>
            <w:tcW w:w="1114" w:type="pct"/>
            <w:tcMar>
              <w:top w:w="0" w:type="dxa"/>
              <w:left w:w="108" w:type="dxa"/>
              <w:bottom w:w="0" w:type="dxa"/>
              <w:right w:w="108" w:type="dxa"/>
            </w:tcMar>
            <w:vAlign w:val="center"/>
          </w:tcPr>
          <w:p w14:paraId="16A3DA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1.07</w:t>
            </w:r>
          </w:p>
        </w:tc>
        <w:tc>
          <w:tcPr>
            <w:tcW w:w="1232" w:type="pct"/>
            <w:tcMar>
              <w:top w:w="0" w:type="dxa"/>
              <w:left w:w="108" w:type="dxa"/>
              <w:bottom w:w="0" w:type="dxa"/>
              <w:right w:w="108" w:type="dxa"/>
            </w:tcMar>
            <w:vAlign w:val="center"/>
          </w:tcPr>
          <w:p w14:paraId="0FE32D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7.07×10</w:t>
            </w:r>
            <w:r>
              <w:rPr>
                <w:rFonts w:hint="default" w:ascii="Times New Roman" w:hAnsi="Times New Roman" w:eastAsia="宋体" w:cs="Times New Roman"/>
                <w:kern w:val="0"/>
                <w:szCs w:val="21"/>
                <w:vertAlign w:val="superscript"/>
              </w:rPr>
              <w:t>-2</w:t>
            </w:r>
          </w:p>
        </w:tc>
      </w:tr>
    </w:tbl>
    <w:p w14:paraId="74843EEA">
      <w:pPr>
        <w:pStyle w:val="106"/>
        <w:ind w:firstLine="480"/>
        <w:rPr>
          <w:rFonts w:hint="default" w:ascii="Times New Roman" w:hAnsi="Times New Roman" w:eastAsia="宋体" w:cs="Times New Roman"/>
          <w:sz w:val="24"/>
        </w:rPr>
      </w:pPr>
      <w:r>
        <w:rPr>
          <w:rFonts w:hint="default" w:ascii="Times New Roman" w:hAnsi="Times New Roman" w:eastAsia="宋体" w:cs="Times New Roman"/>
          <w:sz w:val="24"/>
        </w:rPr>
        <w:t>计算参数结果见表7.6-3。</w:t>
      </w:r>
    </w:p>
    <w:p w14:paraId="3A7D6231">
      <w:pPr>
        <w:pStyle w:val="13"/>
        <w:spacing w:before="93" w:after="93"/>
        <w:jc w:val="center"/>
        <w:rPr>
          <w:rFonts w:hint="default" w:ascii="Times New Roman" w:hAnsi="Times New Roman" w:eastAsia="宋体" w:cs="Times New Roman"/>
          <w:b/>
          <w:szCs w:val="21"/>
        </w:rPr>
      </w:pPr>
      <w:r>
        <w:rPr>
          <w:rFonts w:hint="default" w:ascii="Times New Roman" w:hAnsi="Times New Roman" w:eastAsia="宋体" w:cs="Times New Roman"/>
          <w:b/>
          <w:szCs w:val="21"/>
        </w:rPr>
        <w:t>表7.6-3  计算参数一览表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57" w:type="dxa"/>
          <w:left w:w="108" w:type="dxa"/>
          <w:bottom w:w="57" w:type="dxa"/>
          <w:right w:w="108" w:type="dxa"/>
        </w:tblCellMar>
      </w:tblPr>
      <w:tblGrid>
        <w:gridCol w:w="2104"/>
        <w:gridCol w:w="2316"/>
        <w:gridCol w:w="2318"/>
        <w:gridCol w:w="2380"/>
      </w:tblGrid>
      <w:tr w14:paraId="2ED44E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154" w:type="pct"/>
            <w:tcMar>
              <w:top w:w="0" w:type="dxa"/>
              <w:left w:w="108" w:type="dxa"/>
              <w:bottom w:w="0" w:type="dxa"/>
              <w:right w:w="108" w:type="dxa"/>
            </w:tcMar>
            <w:vAlign w:val="center"/>
          </w:tcPr>
          <w:p w14:paraId="187FFE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参数</w:t>
            </w:r>
          </w:p>
        </w:tc>
        <w:tc>
          <w:tcPr>
            <w:tcW w:w="1270" w:type="pct"/>
            <w:tcMar>
              <w:top w:w="0" w:type="dxa"/>
              <w:left w:w="108" w:type="dxa"/>
              <w:bottom w:w="0" w:type="dxa"/>
              <w:right w:w="108" w:type="dxa"/>
            </w:tcMar>
            <w:vAlign w:val="center"/>
          </w:tcPr>
          <w:p w14:paraId="37B2632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地下水实际流速U（m/d）</w:t>
            </w:r>
          </w:p>
        </w:tc>
        <w:tc>
          <w:tcPr>
            <w:tcW w:w="1271" w:type="pct"/>
            <w:tcMar>
              <w:top w:w="0" w:type="dxa"/>
              <w:left w:w="108" w:type="dxa"/>
              <w:bottom w:w="0" w:type="dxa"/>
              <w:right w:w="108" w:type="dxa"/>
            </w:tcMar>
            <w:vAlign w:val="center"/>
          </w:tcPr>
          <w:p w14:paraId="3AF94E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纵向弥散系数DL（m</w:t>
            </w:r>
            <w:r>
              <w:rPr>
                <w:rFonts w:hint="default" w:ascii="Times New Roman" w:hAnsi="Times New Roman" w:eastAsia="宋体" w:cs="Times New Roman"/>
                <w:kern w:val="0"/>
                <w:szCs w:val="21"/>
                <w:vertAlign w:val="superscript"/>
              </w:rPr>
              <w:t>2</w:t>
            </w:r>
            <w:r>
              <w:rPr>
                <w:rFonts w:hint="default" w:ascii="Times New Roman" w:hAnsi="Times New Roman" w:eastAsia="宋体" w:cs="Times New Roman"/>
                <w:kern w:val="0"/>
                <w:szCs w:val="21"/>
              </w:rPr>
              <w:t>/d）</w:t>
            </w:r>
          </w:p>
        </w:tc>
        <w:tc>
          <w:tcPr>
            <w:tcW w:w="1305" w:type="pct"/>
            <w:vAlign w:val="center"/>
          </w:tcPr>
          <w:p w14:paraId="7081C90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横向弥散系数</w:t>
            </w:r>
          </w:p>
          <w:p w14:paraId="1E0175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DT（m</w:t>
            </w:r>
            <w:r>
              <w:rPr>
                <w:rFonts w:hint="default" w:ascii="Times New Roman" w:hAnsi="Times New Roman" w:eastAsia="宋体" w:cs="Times New Roman"/>
                <w:kern w:val="0"/>
                <w:szCs w:val="21"/>
                <w:vertAlign w:val="superscript"/>
              </w:rPr>
              <w:t>2</w:t>
            </w:r>
            <w:r>
              <w:rPr>
                <w:rFonts w:hint="default" w:ascii="Times New Roman" w:hAnsi="Times New Roman" w:eastAsia="宋体" w:cs="Times New Roman"/>
                <w:kern w:val="0"/>
                <w:szCs w:val="21"/>
              </w:rPr>
              <w:t>/d）</w:t>
            </w:r>
          </w:p>
        </w:tc>
      </w:tr>
      <w:tr w14:paraId="5595E5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57" w:type="dxa"/>
            <w:left w:w="108" w:type="dxa"/>
            <w:bottom w:w="57" w:type="dxa"/>
            <w:right w:w="108" w:type="dxa"/>
          </w:tblCellMar>
        </w:tblPrEx>
        <w:trPr>
          <w:trHeight w:val="340" w:hRule="atLeast"/>
          <w:jc w:val="center"/>
        </w:trPr>
        <w:tc>
          <w:tcPr>
            <w:tcW w:w="1154" w:type="pct"/>
            <w:tcMar>
              <w:top w:w="0" w:type="dxa"/>
              <w:left w:w="108" w:type="dxa"/>
              <w:bottom w:w="0" w:type="dxa"/>
              <w:right w:w="108" w:type="dxa"/>
            </w:tcMar>
            <w:vAlign w:val="center"/>
          </w:tcPr>
          <w:p w14:paraId="39B4C0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项目建设区含水层</w:t>
            </w:r>
          </w:p>
        </w:tc>
        <w:tc>
          <w:tcPr>
            <w:tcW w:w="1270" w:type="pct"/>
            <w:tcMar>
              <w:top w:w="0" w:type="dxa"/>
              <w:left w:w="108" w:type="dxa"/>
              <w:bottom w:w="0" w:type="dxa"/>
              <w:right w:w="108" w:type="dxa"/>
            </w:tcMar>
            <w:vAlign w:val="center"/>
          </w:tcPr>
          <w:p w14:paraId="128B3AC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0.12</w:t>
            </w:r>
          </w:p>
        </w:tc>
        <w:tc>
          <w:tcPr>
            <w:tcW w:w="1271" w:type="pct"/>
            <w:tcMar>
              <w:top w:w="0" w:type="dxa"/>
              <w:left w:w="108" w:type="dxa"/>
              <w:bottom w:w="0" w:type="dxa"/>
              <w:right w:w="108" w:type="dxa"/>
            </w:tcMar>
            <w:vAlign w:val="center"/>
          </w:tcPr>
          <w:p w14:paraId="428ECD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1.22</w:t>
            </w:r>
          </w:p>
        </w:tc>
        <w:tc>
          <w:tcPr>
            <w:tcW w:w="1305" w:type="pct"/>
            <w:vAlign w:val="center"/>
          </w:tcPr>
          <w:p w14:paraId="702F07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0.122</w:t>
            </w:r>
          </w:p>
        </w:tc>
      </w:tr>
    </w:tbl>
    <w:p w14:paraId="06CCA11D">
      <w:pPr>
        <w:pStyle w:val="4"/>
        <w:spacing w:before="0" w:after="0" w:line="360" w:lineRule="auto"/>
        <w:rPr>
          <w:rFonts w:hint="default" w:ascii="Times New Roman" w:hAnsi="Times New Roman" w:eastAsia="宋体" w:cs="Times New Roman"/>
          <w:sz w:val="28"/>
          <w:u w:val="single"/>
          <w:lang w:val="zh-TW" w:eastAsia="zh-TW"/>
        </w:rPr>
      </w:pPr>
      <w:r>
        <w:rPr>
          <w:rFonts w:hint="default" w:ascii="Times New Roman" w:hAnsi="Times New Roman" w:eastAsia="宋体" w:cs="Times New Roman"/>
          <w:sz w:val="28"/>
          <w:u w:val="single"/>
        </w:rPr>
        <w:t>7.6.8预测结果</w:t>
      </w:r>
    </w:p>
    <w:p w14:paraId="5BC611F1">
      <w:pPr>
        <w:spacing w:line="360" w:lineRule="auto"/>
        <w:ind w:firstLine="480"/>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考虑到有机污染物在地下</w:t>
      </w:r>
      <w:r>
        <w:rPr>
          <w:rFonts w:hint="default" w:ascii="Times New Roman" w:hAnsi="Times New Roman" w:eastAsia="宋体" w:cs="Times New Roman"/>
          <w:sz w:val="24"/>
          <w:u w:val="single"/>
          <w:lang w:eastAsia="zh-CN"/>
        </w:rPr>
        <w:t>水</w:t>
      </w:r>
      <w:r>
        <w:rPr>
          <w:rFonts w:hint="default" w:ascii="Times New Roman" w:hAnsi="Times New Roman" w:eastAsia="宋体" w:cs="Times New Roman"/>
          <w:sz w:val="24"/>
          <w:u w:val="single"/>
        </w:rPr>
        <w:t>中的运移非常复杂，影响因素除对流、弥散作用以外，还存在物理、化学、微生物等作用，这些作用常常会使污染浓度衰减。目前国际上对这些作用参数的准确获取还存在着困难；且保守型考虑符合工程设计的思想。从保守性角度考虑，假设污染物在运移中不与含水层介质发生反应，可以被认为是保守型污染质，只按保守型污染物来计算，即只考虑运移过程中的对流、弥散作用。在国际上有很多用保守型污染物作为模拟因子的环境质量评价的成功案例。因此，本次污染模拟计算中，未考虑污染物在含水层中的吸附、挥发、生化反应等，模型的各参数也予以保守性考虑。</w:t>
      </w:r>
    </w:p>
    <w:p w14:paraId="66AB1A86">
      <w:pPr>
        <w:pStyle w:val="12"/>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将本次预测模型转换形式后可得：</w:t>
      </w:r>
    </w:p>
    <w:p w14:paraId="476D2D20">
      <w:pPr>
        <w:pStyle w:val="12"/>
        <w:spacing w:line="360" w:lineRule="auto"/>
        <w:ind w:firstLine="560"/>
        <w:jc w:val="center"/>
        <w:rPr>
          <w:rFonts w:hint="default" w:ascii="Times New Roman" w:hAnsi="Times New Roman" w:eastAsia="宋体" w:cs="Times New Roman"/>
          <w:u w:val="single"/>
        </w:rPr>
      </w:pPr>
      <w:r>
        <w:rPr>
          <w:rFonts w:hint="default" w:ascii="Times New Roman" w:hAnsi="Times New Roman" w:eastAsia="宋体" w:cs="Times New Roman"/>
          <w:u w:val="single"/>
        </w:rPr>
        <w:pict>
          <v:shape id="_x0000_i1031" o:spt="75" type="#_x0000_t75" style="height:41.4pt;width:277.25pt;" filled="f" o:preferrelative="t" stroked="f" coordsize="21600,21600" equationxml="&lt;">
            <v:path/>
            <v:fill on="f" focussize="0,0"/>
            <v:stroke on="f" joinstyle="miter"/>
            <v:imagedata r:id="rId51" chromakey="#FFFFFF" o:title=""/>
            <o:lock v:ext="edit" aspectratio="t"/>
            <w10:wrap type="none"/>
            <w10:anchorlock/>
          </v:shape>
        </w:pict>
      </w:r>
    </w:p>
    <w:p w14:paraId="464EBC41">
      <w:pPr>
        <w:pStyle w:val="12"/>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从上式可知，当污染物排放量一定、排放时间一定时，同一浓度等值线为一椭圆， 同时仅当右式大于0时该式才有意义。将各参数代入式中，在此分别预测100d、1000d、3650d三个时段的特征污染因子的运移情况。</w:t>
      </w:r>
    </w:p>
    <w:p w14:paraId="5D62D3A1">
      <w:pPr>
        <w:pStyle w:val="12"/>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固定迁移时间下，不同距离污染物浓度的预测结果如下：</w:t>
      </w:r>
    </w:p>
    <w:p w14:paraId="79694888">
      <w:pPr>
        <w:pStyle w:val="12"/>
        <w:spacing w:line="360" w:lineRule="auto"/>
        <w:jc w:val="center"/>
        <w:rPr>
          <w:rFonts w:hint="default" w:ascii="Times New Roman" w:hAnsi="Times New Roman" w:eastAsia="宋体" w:cs="Times New Roman"/>
          <w:b/>
          <w:sz w:val="21"/>
          <w:szCs w:val="21"/>
          <w:u w:val="single"/>
        </w:rPr>
      </w:pPr>
      <w:r>
        <w:rPr>
          <w:rFonts w:hint="default" w:ascii="Times New Roman" w:hAnsi="Times New Roman" w:eastAsia="宋体" w:cs="Times New Roman"/>
          <w:b/>
          <w:sz w:val="21"/>
          <w:szCs w:val="21"/>
          <w:u w:val="single"/>
        </w:rPr>
        <w:t>表7.6-4  非正常情况下污染因子运移结果表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882"/>
        <w:gridCol w:w="638"/>
        <w:gridCol w:w="1275"/>
        <w:gridCol w:w="1049"/>
        <w:gridCol w:w="1170"/>
        <w:gridCol w:w="1108"/>
        <w:gridCol w:w="1427"/>
        <w:gridCol w:w="1383"/>
      </w:tblGrid>
      <w:tr w14:paraId="6E90480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851" w:type="pct"/>
            <w:gridSpan w:val="2"/>
            <w:vAlign w:val="center"/>
          </w:tcPr>
          <w:p w14:paraId="5AE381E8">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情景</w:t>
            </w:r>
          </w:p>
        </w:tc>
        <w:tc>
          <w:tcPr>
            <w:tcW w:w="714" w:type="pct"/>
            <w:vAlign w:val="center"/>
          </w:tcPr>
          <w:p w14:paraId="32E10264">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预测</w:t>
            </w:r>
          </w:p>
          <w:p w14:paraId="29C7CD1F">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时间</w:t>
            </w:r>
          </w:p>
        </w:tc>
        <w:tc>
          <w:tcPr>
            <w:tcW w:w="587" w:type="pct"/>
            <w:vAlign w:val="center"/>
          </w:tcPr>
          <w:p w14:paraId="53338B6F">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标准值</w:t>
            </w:r>
          </w:p>
          <w:p w14:paraId="2A0E7C58">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（mg/L）</w:t>
            </w:r>
          </w:p>
        </w:tc>
        <w:tc>
          <w:tcPr>
            <w:tcW w:w="655" w:type="pct"/>
            <w:vAlign w:val="center"/>
          </w:tcPr>
          <w:p w14:paraId="46B923CD">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预测最大值</w:t>
            </w:r>
          </w:p>
          <w:p w14:paraId="266EED94">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（mg/L）</w:t>
            </w:r>
          </w:p>
        </w:tc>
        <w:tc>
          <w:tcPr>
            <w:tcW w:w="620" w:type="pct"/>
            <w:vAlign w:val="center"/>
          </w:tcPr>
          <w:p w14:paraId="2D9D674E">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最大值距离</w:t>
            </w:r>
            <w:r>
              <w:rPr>
                <w:rFonts w:hint="default" w:ascii="Times New Roman" w:hAnsi="Times New Roman" w:eastAsia="宋体" w:cs="Times New Roman"/>
                <w:sz w:val="21"/>
                <w:u w:val="single"/>
                <w:lang w:eastAsia="en-US"/>
              </w:rPr>
              <w:t>（</w:t>
            </w:r>
            <w:r>
              <w:rPr>
                <w:rFonts w:hint="default" w:ascii="Times New Roman" w:hAnsi="Times New Roman" w:eastAsia="宋体" w:cs="Times New Roman"/>
                <w:sz w:val="21"/>
                <w:u w:val="single"/>
              </w:rPr>
              <w:t>下游</w:t>
            </w:r>
            <w:r>
              <w:rPr>
                <w:rFonts w:hint="default" w:ascii="Times New Roman" w:hAnsi="Times New Roman" w:eastAsia="宋体" w:cs="Times New Roman"/>
                <w:sz w:val="21"/>
                <w:u w:val="single"/>
                <w:lang w:eastAsia="en-US"/>
              </w:rPr>
              <w:t>m）</w:t>
            </w:r>
          </w:p>
        </w:tc>
        <w:tc>
          <w:tcPr>
            <w:tcW w:w="799" w:type="pct"/>
            <w:vAlign w:val="center"/>
          </w:tcPr>
          <w:p w14:paraId="5AA76ECB">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预测超标最远距离</w:t>
            </w:r>
          </w:p>
          <w:p w14:paraId="31D6B910">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（下游m）</w:t>
            </w:r>
          </w:p>
        </w:tc>
        <w:tc>
          <w:tcPr>
            <w:tcW w:w="774" w:type="pct"/>
            <w:vAlign w:val="center"/>
          </w:tcPr>
          <w:p w14:paraId="463DEE9E">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预测影响最远距离</w:t>
            </w:r>
          </w:p>
          <w:p w14:paraId="1C8C3C21">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（下游m）</w:t>
            </w:r>
          </w:p>
        </w:tc>
      </w:tr>
      <w:tr w14:paraId="4DFEF13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94" w:type="pct"/>
            <w:vMerge w:val="restart"/>
            <w:vAlign w:val="center"/>
          </w:tcPr>
          <w:p w14:paraId="7685869E">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污水处理站调节池泄漏</w:t>
            </w:r>
          </w:p>
        </w:tc>
        <w:tc>
          <w:tcPr>
            <w:tcW w:w="357" w:type="pct"/>
            <w:vMerge w:val="restart"/>
            <w:vAlign w:val="center"/>
          </w:tcPr>
          <w:p w14:paraId="76A05E0A">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CODcr</w:t>
            </w:r>
          </w:p>
        </w:tc>
        <w:tc>
          <w:tcPr>
            <w:tcW w:w="714" w:type="pct"/>
            <w:vAlign w:val="center"/>
          </w:tcPr>
          <w:p w14:paraId="34200660">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100d</w:t>
            </w:r>
          </w:p>
        </w:tc>
        <w:tc>
          <w:tcPr>
            <w:tcW w:w="587" w:type="pct"/>
            <w:vMerge w:val="restart"/>
            <w:vAlign w:val="center"/>
          </w:tcPr>
          <w:p w14:paraId="515B9E09">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20</w:t>
            </w:r>
          </w:p>
        </w:tc>
        <w:tc>
          <w:tcPr>
            <w:tcW w:w="655" w:type="pct"/>
            <w:vAlign w:val="center"/>
          </w:tcPr>
          <w:p w14:paraId="5F4CED98">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54.75</w:t>
            </w:r>
          </w:p>
        </w:tc>
        <w:tc>
          <w:tcPr>
            <w:tcW w:w="620" w:type="pct"/>
            <w:vAlign w:val="center"/>
          </w:tcPr>
          <w:p w14:paraId="210613F1">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19</w:t>
            </w:r>
          </w:p>
        </w:tc>
        <w:tc>
          <w:tcPr>
            <w:tcW w:w="799" w:type="pct"/>
            <w:vAlign w:val="center"/>
          </w:tcPr>
          <w:p w14:paraId="12D4AA08">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39</w:t>
            </w:r>
          </w:p>
        </w:tc>
        <w:tc>
          <w:tcPr>
            <w:tcW w:w="774" w:type="pct"/>
            <w:vAlign w:val="center"/>
          </w:tcPr>
          <w:p w14:paraId="7E913D35">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63</w:t>
            </w:r>
          </w:p>
        </w:tc>
      </w:tr>
      <w:tr w14:paraId="426C17C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94" w:type="pct"/>
            <w:vMerge w:val="continue"/>
            <w:vAlign w:val="center"/>
          </w:tcPr>
          <w:p w14:paraId="3403E59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357" w:type="pct"/>
            <w:vMerge w:val="continue"/>
            <w:vAlign w:val="center"/>
          </w:tcPr>
          <w:p w14:paraId="2D46779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714" w:type="pct"/>
            <w:vAlign w:val="center"/>
          </w:tcPr>
          <w:p w14:paraId="2474E000">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1000d</w:t>
            </w:r>
          </w:p>
        </w:tc>
        <w:tc>
          <w:tcPr>
            <w:tcW w:w="587" w:type="pct"/>
            <w:vMerge w:val="continue"/>
            <w:vAlign w:val="center"/>
          </w:tcPr>
          <w:p w14:paraId="677D38B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655" w:type="pct"/>
            <w:vAlign w:val="center"/>
          </w:tcPr>
          <w:p w14:paraId="6BFBD1B9">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14.89</w:t>
            </w:r>
          </w:p>
        </w:tc>
        <w:tc>
          <w:tcPr>
            <w:tcW w:w="620" w:type="pct"/>
            <w:vAlign w:val="center"/>
          </w:tcPr>
          <w:p w14:paraId="41D3D9F5">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129</w:t>
            </w:r>
          </w:p>
        </w:tc>
        <w:tc>
          <w:tcPr>
            <w:tcW w:w="799" w:type="pct"/>
            <w:vAlign w:val="center"/>
          </w:tcPr>
          <w:p w14:paraId="68DB6D00">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w:t>
            </w:r>
          </w:p>
        </w:tc>
        <w:tc>
          <w:tcPr>
            <w:tcW w:w="774" w:type="pct"/>
            <w:vAlign w:val="center"/>
          </w:tcPr>
          <w:p w14:paraId="2DA531AA">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256</w:t>
            </w:r>
          </w:p>
        </w:tc>
      </w:tr>
      <w:tr w14:paraId="1B01EF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494" w:type="pct"/>
            <w:vMerge w:val="continue"/>
            <w:vAlign w:val="center"/>
          </w:tcPr>
          <w:p w14:paraId="0936236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357" w:type="pct"/>
            <w:vMerge w:val="continue"/>
            <w:vAlign w:val="center"/>
          </w:tcPr>
          <w:p w14:paraId="2B582E3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714" w:type="pct"/>
            <w:vAlign w:val="center"/>
          </w:tcPr>
          <w:p w14:paraId="01A75EA3">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3650d</w:t>
            </w:r>
          </w:p>
        </w:tc>
        <w:tc>
          <w:tcPr>
            <w:tcW w:w="587" w:type="pct"/>
            <w:vMerge w:val="continue"/>
            <w:vAlign w:val="center"/>
          </w:tcPr>
          <w:p w14:paraId="458F660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655" w:type="pct"/>
            <w:vAlign w:val="center"/>
          </w:tcPr>
          <w:p w14:paraId="4B2B4FB9">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7.67</w:t>
            </w:r>
          </w:p>
        </w:tc>
        <w:tc>
          <w:tcPr>
            <w:tcW w:w="620" w:type="pct"/>
            <w:vAlign w:val="center"/>
          </w:tcPr>
          <w:p w14:paraId="774DF4FA">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448</w:t>
            </w:r>
          </w:p>
        </w:tc>
        <w:tc>
          <w:tcPr>
            <w:tcW w:w="799" w:type="pct"/>
            <w:vAlign w:val="center"/>
          </w:tcPr>
          <w:p w14:paraId="66A72885">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w:t>
            </w:r>
          </w:p>
        </w:tc>
        <w:tc>
          <w:tcPr>
            <w:tcW w:w="774" w:type="pct"/>
            <w:vAlign w:val="center"/>
          </w:tcPr>
          <w:p w14:paraId="10CE3883">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667</w:t>
            </w:r>
          </w:p>
        </w:tc>
      </w:tr>
      <w:tr w14:paraId="3E677F4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494" w:type="pct"/>
            <w:vMerge w:val="continue"/>
            <w:vAlign w:val="center"/>
          </w:tcPr>
          <w:p w14:paraId="29606AEB">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p>
        </w:tc>
        <w:tc>
          <w:tcPr>
            <w:tcW w:w="357" w:type="pct"/>
            <w:vMerge w:val="restart"/>
            <w:vAlign w:val="center"/>
          </w:tcPr>
          <w:p w14:paraId="4F9938DB">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石油类</w:t>
            </w:r>
          </w:p>
        </w:tc>
        <w:tc>
          <w:tcPr>
            <w:tcW w:w="714" w:type="pct"/>
            <w:vAlign w:val="center"/>
          </w:tcPr>
          <w:p w14:paraId="310079C6">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100d</w:t>
            </w:r>
          </w:p>
        </w:tc>
        <w:tc>
          <w:tcPr>
            <w:tcW w:w="587" w:type="pct"/>
            <w:vMerge w:val="restart"/>
            <w:vAlign w:val="center"/>
          </w:tcPr>
          <w:p w14:paraId="07D87DB0">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0.05</w:t>
            </w:r>
          </w:p>
        </w:tc>
        <w:tc>
          <w:tcPr>
            <w:tcW w:w="655" w:type="pct"/>
            <w:vAlign w:val="center"/>
          </w:tcPr>
          <w:p w14:paraId="5BD13D63">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2.24</w:t>
            </w:r>
          </w:p>
        </w:tc>
        <w:tc>
          <w:tcPr>
            <w:tcW w:w="620" w:type="pct"/>
            <w:vAlign w:val="center"/>
          </w:tcPr>
          <w:p w14:paraId="64C4AD08">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19</w:t>
            </w:r>
          </w:p>
        </w:tc>
        <w:tc>
          <w:tcPr>
            <w:tcW w:w="799" w:type="pct"/>
            <w:vAlign w:val="center"/>
          </w:tcPr>
          <w:p w14:paraId="6DC1FAB8">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59</w:t>
            </w:r>
          </w:p>
        </w:tc>
        <w:tc>
          <w:tcPr>
            <w:tcW w:w="774" w:type="pct"/>
            <w:vAlign w:val="center"/>
          </w:tcPr>
          <w:p w14:paraId="245FB472">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67</w:t>
            </w:r>
          </w:p>
        </w:tc>
      </w:tr>
      <w:tr w14:paraId="38A6D80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94" w:type="pct"/>
            <w:vMerge w:val="continue"/>
            <w:vAlign w:val="center"/>
          </w:tcPr>
          <w:p w14:paraId="350209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357" w:type="pct"/>
            <w:vMerge w:val="continue"/>
            <w:vAlign w:val="center"/>
          </w:tcPr>
          <w:p w14:paraId="17D86F1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714" w:type="pct"/>
            <w:vAlign w:val="center"/>
          </w:tcPr>
          <w:p w14:paraId="5ACDFC48">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1000d</w:t>
            </w:r>
          </w:p>
        </w:tc>
        <w:tc>
          <w:tcPr>
            <w:tcW w:w="587" w:type="pct"/>
            <w:vMerge w:val="continue"/>
            <w:vAlign w:val="center"/>
          </w:tcPr>
          <w:p w14:paraId="66AA58DD">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655" w:type="pct"/>
            <w:vAlign w:val="center"/>
          </w:tcPr>
          <w:p w14:paraId="42A19F92">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0.61</w:t>
            </w:r>
          </w:p>
        </w:tc>
        <w:tc>
          <w:tcPr>
            <w:tcW w:w="620" w:type="pct"/>
            <w:vAlign w:val="center"/>
          </w:tcPr>
          <w:p w14:paraId="6D477556">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129</w:t>
            </w:r>
          </w:p>
        </w:tc>
        <w:tc>
          <w:tcPr>
            <w:tcW w:w="799" w:type="pct"/>
            <w:vAlign w:val="center"/>
          </w:tcPr>
          <w:p w14:paraId="4BB0EFC1">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238</w:t>
            </w:r>
          </w:p>
        </w:tc>
        <w:tc>
          <w:tcPr>
            <w:tcW w:w="774" w:type="pct"/>
            <w:vAlign w:val="center"/>
          </w:tcPr>
          <w:p w14:paraId="6CB2A5FB">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268</w:t>
            </w:r>
          </w:p>
        </w:tc>
      </w:tr>
      <w:tr w14:paraId="0119B1E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494" w:type="pct"/>
            <w:vMerge w:val="continue"/>
            <w:vAlign w:val="center"/>
          </w:tcPr>
          <w:p w14:paraId="4880BC6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357" w:type="pct"/>
            <w:vMerge w:val="continue"/>
            <w:vAlign w:val="center"/>
          </w:tcPr>
          <w:p w14:paraId="2F7B0C42">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714" w:type="pct"/>
            <w:vAlign w:val="center"/>
          </w:tcPr>
          <w:p w14:paraId="2B5B0237">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3650d</w:t>
            </w:r>
          </w:p>
        </w:tc>
        <w:tc>
          <w:tcPr>
            <w:tcW w:w="587" w:type="pct"/>
            <w:vMerge w:val="continue"/>
            <w:vAlign w:val="center"/>
          </w:tcPr>
          <w:p w14:paraId="198A1F9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u w:val="single"/>
                <w:lang w:eastAsia="en-US"/>
              </w:rPr>
            </w:pPr>
          </w:p>
        </w:tc>
        <w:tc>
          <w:tcPr>
            <w:tcW w:w="655" w:type="pct"/>
            <w:vAlign w:val="center"/>
          </w:tcPr>
          <w:p w14:paraId="6B9464B1">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0.31</w:t>
            </w:r>
          </w:p>
        </w:tc>
        <w:tc>
          <w:tcPr>
            <w:tcW w:w="620" w:type="pct"/>
            <w:vAlign w:val="center"/>
          </w:tcPr>
          <w:p w14:paraId="000457C0">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448</w:t>
            </w:r>
          </w:p>
        </w:tc>
        <w:tc>
          <w:tcPr>
            <w:tcW w:w="799" w:type="pct"/>
            <w:vAlign w:val="center"/>
          </w:tcPr>
          <w:p w14:paraId="6B11C77C">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627</w:t>
            </w:r>
          </w:p>
        </w:tc>
        <w:tc>
          <w:tcPr>
            <w:tcW w:w="774" w:type="pct"/>
            <w:vAlign w:val="center"/>
          </w:tcPr>
          <w:p w14:paraId="6E1A7B11">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rPr>
            </w:pPr>
            <w:r>
              <w:rPr>
                <w:rFonts w:hint="default" w:ascii="Times New Roman" w:hAnsi="Times New Roman" w:eastAsia="宋体" w:cs="Times New Roman"/>
                <w:sz w:val="21"/>
                <w:szCs w:val="21"/>
                <w:u w:val="single"/>
              </w:rPr>
              <w:t>694</w:t>
            </w:r>
          </w:p>
        </w:tc>
      </w:tr>
      <w:tr w14:paraId="5A6777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44" w:hRule="atLeast"/>
        </w:trPr>
        <w:tc>
          <w:tcPr>
            <w:tcW w:w="5000" w:type="pct"/>
            <w:gridSpan w:val="8"/>
            <w:vAlign w:val="center"/>
          </w:tcPr>
          <w:p w14:paraId="27D817DB">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u w:val="single"/>
              </w:rPr>
            </w:pPr>
            <w:r>
              <w:rPr>
                <w:rFonts w:hint="default" w:ascii="Times New Roman" w:hAnsi="Times New Roman" w:eastAsia="宋体" w:cs="Times New Roman"/>
                <w:sz w:val="21"/>
                <w:u w:val="single"/>
              </w:rPr>
              <w:t>注：1、由于《地下水质量标准》（GB/T14848-2017）中无CODcr和石油类的限值，评价参照《地表水环境质量标准》（GB 3838-2002）Ⅲ类标准（CODcr20mg/L、石油类0.05mg/L）作为界定污染物超标范围的标准；2、将检出限作为界定污染物影响范围的标准。</w:t>
            </w:r>
          </w:p>
        </w:tc>
      </w:tr>
    </w:tbl>
    <w:p w14:paraId="61B9AA07">
      <w:pPr>
        <w:spacing w:line="360" w:lineRule="auto"/>
        <w:ind w:firstLine="482"/>
        <w:rPr>
          <w:rFonts w:hint="default" w:ascii="Times New Roman" w:hAnsi="Times New Roman" w:eastAsia="宋体" w:cs="Times New Roman"/>
          <w:sz w:val="24"/>
          <w:szCs w:val="24"/>
          <w:u w:val="single"/>
        </w:rPr>
      </w:pPr>
    </w:p>
    <w:p w14:paraId="7267D9BC">
      <w:pPr>
        <w:spacing w:line="500" w:lineRule="exact"/>
        <w:ind w:firstLine="480" w:firstLineChars="200"/>
        <w:rPr>
          <w:rFonts w:hint="default" w:ascii="Times New Roman" w:hAnsi="Times New Roman" w:eastAsia="宋体" w:cs="Times New Roman"/>
          <w:sz w:val="24"/>
          <w:szCs w:val="24"/>
          <w:u w:val="single"/>
        </w:rPr>
      </w:pPr>
    </w:p>
    <w:p w14:paraId="1E8F9E31">
      <w:pPr>
        <w:spacing w:line="500" w:lineRule="exact"/>
        <w:ind w:firstLine="480" w:firstLineChars="200"/>
        <w:rPr>
          <w:rFonts w:hint="default" w:ascii="Times New Roman" w:hAnsi="Times New Roman" w:eastAsia="宋体" w:cs="Times New Roman"/>
          <w:sz w:val="24"/>
          <w:szCs w:val="24"/>
          <w:u w:val="single"/>
        </w:rPr>
        <w:sectPr>
          <w:pgSz w:w="11906" w:h="16838"/>
          <w:pgMar w:top="1440" w:right="1502" w:bottom="1440" w:left="1502" w:header="851" w:footer="680" w:gutter="0"/>
          <w:pgBorders>
            <w:top w:val="none" w:sz="0" w:space="0"/>
            <w:left w:val="none" w:sz="0" w:space="0"/>
            <w:bottom w:val="none" w:sz="0" w:space="0"/>
            <w:right w:val="none" w:sz="0" w:space="0"/>
          </w:pgBorders>
          <w:cols w:space="425" w:num="1"/>
          <w:docGrid w:type="lines" w:linePitch="326" w:charSpace="0"/>
        </w:sectPr>
      </w:pP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22"/>
      </w:tblGrid>
      <w:tr w14:paraId="5B363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8" w:type="dxa"/>
            <w:vAlign w:val="center"/>
          </w:tcPr>
          <w:p w14:paraId="10DD4E85">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drawing>
                <wp:inline distT="0" distB="0" distL="0" distR="0">
                  <wp:extent cx="4187190" cy="2766695"/>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2"/>
                          <a:stretch>
                            <a:fillRect/>
                          </a:stretch>
                        </pic:blipFill>
                        <pic:spPr>
                          <a:xfrm>
                            <a:off x="0" y="0"/>
                            <a:ext cx="4198254" cy="2773901"/>
                          </a:xfrm>
                          <a:prstGeom prst="rect">
                            <a:avLst/>
                          </a:prstGeom>
                        </pic:spPr>
                      </pic:pic>
                    </a:graphicData>
                  </a:graphic>
                </wp:inline>
              </w:drawing>
            </w:r>
          </w:p>
        </w:tc>
      </w:tr>
      <w:tr w14:paraId="3660EC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8" w:type="dxa"/>
            <w:vAlign w:val="center"/>
          </w:tcPr>
          <w:p w14:paraId="5F3328A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drawing>
                <wp:inline distT="0" distB="0" distL="0" distR="0">
                  <wp:extent cx="4206240" cy="2788920"/>
                  <wp:effectExtent l="0" t="0" r="381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53"/>
                          <a:stretch>
                            <a:fillRect/>
                          </a:stretch>
                        </pic:blipFill>
                        <pic:spPr>
                          <a:xfrm>
                            <a:off x="0" y="0"/>
                            <a:ext cx="4218185" cy="2797225"/>
                          </a:xfrm>
                          <a:prstGeom prst="rect">
                            <a:avLst/>
                          </a:prstGeom>
                        </pic:spPr>
                      </pic:pic>
                    </a:graphicData>
                  </a:graphic>
                </wp:inline>
              </w:drawing>
            </w:r>
          </w:p>
        </w:tc>
      </w:tr>
      <w:tr w14:paraId="0C72C8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8" w:type="dxa"/>
            <w:vAlign w:val="center"/>
          </w:tcPr>
          <w:p w14:paraId="484E1322">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drawing>
                <wp:inline distT="0" distB="0" distL="0" distR="0">
                  <wp:extent cx="4253230" cy="2817495"/>
                  <wp:effectExtent l="0" t="0" r="0" b="190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4"/>
                          <a:stretch>
                            <a:fillRect/>
                          </a:stretch>
                        </pic:blipFill>
                        <pic:spPr>
                          <a:xfrm>
                            <a:off x="0" y="0"/>
                            <a:ext cx="4263814" cy="2824918"/>
                          </a:xfrm>
                          <a:prstGeom prst="rect">
                            <a:avLst/>
                          </a:prstGeom>
                        </pic:spPr>
                      </pic:pic>
                    </a:graphicData>
                  </a:graphic>
                </wp:inline>
              </w:drawing>
            </w:r>
          </w:p>
        </w:tc>
      </w:tr>
      <w:tr w14:paraId="186C64C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8" w:type="dxa"/>
            <w:vAlign w:val="center"/>
          </w:tcPr>
          <w:p w14:paraId="32C775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 w:val="24"/>
                <w:u w:val="single"/>
              </w:rPr>
            </w:pPr>
            <w:r>
              <w:rPr>
                <w:rFonts w:hint="default" w:ascii="Times New Roman" w:hAnsi="Times New Roman" w:eastAsia="宋体" w:cs="Times New Roman"/>
                <w:b/>
                <w:sz w:val="24"/>
                <w:u w:val="single"/>
              </w:rPr>
              <w:t>固定时间，不同距离CODcr浓度预测结果图（100d、1000d、3650d）</w:t>
            </w:r>
          </w:p>
        </w:tc>
      </w:tr>
    </w:tbl>
    <w:p w14:paraId="34A9371F">
      <w:pPr>
        <w:pStyle w:val="48"/>
        <w:rPr>
          <w:rFonts w:hint="default" w:ascii="Times New Roman" w:hAnsi="Times New Roman" w:eastAsia="宋体" w:cs="Times New Roman"/>
          <w:sz w:val="24"/>
          <w:szCs w:val="24"/>
          <w:u w:val="singl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522"/>
      </w:tblGrid>
      <w:tr w14:paraId="436EA1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8" w:type="dxa"/>
            <w:vAlign w:val="center"/>
          </w:tcPr>
          <w:p w14:paraId="1B21A1F3">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drawing>
                <wp:inline distT="0" distB="0" distL="0" distR="0">
                  <wp:extent cx="4241165" cy="2794000"/>
                  <wp:effectExtent l="0" t="0" r="6985"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55"/>
                          <a:stretch>
                            <a:fillRect/>
                          </a:stretch>
                        </pic:blipFill>
                        <pic:spPr>
                          <a:xfrm>
                            <a:off x="0" y="0"/>
                            <a:ext cx="4247973" cy="2798568"/>
                          </a:xfrm>
                          <a:prstGeom prst="rect">
                            <a:avLst/>
                          </a:prstGeom>
                        </pic:spPr>
                      </pic:pic>
                    </a:graphicData>
                  </a:graphic>
                </wp:inline>
              </w:drawing>
            </w:r>
          </w:p>
        </w:tc>
      </w:tr>
      <w:tr w14:paraId="272E9D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8" w:type="dxa"/>
            <w:vAlign w:val="center"/>
          </w:tcPr>
          <w:p w14:paraId="33B0BEB4">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drawing>
                <wp:inline distT="0" distB="0" distL="0" distR="0">
                  <wp:extent cx="4232910" cy="2816860"/>
                  <wp:effectExtent l="0" t="0" r="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56"/>
                          <a:stretch>
                            <a:fillRect/>
                          </a:stretch>
                        </pic:blipFill>
                        <pic:spPr>
                          <a:xfrm>
                            <a:off x="0" y="0"/>
                            <a:ext cx="4242197" cy="2823365"/>
                          </a:xfrm>
                          <a:prstGeom prst="rect">
                            <a:avLst/>
                          </a:prstGeom>
                        </pic:spPr>
                      </pic:pic>
                    </a:graphicData>
                  </a:graphic>
                </wp:inline>
              </w:drawing>
            </w:r>
          </w:p>
        </w:tc>
      </w:tr>
      <w:tr w14:paraId="42540B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8" w:type="dxa"/>
            <w:vAlign w:val="center"/>
          </w:tcPr>
          <w:p w14:paraId="08ED00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u w:val="single"/>
              </w:rPr>
              <w:drawing>
                <wp:inline distT="0" distB="0" distL="0" distR="0">
                  <wp:extent cx="4249420" cy="2799715"/>
                  <wp:effectExtent l="0" t="0" r="0" b="63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57"/>
                          <a:stretch>
                            <a:fillRect/>
                          </a:stretch>
                        </pic:blipFill>
                        <pic:spPr>
                          <a:xfrm>
                            <a:off x="0" y="0"/>
                            <a:ext cx="4268305" cy="2811963"/>
                          </a:xfrm>
                          <a:prstGeom prst="rect">
                            <a:avLst/>
                          </a:prstGeom>
                        </pic:spPr>
                      </pic:pic>
                    </a:graphicData>
                  </a:graphic>
                </wp:inline>
              </w:drawing>
            </w:r>
          </w:p>
        </w:tc>
      </w:tr>
      <w:tr w14:paraId="13618A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528" w:type="dxa"/>
            <w:vAlign w:val="center"/>
          </w:tcPr>
          <w:p w14:paraId="3C9177D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sz w:val="24"/>
                <w:u w:val="single"/>
              </w:rPr>
            </w:pPr>
            <w:r>
              <w:rPr>
                <w:rFonts w:hint="default" w:ascii="Times New Roman" w:hAnsi="Times New Roman" w:eastAsia="宋体" w:cs="Times New Roman"/>
                <w:b/>
                <w:sz w:val="24"/>
                <w:u w:val="single"/>
              </w:rPr>
              <w:t>固定时间，不同距离石油类浓度预测结果图（100d、1000d、3650d）</w:t>
            </w:r>
          </w:p>
        </w:tc>
      </w:tr>
    </w:tbl>
    <w:p w14:paraId="19F37ADC">
      <w:pPr>
        <w:pStyle w:val="48"/>
        <w:rPr>
          <w:rFonts w:hint="default" w:ascii="Times New Roman" w:hAnsi="Times New Roman" w:eastAsia="宋体" w:cs="Times New Roman"/>
          <w:sz w:val="24"/>
          <w:szCs w:val="24"/>
          <w:u w:val="single"/>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4AE88DB6">
      <w:pPr>
        <w:pStyle w:val="31"/>
        <w:spacing w:line="360" w:lineRule="auto"/>
        <w:ind w:firstLine="480"/>
        <w:rPr>
          <w:rFonts w:hint="default" w:ascii="Times New Roman" w:hAnsi="Times New Roman" w:eastAsia="宋体" w:cs="Times New Roman"/>
          <w:sz w:val="24"/>
          <w:u w:val="single"/>
          <w:lang w:val="zh-CN"/>
        </w:rPr>
      </w:pPr>
      <w:r>
        <w:rPr>
          <w:rFonts w:hint="default" w:ascii="Times New Roman" w:hAnsi="Times New Roman" w:eastAsia="宋体" w:cs="Times New Roman"/>
          <w:sz w:val="24"/>
          <w:u w:val="single"/>
          <w:lang w:val="zh-CN"/>
        </w:rPr>
        <w:t>根据预测设定情景，污染物在地下水中的迁移规律为：当发生泄漏后，污染物随着地下水流方向向下游扩散。项目预测情景下，污水泄漏会造成一定区域范围内污染物超标，但随着泄漏封堵后，地下水中的污染物会在地下水流的稀释下浓度逐渐降低，泄漏污染物质对区域地下水环境重污染物含量的影响也逐渐降低。</w:t>
      </w:r>
    </w:p>
    <w:p w14:paraId="6E852B91">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在污染物进入含水层100d后，CODcr、石油类污染的最大影响距离为地下水流向下游19m，最大污染浓度分别为54.75mg/L、2.24mg/L；1000d后，CODcr、石油类的最大影响距离为129m，最大污染浓度分别为14.89mg/L、0.61mg/L；3650d后，CODcr、石油类的最大影响距离为448m，最大污染浓度分别为7.67mg/L、0.31mg/L；当污染物CODcr的迁移距离分别达到100天-63m、1000天-256m、3650天-667m，石油类的</w:t>
      </w:r>
      <w:r>
        <w:rPr>
          <w:rFonts w:hint="default" w:ascii="Times New Roman" w:hAnsi="Times New Roman" w:eastAsia="宋体" w:cs="Times New Roman"/>
          <w:sz w:val="24"/>
          <w:szCs w:val="24"/>
          <w:u w:val="single"/>
          <w:lang w:eastAsia="zh-CN"/>
        </w:rPr>
        <w:t>迁移</w:t>
      </w:r>
      <w:r>
        <w:rPr>
          <w:rFonts w:hint="default" w:ascii="Times New Roman" w:hAnsi="Times New Roman" w:eastAsia="宋体" w:cs="Times New Roman"/>
          <w:sz w:val="24"/>
          <w:szCs w:val="24"/>
          <w:u w:val="single"/>
        </w:rPr>
        <w:t>距离分别达到100天-67m、1000天-268m、3650天-694m，CODcr、石油类浓度将随着地下水的迁移转化至浓度低于检出限（达到预测影响最远距离），其产生的影响将消除，此外，项目厂界500m范围内无地下水保护目标，对地下水的影响有限。</w:t>
      </w:r>
    </w:p>
    <w:p w14:paraId="7A37182A">
      <w:pPr>
        <w:pStyle w:val="4"/>
        <w:spacing w:before="0" w:after="0" w:line="360" w:lineRule="auto"/>
        <w:rPr>
          <w:rFonts w:hint="default" w:ascii="Times New Roman" w:hAnsi="Times New Roman" w:eastAsia="宋体" w:cs="Times New Roman"/>
          <w:sz w:val="28"/>
          <w:lang w:val="zh-TW"/>
        </w:rPr>
      </w:pPr>
      <w:r>
        <w:rPr>
          <w:rFonts w:hint="default" w:ascii="Times New Roman" w:hAnsi="Times New Roman" w:eastAsia="宋体" w:cs="Times New Roman"/>
          <w:sz w:val="28"/>
        </w:rPr>
        <w:t>7.6.9地下水影响分析结论</w:t>
      </w:r>
    </w:p>
    <w:p w14:paraId="6D70EEAD">
      <w:pPr>
        <w:spacing w:line="360" w:lineRule="auto"/>
        <w:ind w:firstLine="480"/>
        <w:rPr>
          <w:rFonts w:hint="default" w:ascii="Times New Roman" w:hAnsi="Times New Roman" w:eastAsia="宋体" w:cs="Times New Roman"/>
          <w:sz w:val="24"/>
          <w:lang w:val="zh-TW"/>
        </w:rPr>
      </w:pPr>
      <w:r>
        <w:rPr>
          <w:rFonts w:hint="default" w:ascii="Times New Roman" w:hAnsi="Times New Roman" w:eastAsia="宋体" w:cs="Times New Roman"/>
          <w:sz w:val="24"/>
          <w:lang w:val="zh-TW"/>
        </w:rPr>
        <w:t>由上述预测结果可知，在设定污水处理站调节池发生泄漏情况下，地下水环境将受到的影响较小。由于区内含水层介质较低渗透性、地形变化相对平缓、地下水力梯度较小，污染物扩散速度相对比较慢，其影响距离和范围逐渐稳定，1000d后污染物仅往下游移动了</w:t>
      </w:r>
      <w:r>
        <w:rPr>
          <w:rFonts w:hint="default" w:ascii="Times New Roman" w:hAnsi="Times New Roman" w:eastAsia="宋体" w:cs="Times New Roman"/>
          <w:sz w:val="24"/>
        </w:rPr>
        <w:t>268</w:t>
      </w:r>
      <w:r>
        <w:rPr>
          <w:rFonts w:hint="default" w:ascii="Times New Roman" w:hAnsi="Times New Roman" w:eastAsia="宋体" w:cs="Times New Roman"/>
          <w:sz w:val="24"/>
          <w:lang w:val="zh-TW"/>
        </w:rPr>
        <w:t>m</w:t>
      </w:r>
      <w:r>
        <w:rPr>
          <w:rFonts w:hint="default" w:ascii="Times New Roman" w:hAnsi="Times New Roman" w:eastAsia="宋体" w:cs="Times New Roman"/>
          <w:sz w:val="24"/>
        </w:rPr>
        <w:t>。</w:t>
      </w:r>
    </w:p>
    <w:p w14:paraId="59941186">
      <w:pPr>
        <w:spacing w:line="360" w:lineRule="auto"/>
        <w:ind w:firstLine="480"/>
        <w:rPr>
          <w:rFonts w:hint="default" w:ascii="Times New Roman" w:hAnsi="Times New Roman" w:eastAsia="宋体" w:cs="Times New Roman"/>
          <w:sz w:val="24"/>
          <w:lang w:val="zh-TW"/>
        </w:rPr>
      </w:pPr>
      <w:r>
        <w:rPr>
          <w:rFonts w:hint="default" w:ascii="Times New Roman" w:hAnsi="Times New Roman" w:eastAsia="宋体" w:cs="Times New Roman"/>
          <w:sz w:val="24"/>
          <w:lang w:val="zh-TW"/>
        </w:rPr>
        <w:t>可见，在污水处理站调节池破损并泄漏至地下水的情景下，污水会对地下水环境产生影响，有一定范围的超标，但是超标范围很小，仅在泄漏点附近，最远达标距离为泄漏点下游627m，影响范围有限。为了进一步减小在非正常工况下污水处理站调节池发生泄漏对地下水环境的影响，应加强装置防渗工作，同时加强巡查工作，及时发现泄漏事件并采取相应的措施。</w:t>
      </w:r>
    </w:p>
    <w:p w14:paraId="311893B2">
      <w:pPr>
        <w:spacing w:line="360" w:lineRule="auto"/>
        <w:ind w:firstLine="480"/>
        <w:rPr>
          <w:rFonts w:hint="default" w:ascii="Times New Roman" w:hAnsi="Times New Roman" w:eastAsia="宋体" w:cs="Times New Roman"/>
          <w:sz w:val="24"/>
          <w:lang w:val="zh-TW"/>
        </w:rPr>
      </w:pPr>
      <w:r>
        <w:rPr>
          <w:rFonts w:hint="default" w:ascii="Times New Roman" w:hAnsi="Times New Roman" w:eastAsia="宋体" w:cs="Times New Roman"/>
          <w:sz w:val="24"/>
          <w:lang w:val="zh-TW"/>
        </w:rPr>
        <w:t>项目在通过采取防渗措施后，在发现污染物泄漏后可采取应急措施，可有效控制污染物对地下水环境造成影响，项目对周边地下水的影响有限。</w:t>
      </w:r>
    </w:p>
    <w:p w14:paraId="2A947387">
      <w:pPr>
        <w:pStyle w:val="3"/>
        <w:spacing w:before="0" w:after="0" w:line="360" w:lineRule="auto"/>
        <w:jc w:val="left"/>
        <w:rPr>
          <w:rFonts w:hint="default" w:ascii="Times New Roman" w:hAnsi="Times New Roman" w:eastAsia="宋体" w:cs="Times New Roman"/>
          <w:kern w:val="0"/>
          <w:sz w:val="30"/>
          <w:szCs w:val="28"/>
        </w:rPr>
      </w:pPr>
      <w:bookmarkStart w:id="346" w:name="_Toc119413801"/>
      <w:bookmarkStart w:id="347" w:name="_Toc31462"/>
      <w:bookmarkStart w:id="348" w:name="_Toc106961905"/>
      <w:r>
        <w:rPr>
          <w:rFonts w:hint="default" w:ascii="Times New Roman" w:hAnsi="Times New Roman" w:eastAsia="宋体" w:cs="Times New Roman"/>
          <w:kern w:val="0"/>
          <w:sz w:val="30"/>
          <w:szCs w:val="28"/>
        </w:rPr>
        <w:t>7.7土壤环境影响分析</w:t>
      </w:r>
      <w:bookmarkEnd w:id="346"/>
      <w:bookmarkEnd w:id="347"/>
      <w:bookmarkEnd w:id="348"/>
    </w:p>
    <w:p w14:paraId="0A1582E7">
      <w:pPr>
        <w:autoSpaceDE w:val="0"/>
        <w:autoSpaceDN w:val="0"/>
        <w:spacing w:line="360" w:lineRule="auto"/>
        <w:ind w:firstLine="480" w:firstLineChars="200"/>
        <w:jc w:val="left"/>
        <w:rPr>
          <w:rFonts w:hint="default" w:ascii="Times New Roman" w:hAnsi="Times New Roman" w:eastAsia="宋体" w:cs="Times New Roman"/>
          <w:bCs/>
          <w:sz w:val="24"/>
          <w:szCs w:val="24"/>
        </w:rPr>
      </w:pPr>
      <w:r>
        <w:rPr>
          <w:rFonts w:hint="default" w:ascii="Times New Roman" w:hAnsi="Times New Roman" w:eastAsia="宋体" w:cs="Times New Roman"/>
          <w:bCs/>
          <w:sz w:val="24"/>
          <w:szCs w:val="24"/>
        </w:rPr>
        <w:t>由评级等级判定可知，本项目土壤环境影响评价等级判定为二级，</w:t>
      </w:r>
      <w:r>
        <w:rPr>
          <w:rFonts w:hint="default" w:ascii="Times New Roman" w:hAnsi="Times New Roman" w:eastAsia="宋体" w:cs="Times New Roman"/>
          <w:kern w:val="0"/>
          <w:sz w:val="24"/>
          <w:szCs w:val="24"/>
        </w:rPr>
        <w:t>结合项目在实际生产过程中存在污染土壤的污染源和影响途径（废气排放导致的大气沉降影响途径以及污水处理站调节池内污水泄漏导致的垂直入渗影响途径），为更加深入全面的对项目土壤影响做出评价并做好土壤保护工作</w:t>
      </w:r>
      <w:r>
        <w:rPr>
          <w:rFonts w:hint="default" w:ascii="Times New Roman" w:hAnsi="Times New Roman" w:eastAsia="宋体" w:cs="Times New Roman"/>
          <w:bCs/>
          <w:sz w:val="24"/>
          <w:szCs w:val="24"/>
        </w:rPr>
        <w:t>，本次环评对项目的土壤环境影响进行预测和分析评价。</w:t>
      </w:r>
    </w:p>
    <w:p w14:paraId="71112AE1">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7.7.1预测范围</w:t>
      </w:r>
    </w:p>
    <w:p w14:paraId="2C62375C">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按《环境影响评价技术导则土壤环境（试行）》（HJ 964-2018）有关规定，本项目土壤环境评价工作等级属二级，评价范围为占地范围内全部土壤和占地范围外临近的0.2km范围内全部土壤。</w:t>
      </w:r>
    </w:p>
    <w:p w14:paraId="1E4EBD70">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根据导则要求，预测评价范围一般与现状调查评价范围一致，本次预测范围为评价范围内的土壤。</w:t>
      </w:r>
    </w:p>
    <w:p w14:paraId="729E2662">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7.7.2影响识别</w:t>
      </w:r>
    </w:p>
    <w:p w14:paraId="446CBB87">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根据《环境影响评价技术导则土壤环境（试行）》（HJ 964-2018）有关规定，结合工程分析内容和本项目土壤环境敏感目标以及建设项目建设期、运营期和服务期满后三个阶段的具体特征，识别土壤环境影响类型与影响途径。</w:t>
      </w:r>
    </w:p>
    <w:p w14:paraId="3F86489B">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本建设项目土壤环境影响类型与影响途径识别表如下：</w:t>
      </w:r>
    </w:p>
    <w:p w14:paraId="43A245DF">
      <w:pPr>
        <w:pStyle w:val="12"/>
        <w:spacing w:line="360" w:lineRule="auto"/>
        <w:ind w:firstLine="562"/>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表7.7-1</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t>项目土壤环境影响类型与影响途径表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717"/>
        <w:gridCol w:w="2004"/>
        <w:gridCol w:w="1760"/>
        <w:gridCol w:w="1543"/>
        <w:gridCol w:w="1318"/>
      </w:tblGrid>
      <w:tr w14:paraId="2F15783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323" w:hRule="atLeast"/>
        </w:trPr>
        <w:tc>
          <w:tcPr>
            <w:tcW w:w="1029" w:type="pct"/>
            <w:vMerge w:val="restart"/>
            <w:tcBorders>
              <w:bottom w:val="single" w:color="000000" w:sz="8" w:space="0"/>
              <w:right w:val="single" w:color="000000" w:sz="6" w:space="0"/>
            </w:tcBorders>
            <w:vAlign w:val="center"/>
          </w:tcPr>
          <w:p w14:paraId="3954CC82">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不同时段</w:t>
            </w:r>
          </w:p>
        </w:tc>
        <w:tc>
          <w:tcPr>
            <w:tcW w:w="3971" w:type="pct"/>
            <w:gridSpan w:val="4"/>
            <w:tcBorders>
              <w:left w:val="single" w:color="000000" w:sz="6" w:space="0"/>
              <w:bottom w:val="single" w:color="000000" w:sz="6" w:space="0"/>
            </w:tcBorders>
            <w:vAlign w:val="center"/>
          </w:tcPr>
          <w:p w14:paraId="4CDAA124">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污染影响型</w:t>
            </w:r>
          </w:p>
        </w:tc>
      </w:tr>
      <w:tr w14:paraId="58F8BC1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8" w:hRule="atLeast"/>
        </w:trPr>
        <w:tc>
          <w:tcPr>
            <w:tcW w:w="1029" w:type="pct"/>
            <w:vMerge w:val="continue"/>
            <w:tcBorders>
              <w:top w:val="nil"/>
              <w:bottom w:val="single" w:color="000000" w:sz="8" w:space="0"/>
              <w:right w:val="single" w:color="000000" w:sz="6" w:space="0"/>
            </w:tcBorders>
            <w:vAlign w:val="center"/>
          </w:tcPr>
          <w:p w14:paraId="212717B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
                <w:szCs w:val="2"/>
                <w:lang w:eastAsia="en-US"/>
              </w:rPr>
            </w:pPr>
          </w:p>
        </w:tc>
        <w:tc>
          <w:tcPr>
            <w:tcW w:w="1201" w:type="pct"/>
            <w:tcBorders>
              <w:top w:val="single" w:color="000000" w:sz="6" w:space="0"/>
              <w:left w:val="single" w:color="000000" w:sz="6" w:space="0"/>
              <w:bottom w:val="single" w:color="000000" w:sz="8" w:space="0"/>
              <w:right w:val="single" w:color="000000" w:sz="6" w:space="0"/>
            </w:tcBorders>
            <w:vAlign w:val="center"/>
          </w:tcPr>
          <w:p w14:paraId="280A9471">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大气沉降</w:t>
            </w:r>
          </w:p>
        </w:tc>
        <w:tc>
          <w:tcPr>
            <w:tcW w:w="1055" w:type="pct"/>
            <w:tcBorders>
              <w:top w:val="single" w:color="000000" w:sz="6" w:space="0"/>
              <w:left w:val="single" w:color="000000" w:sz="6" w:space="0"/>
              <w:bottom w:val="single" w:color="000000" w:sz="8" w:space="0"/>
              <w:right w:val="single" w:color="000000" w:sz="6" w:space="0"/>
            </w:tcBorders>
            <w:vAlign w:val="center"/>
          </w:tcPr>
          <w:p w14:paraId="37285C60">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地面漫流</w:t>
            </w:r>
          </w:p>
        </w:tc>
        <w:tc>
          <w:tcPr>
            <w:tcW w:w="925" w:type="pct"/>
            <w:tcBorders>
              <w:top w:val="single" w:color="000000" w:sz="6" w:space="0"/>
              <w:left w:val="single" w:color="000000" w:sz="6" w:space="0"/>
              <w:bottom w:val="single" w:color="000000" w:sz="8" w:space="0"/>
              <w:right w:val="single" w:color="000000" w:sz="6" w:space="0"/>
            </w:tcBorders>
            <w:vAlign w:val="center"/>
          </w:tcPr>
          <w:p w14:paraId="330A9F5C">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垂直入渗</w:t>
            </w:r>
          </w:p>
        </w:tc>
        <w:tc>
          <w:tcPr>
            <w:tcW w:w="790" w:type="pct"/>
            <w:tcBorders>
              <w:top w:val="single" w:color="000000" w:sz="6" w:space="0"/>
              <w:left w:val="single" w:color="000000" w:sz="6" w:space="0"/>
              <w:bottom w:val="single" w:color="000000" w:sz="8" w:space="0"/>
            </w:tcBorders>
            <w:vAlign w:val="center"/>
          </w:tcPr>
          <w:p w14:paraId="4DE63EB0">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其他</w:t>
            </w:r>
          </w:p>
        </w:tc>
      </w:tr>
      <w:tr w14:paraId="33C7C63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5" w:hRule="atLeast"/>
        </w:trPr>
        <w:tc>
          <w:tcPr>
            <w:tcW w:w="1029" w:type="pct"/>
            <w:tcBorders>
              <w:top w:val="single" w:color="000000" w:sz="8" w:space="0"/>
              <w:bottom w:val="single" w:color="000000" w:sz="6" w:space="0"/>
              <w:right w:val="single" w:color="000000" w:sz="6" w:space="0"/>
            </w:tcBorders>
            <w:vAlign w:val="center"/>
          </w:tcPr>
          <w:p w14:paraId="67B49F87">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建设期</w:t>
            </w:r>
          </w:p>
        </w:tc>
        <w:tc>
          <w:tcPr>
            <w:tcW w:w="1201" w:type="pct"/>
            <w:tcBorders>
              <w:top w:val="single" w:color="000000" w:sz="8" w:space="0"/>
              <w:left w:val="single" w:color="000000" w:sz="6" w:space="0"/>
              <w:bottom w:val="single" w:color="000000" w:sz="6" w:space="0"/>
              <w:right w:val="single" w:color="000000" w:sz="6" w:space="0"/>
            </w:tcBorders>
            <w:vAlign w:val="center"/>
          </w:tcPr>
          <w:p w14:paraId="0C4CB08A">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1055" w:type="pct"/>
            <w:tcBorders>
              <w:top w:val="single" w:color="000000" w:sz="8" w:space="0"/>
              <w:left w:val="single" w:color="000000" w:sz="6" w:space="0"/>
              <w:bottom w:val="single" w:color="000000" w:sz="6" w:space="0"/>
              <w:right w:val="single" w:color="000000" w:sz="6" w:space="0"/>
            </w:tcBorders>
            <w:vAlign w:val="center"/>
          </w:tcPr>
          <w:p w14:paraId="68ABB3BD">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925" w:type="pct"/>
            <w:tcBorders>
              <w:top w:val="single" w:color="000000" w:sz="8" w:space="0"/>
              <w:left w:val="single" w:color="000000" w:sz="6" w:space="0"/>
              <w:bottom w:val="single" w:color="000000" w:sz="6" w:space="0"/>
              <w:right w:val="single" w:color="000000" w:sz="6" w:space="0"/>
            </w:tcBorders>
            <w:vAlign w:val="center"/>
          </w:tcPr>
          <w:p w14:paraId="39B43CDA">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790" w:type="pct"/>
            <w:tcBorders>
              <w:top w:val="single" w:color="000000" w:sz="8" w:space="0"/>
              <w:left w:val="single" w:color="000000" w:sz="6" w:space="0"/>
              <w:bottom w:val="single" w:color="000000" w:sz="6" w:space="0"/>
            </w:tcBorders>
            <w:vAlign w:val="center"/>
          </w:tcPr>
          <w:p w14:paraId="0B4E430E">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055762B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5" w:hRule="atLeast"/>
        </w:trPr>
        <w:tc>
          <w:tcPr>
            <w:tcW w:w="1029" w:type="pct"/>
            <w:tcBorders>
              <w:top w:val="single" w:color="000000" w:sz="6" w:space="0"/>
              <w:bottom w:val="single" w:color="000000" w:sz="6" w:space="0"/>
              <w:right w:val="single" w:color="000000" w:sz="6" w:space="0"/>
            </w:tcBorders>
            <w:vAlign w:val="center"/>
          </w:tcPr>
          <w:p w14:paraId="103069BF">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运营期</w:t>
            </w:r>
          </w:p>
        </w:tc>
        <w:tc>
          <w:tcPr>
            <w:tcW w:w="1201" w:type="pct"/>
            <w:tcBorders>
              <w:top w:val="single" w:color="000000" w:sz="6" w:space="0"/>
              <w:left w:val="single" w:color="000000" w:sz="6" w:space="0"/>
              <w:bottom w:val="single" w:color="000000" w:sz="6" w:space="0"/>
              <w:right w:val="single" w:color="000000" w:sz="6" w:space="0"/>
            </w:tcBorders>
            <w:vAlign w:val="center"/>
          </w:tcPr>
          <w:p w14:paraId="1B47F45D">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1055" w:type="pct"/>
            <w:tcBorders>
              <w:top w:val="single" w:color="000000" w:sz="6" w:space="0"/>
              <w:left w:val="single" w:color="000000" w:sz="6" w:space="0"/>
              <w:bottom w:val="single" w:color="000000" w:sz="6" w:space="0"/>
              <w:right w:val="single" w:color="000000" w:sz="6" w:space="0"/>
            </w:tcBorders>
            <w:vAlign w:val="center"/>
          </w:tcPr>
          <w:p w14:paraId="2F73BA73">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925" w:type="pct"/>
            <w:tcBorders>
              <w:top w:val="single" w:color="000000" w:sz="6" w:space="0"/>
              <w:left w:val="single" w:color="000000" w:sz="6" w:space="0"/>
              <w:bottom w:val="single" w:color="000000" w:sz="6" w:space="0"/>
              <w:right w:val="single" w:color="000000" w:sz="6" w:space="0"/>
            </w:tcBorders>
            <w:vAlign w:val="center"/>
          </w:tcPr>
          <w:p w14:paraId="173619CB">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790" w:type="pct"/>
            <w:tcBorders>
              <w:top w:val="single" w:color="000000" w:sz="6" w:space="0"/>
              <w:left w:val="single" w:color="000000" w:sz="6" w:space="0"/>
              <w:bottom w:val="single" w:color="000000" w:sz="6" w:space="0"/>
            </w:tcBorders>
            <w:vAlign w:val="center"/>
          </w:tcPr>
          <w:p w14:paraId="75858CE7">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7C7F9C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5" w:hRule="atLeast"/>
        </w:trPr>
        <w:tc>
          <w:tcPr>
            <w:tcW w:w="1029" w:type="pct"/>
            <w:tcBorders>
              <w:top w:val="single" w:color="000000" w:sz="6" w:space="0"/>
              <w:bottom w:val="single" w:color="000000" w:sz="6" w:space="0"/>
              <w:right w:val="single" w:color="000000" w:sz="6" w:space="0"/>
            </w:tcBorders>
            <w:vAlign w:val="center"/>
          </w:tcPr>
          <w:p w14:paraId="19CFB9F8">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服务期满后</w:t>
            </w:r>
          </w:p>
        </w:tc>
        <w:tc>
          <w:tcPr>
            <w:tcW w:w="1201" w:type="pct"/>
            <w:tcBorders>
              <w:top w:val="single" w:color="000000" w:sz="6" w:space="0"/>
              <w:left w:val="single" w:color="000000" w:sz="6" w:space="0"/>
              <w:bottom w:val="single" w:color="000000" w:sz="6" w:space="0"/>
              <w:right w:val="single" w:color="000000" w:sz="6" w:space="0"/>
            </w:tcBorders>
            <w:vAlign w:val="center"/>
          </w:tcPr>
          <w:p w14:paraId="515C2518">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1055" w:type="pct"/>
            <w:tcBorders>
              <w:top w:val="single" w:color="000000" w:sz="6" w:space="0"/>
              <w:left w:val="single" w:color="000000" w:sz="6" w:space="0"/>
              <w:bottom w:val="single" w:color="000000" w:sz="6" w:space="0"/>
              <w:right w:val="single" w:color="000000" w:sz="6" w:space="0"/>
            </w:tcBorders>
            <w:vAlign w:val="center"/>
          </w:tcPr>
          <w:p w14:paraId="6DE8F3BD">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925" w:type="pct"/>
            <w:tcBorders>
              <w:top w:val="single" w:color="000000" w:sz="6" w:space="0"/>
              <w:left w:val="single" w:color="000000" w:sz="6" w:space="0"/>
              <w:bottom w:val="single" w:color="000000" w:sz="6" w:space="0"/>
              <w:right w:val="single" w:color="000000" w:sz="6" w:space="0"/>
            </w:tcBorders>
            <w:vAlign w:val="center"/>
          </w:tcPr>
          <w:p w14:paraId="4AF4DD67">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790" w:type="pct"/>
            <w:tcBorders>
              <w:top w:val="single" w:color="000000" w:sz="6" w:space="0"/>
              <w:left w:val="single" w:color="000000" w:sz="6" w:space="0"/>
              <w:bottom w:val="single" w:color="000000" w:sz="6" w:space="0"/>
            </w:tcBorders>
            <w:vAlign w:val="center"/>
          </w:tcPr>
          <w:p w14:paraId="3C12F48E">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0015876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52" w:hRule="atLeast"/>
        </w:trPr>
        <w:tc>
          <w:tcPr>
            <w:tcW w:w="1029" w:type="pct"/>
            <w:tcBorders>
              <w:top w:val="single" w:color="000000" w:sz="6" w:space="0"/>
              <w:right w:val="single" w:color="000000" w:sz="6" w:space="0"/>
            </w:tcBorders>
            <w:vAlign w:val="center"/>
          </w:tcPr>
          <w:p w14:paraId="6E88DE52">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备注</w:t>
            </w:r>
          </w:p>
        </w:tc>
        <w:tc>
          <w:tcPr>
            <w:tcW w:w="3971" w:type="pct"/>
            <w:gridSpan w:val="4"/>
            <w:tcBorders>
              <w:top w:val="single" w:color="000000" w:sz="6" w:space="0"/>
              <w:left w:val="single" w:color="000000" w:sz="6" w:space="0"/>
            </w:tcBorders>
            <w:vAlign w:val="center"/>
          </w:tcPr>
          <w:p w14:paraId="0CC9D465">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rPr>
            </w:pPr>
            <w:r>
              <w:rPr>
                <w:rFonts w:hint="default" w:ascii="Times New Roman" w:hAnsi="Times New Roman" w:eastAsia="宋体" w:cs="Times New Roman"/>
                <w:sz w:val="21"/>
              </w:rPr>
              <w:t>建设期对土壤的影响主要是土层的扰动和土壤的物理性改变，无外来污染物质的进入。</w:t>
            </w:r>
          </w:p>
        </w:tc>
      </w:tr>
    </w:tbl>
    <w:p w14:paraId="597A440C">
      <w:pPr>
        <w:pStyle w:val="12"/>
        <w:spacing w:line="360" w:lineRule="auto"/>
        <w:ind w:firstLine="562"/>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表7.7-2</w:t>
      </w:r>
      <w:r>
        <w:rPr>
          <w:rFonts w:hint="default" w:ascii="Times New Roman" w:hAnsi="Times New Roman" w:eastAsia="宋体" w:cs="Times New Roman"/>
          <w:b/>
          <w:sz w:val="21"/>
          <w:szCs w:val="21"/>
        </w:rPr>
        <w:tab/>
      </w:r>
      <w:r>
        <w:rPr>
          <w:rFonts w:hint="default" w:ascii="Times New Roman" w:hAnsi="Times New Roman" w:eastAsia="宋体" w:cs="Times New Roman"/>
          <w:b/>
          <w:sz w:val="21"/>
          <w:szCs w:val="21"/>
        </w:rPr>
        <w:t xml:space="preserve"> 项目土壤环境影响源及影响因子识别表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929"/>
        <w:gridCol w:w="1428"/>
        <w:gridCol w:w="1170"/>
        <w:gridCol w:w="2453"/>
        <w:gridCol w:w="1278"/>
        <w:gridCol w:w="1084"/>
      </w:tblGrid>
      <w:tr w14:paraId="5769DC7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557" w:type="pct"/>
            <w:vAlign w:val="center"/>
          </w:tcPr>
          <w:p w14:paraId="6D84FA08">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污染源</w:t>
            </w:r>
          </w:p>
        </w:tc>
        <w:tc>
          <w:tcPr>
            <w:tcW w:w="856" w:type="pct"/>
            <w:vAlign w:val="center"/>
          </w:tcPr>
          <w:p w14:paraId="2F7DECDC">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工艺流程/节点</w:t>
            </w:r>
          </w:p>
        </w:tc>
        <w:tc>
          <w:tcPr>
            <w:tcW w:w="701" w:type="pct"/>
            <w:vAlign w:val="center"/>
          </w:tcPr>
          <w:p w14:paraId="789218E9">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污染途径</w:t>
            </w:r>
          </w:p>
        </w:tc>
        <w:tc>
          <w:tcPr>
            <w:tcW w:w="1470" w:type="pct"/>
            <w:vAlign w:val="center"/>
          </w:tcPr>
          <w:p w14:paraId="1B2AA77B">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全部污染物指标</w:t>
            </w:r>
            <w:r>
              <w:rPr>
                <w:rFonts w:hint="default" w:ascii="Times New Roman" w:hAnsi="Times New Roman" w:eastAsia="宋体" w:cs="Times New Roman"/>
                <w:vertAlign w:val="superscript"/>
              </w:rPr>
              <w:t>a</w:t>
            </w:r>
          </w:p>
        </w:tc>
        <w:tc>
          <w:tcPr>
            <w:tcW w:w="766" w:type="pct"/>
            <w:vAlign w:val="center"/>
          </w:tcPr>
          <w:p w14:paraId="6A728C81">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预测因子</w:t>
            </w:r>
          </w:p>
        </w:tc>
        <w:tc>
          <w:tcPr>
            <w:tcW w:w="650" w:type="pct"/>
            <w:vAlign w:val="center"/>
          </w:tcPr>
          <w:p w14:paraId="553B8814">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备注</w:t>
            </w:r>
            <w:r>
              <w:rPr>
                <w:rFonts w:hint="default" w:ascii="Times New Roman" w:hAnsi="Times New Roman" w:eastAsia="宋体" w:cs="Times New Roman"/>
                <w:vertAlign w:val="superscript"/>
              </w:rPr>
              <w:t>b</w:t>
            </w:r>
          </w:p>
        </w:tc>
      </w:tr>
      <w:tr w14:paraId="43C103B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557" w:type="pct"/>
            <w:tcBorders>
              <w:right w:val="single" w:color="auto" w:sz="4" w:space="0"/>
            </w:tcBorders>
            <w:vAlign w:val="center"/>
          </w:tcPr>
          <w:p w14:paraId="371C1F06">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DA001</w:t>
            </w:r>
          </w:p>
          <w:p w14:paraId="11E0659F">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排气筒</w:t>
            </w:r>
          </w:p>
        </w:tc>
        <w:tc>
          <w:tcPr>
            <w:tcW w:w="856" w:type="pct"/>
            <w:tcBorders>
              <w:left w:val="single" w:color="auto" w:sz="4" w:space="0"/>
            </w:tcBorders>
            <w:vAlign w:val="center"/>
          </w:tcPr>
          <w:p w14:paraId="5E22861D">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废气排放</w:t>
            </w:r>
          </w:p>
        </w:tc>
        <w:tc>
          <w:tcPr>
            <w:tcW w:w="701" w:type="pct"/>
            <w:vAlign w:val="center"/>
          </w:tcPr>
          <w:p w14:paraId="3FC3F818">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大气沉降</w:t>
            </w:r>
          </w:p>
        </w:tc>
        <w:tc>
          <w:tcPr>
            <w:tcW w:w="1470" w:type="pct"/>
            <w:vAlign w:val="center"/>
          </w:tcPr>
          <w:p w14:paraId="109580B7">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VOCs</w:t>
            </w:r>
          </w:p>
        </w:tc>
        <w:tc>
          <w:tcPr>
            <w:tcW w:w="766" w:type="pct"/>
            <w:vAlign w:val="center"/>
          </w:tcPr>
          <w:p w14:paraId="4A6316EE">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VOCs</w:t>
            </w:r>
          </w:p>
        </w:tc>
        <w:tc>
          <w:tcPr>
            <w:tcW w:w="650" w:type="pct"/>
            <w:vAlign w:val="center"/>
          </w:tcPr>
          <w:p w14:paraId="35883657">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正常/事故</w:t>
            </w:r>
          </w:p>
        </w:tc>
      </w:tr>
      <w:tr w14:paraId="550EEF2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70" w:hRule="atLeast"/>
        </w:trPr>
        <w:tc>
          <w:tcPr>
            <w:tcW w:w="557" w:type="pct"/>
            <w:tcBorders>
              <w:right w:val="single" w:color="auto" w:sz="4" w:space="0"/>
            </w:tcBorders>
            <w:vAlign w:val="center"/>
          </w:tcPr>
          <w:p w14:paraId="6F06D522">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DA002</w:t>
            </w:r>
          </w:p>
          <w:p w14:paraId="5CE9873F">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排气筒</w:t>
            </w:r>
          </w:p>
        </w:tc>
        <w:tc>
          <w:tcPr>
            <w:tcW w:w="856" w:type="pct"/>
            <w:tcBorders>
              <w:left w:val="single" w:color="auto" w:sz="4" w:space="0"/>
            </w:tcBorders>
            <w:vAlign w:val="center"/>
          </w:tcPr>
          <w:p w14:paraId="5F58F083">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废气排放</w:t>
            </w:r>
          </w:p>
        </w:tc>
        <w:tc>
          <w:tcPr>
            <w:tcW w:w="701" w:type="pct"/>
            <w:vAlign w:val="center"/>
          </w:tcPr>
          <w:p w14:paraId="7D7C832B">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大气沉降</w:t>
            </w:r>
          </w:p>
        </w:tc>
        <w:tc>
          <w:tcPr>
            <w:tcW w:w="1470" w:type="pct"/>
            <w:vAlign w:val="center"/>
          </w:tcPr>
          <w:p w14:paraId="7B802A50">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VOCs</w:t>
            </w:r>
          </w:p>
        </w:tc>
        <w:tc>
          <w:tcPr>
            <w:tcW w:w="766" w:type="pct"/>
            <w:vAlign w:val="center"/>
          </w:tcPr>
          <w:p w14:paraId="09E57BBE">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VOCs</w:t>
            </w:r>
          </w:p>
        </w:tc>
        <w:tc>
          <w:tcPr>
            <w:tcW w:w="650" w:type="pct"/>
            <w:vAlign w:val="center"/>
          </w:tcPr>
          <w:p w14:paraId="003CBC67">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正常/事故</w:t>
            </w:r>
          </w:p>
        </w:tc>
      </w:tr>
      <w:tr w14:paraId="7EF1A6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2" w:hRule="atLeast"/>
        </w:trPr>
        <w:tc>
          <w:tcPr>
            <w:tcW w:w="557" w:type="pct"/>
            <w:tcBorders>
              <w:right w:val="single" w:color="auto" w:sz="4" w:space="0"/>
            </w:tcBorders>
            <w:vAlign w:val="center"/>
          </w:tcPr>
          <w:p w14:paraId="6ADAD23B">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污水处理站</w:t>
            </w:r>
          </w:p>
        </w:tc>
        <w:tc>
          <w:tcPr>
            <w:tcW w:w="856" w:type="pct"/>
            <w:tcBorders>
              <w:left w:val="single" w:color="auto" w:sz="4" w:space="0"/>
            </w:tcBorders>
            <w:vAlign w:val="center"/>
          </w:tcPr>
          <w:p w14:paraId="5A9F8564">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调节池发生泄漏且未能做好地下防渗</w:t>
            </w:r>
          </w:p>
        </w:tc>
        <w:tc>
          <w:tcPr>
            <w:tcW w:w="701" w:type="pct"/>
            <w:vAlign w:val="center"/>
          </w:tcPr>
          <w:p w14:paraId="20962A18">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垂直入渗</w:t>
            </w:r>
          </w:p>
        </w:tc>
        <w:tc>
          <w:tcPr>
            <w:tcW w:w="1470" w:type="pct"/>
            <w:vAlign w:val="center"/>
          </w:tcPr>
          <w:p w14:paraId="0B03E836">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pH、CODcr、BOD</w:t>
            </w:r>
            <w:r>
              <w:rPr>
                <w:rFonts w:hint="default" w:ascii="Times New Roman" w:hAnsi="Times New Roman" w:eastAsia="宋体" w:cs="Times New Roman"/>
                <w:vertAlign w:val="subscript"/>
              </w:rPr>
              <w:t>5</w:t>
            </w:r>
            <w:r>
              <w:rPr>
                <w:rFonts w:hint="default" w:ascii="Times New Roman" w:hAnsi="Times New Roman" w:eastAsia="宋体" w:cs="Times New Roman"/>
              </w:rPr>
              <w:t>、SS、苯、甲苯、石油类、LAS</w:t>
            </w:r>
          </w:p>
        </w:tc>
        <w:tc>
          <w:tcPr>
            <w:tcW w:w="766" w:type="pct"/>
            <w:vAlign w:val="center"/>
          </w:tcPr>
          <w:p w14:paraId="4E1129DE">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CODcr、石油类</w:t>
            </w:r>
          </w:p>
        </w:tc>
        <w:tc>
          <w:tcPr>
            <w:tcW w:w="650" w:type="pct"/>
            <w:vAlign w:val="center"/>
          </w:tcPr>
          <w:p w14:paraId="6B6DC92D">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rPr>
            </w:pPr>
            <w:r>
              <w:rPr>
                <w:rFonts w:hint="default" w:ascii="Times New Roman" w:hAnsi="Times New Roman" w:eastAsia="宋体" w:cs="Times New Roman"/>
              </w:rPr>
              <w:t>事故</w:t>
            </w:r>
          </w:p>
        </w:tc>
      </w:tr>
      <w:tr w14:paraId="79E9BD1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935" w:hRule="atLeast"/>
        </w:trPr>
        <w:tc>
          <w:tcPr>
            <w:tcW w:w="5000" w:type="pct"/>
            <w:gridSpan w:val="6"/>
            <w:vAlign w:val="center"/>
          </w:tcPr>
          <w:p w14:paraId="4FF18E64">
            <w:pPr>
              <w:pStyle w:val="66"/>
              <w:keepNext w:val="0"/>
              <w:keepLines w:val="0"/>
              <w:suppressLineNumbers w:val="0"/>
              <w:spacing w:before="0" w:beforeAutospacing="0" w:after="0" w:afterAutospacing="0"/>
              <w:ind w:left="0" w:right="0"/>
              <w:jc w:val="left"/>
              <w:rPr>
                <w:rFonts w:hint="default" w:ascii="Times New Roman" w:hAnsi="Times New Roman" w:eastAsia="宋体" w:cs="Times New Roman"/>
              </w:rPr>
            </w:pPr>
            <w:r>
              <w:rPr>
                <w:rFonts w:hint="default" w:ascii="Times New Roman" w:hAnsi="Times New Roman" w:eastAsia="宋体" w:cs="Times New Roman"/>
              </w:rPr>
              <w:t>a 根据工程分析结果填写。</w:t>
            </w:r>
          </w:p>
          <w:p w14:paraId="0354B731">
            <w:pPr>
              <w:pStyle w:val="66"/>
              <w:keepNext w:val="0"/>
              <w:keepLines w:val="0"/>
              <w:suppressLineNumbers w:val="0"/>
              <w:spacing w:before="0" w:beforeAutospacing="0" w:after="0" w:afterAutospacing="0"/>
              <w:ind w:left="0" w:right="0"/>
              <w:jc w:val="left"/>
              <w:rPr>
                <w:rFonts w:hint="default" w:ascii="Times New Roman" w:hAnsi="Times New Roman" w:eastAsia="宋体" w:cs="Times New Roman"/>
                <w:kern w:val="2"/>
              </w:rPr>
            </w:pPr>
            <w:r>
              <w:rPr>
                <w:rFonts w:hint="default" w:ascii="Times New Roman" w:hAnsi="Times New Roman" w:eastAsia="宋体" w:cs="Times New Roman"/>
              </w:rPr>
              <w:t>b 应描述污染源特征，如连续、间断、正常、事故等；涉及大气沉降途径的，应识别建设项目周边的土壤环境敏感目标。</w:t>
            </w:r>
          </w:p>
        </w:tc>
      </w:tr>
    </w:tbl>
    <w:p w14:paraId="5CEA33AD">
      <w:pPr>
        <w:pStyle w:val="4"/>
        <w:spacing w:before="0" w:after="0" w:line="360" w:lineRule="auto"/>
        <w:rPr>
          <w:rFonts w:hint="default" w:ascii="Times New Roman" w:hAnsi="Times New Roman" w:eastAsia="宋体" w:cs="Times New Roman"/>
        </w:rPr>
      </w:pPr>
      <w:bookmarkStart w:id="349" w:name="_Toc18846796"/>
      <w:r>
        <w:rPr>
          <w:rFonts w:hint="default" w:ascii="Times New Roman" w:hAnsi="Times New Roman" w:eastAsia="宋体" w:cs="Times New Roman"/>
        </w:rPr>
        <w:t>7.6.3土壤环境影响预测</w:t>
      </w:r>
      <w:bookmarkEnd w:id="349"/>
    </w:p>
    <w:p w14:paraId="5D6EA64A">
      <w:pPr>
        <w:pStyle w:val="5"/>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7.6.3.1预测时段</w:t>
      </w:r>
    </w:p>
    <w:p w14:paraId="596D6703">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预测时段应选取可能产生土壤污染的关键时段，根据导则和土壤影响识别，预测时段包括项目运营期的正常和事故排放时段。</w:t>
      </w:r>
    </w:p>
    <w:p w14:paraId="414BF546">
      <w:pPr>
        <w:pStyle w:val="5"/>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7.6.3.2情景设置</w:t>
      </w:r>
    </w:p>
    <w:p w14:paraId="07F546A6">
      <w:pPr>
        <w:pStyle w:val="12"/>
        <w:spacing w:line="360" w:lineRule="auto"/>
        <w:ind w:firstLine="482"/>
        <w:rPr>
          <w:rFonts w:hint="default" w:ascii="Times New Roman" w:hAnsi="Times New Roman" w:eastAsia="宋体" w:cs="Times New Roman"/>
        </w:rPr>
      </w:pPr>
      <w:r>
        <w:rPr>
          <w:rFonts w:hint="default" w:ascii="Times New Roman" w:hAnsi="Times New Roman" w:eastAsia="宋体" w:cs="Times New Roman"/>
          <w:b/>
        </w:rPr>
        <w:t>正常状况</w:t>
      </w:r>
      <w:r>
        <w:rPr>
          <w:rFonts w:hint="default" w:ascii="Times New Roman" w:hAnsi="Times New Roman" w:eastAsia="宋体" w:cs="Times New Roman"/>
        </w:rPr>
        <w:t>—废气正常达标排放和设施允许渗水量（跑冒滴漏）；</w:t>
      </w:r>
    </w:p>
    <w:p w14:paraId="6A584201">
      <w:pPr>
        <w:pStyle w:val="12"/>
        <w:spacing w:line="360" w:lineRule="auto"/>
        <w:ind w:firstLine="482"/>
        <w:rPr>
          <w:rFonts w:hint="default" w:ascii="Times New Roman" w:hAnsi="Times New Roman" w:eastAsia="宋体" w:cs="Times New Roman"/>
        </w:rPr>
      </w:pPr>
      <w:r>
        <w:rPr>
          <w:rFonts w:hint="default" w:ascii="Times New Roman" w:hAnsi="Times New Roman" w:eastAsia="宋体" w:cs="Times New Roman"/>
          <w:b/>
        </w:rPr>
        <w:t>非正常状况</w:t>
      </w:r>
      <w:r>
        <w:rPr>
          <w:rFonts w:hint="default" w:ascii="Times New Roman" w:hAnsi="Times New Roman" w:eastAsia="宋体" w:cs="Times New Roman"/>
        </w:rPr>
        <w:t>—废气事故排放和池体防渗层老化、腐蚀破损后渗漏量。</w:t>
      </w:r>
    </w:p>
    <w:p w14:paraId="29DB4F39">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重点要针对</w:t>
      </w:r>
      <w:r>
        <w:rPr>
          <w:rFonts w:hint="default" w:ascii="Times New Roman" w:hAnsi="Times New Roman" w:eastAsia="宋体" w:cs="Times New Roman"/>
          <w:b/>
        </w:rPr>
        <w:t>风险事故状况</w:t>
      </w:r>
      <w:r>
        <w:rPr>
          <w:rFonts w:hint="default" w:ascii="Times New Roman" w:hAnsi="Times New Roman" w:eastAsia="宋体" w:cs="Times New Roman"/>
        </w:rPr>
        <w:t>进行预测。</w:t>
      </w:r>
    </w:p>
    <w:p w14:paraId="674BDE93">
      <w:pPr>
        <w:pStyle w:val="12"/>
        <w:spacing w:line="360" w:lineRule="auto"/>
        <w:ind w:firstLine="482"/>
        <w:rPr>
          <w:rFonts w:hint="default" w:ascii="Times New Roman" w:hAnsi="Times New Roman" w:eastAsia="宋体" w:cs="Times New Roman"/>
        </w:rPr>
      </w:pPr>
      <w:r>
        <w:rPr>
          <w:rFonts w:hint="default" w:ascii="Times New Roman" w:hAnsi="Times New Roman" w:eastAsia="宋体" w:cs="Times New Roman"/>
          <w:b/>
        </w:rPr>
        <w:t>污染途径：正常状况下</w:t>
      </w:r>
      <w:r>
        <w:rPr>
          <w:rFonts w:hint="default" w:ascii="Times New Roman" w:hAnsi="Times New Roman" w:eastAsia="宋体" w:cs="Times New Roman"/>
        </w:rPr>
        <w:t>最常见的污染途径是通过大气沉降而污染的。</w:t>
      </w:r>
      <w:r>
        <w:rPr>
          <w:rFonts w:hint="default" w:ascii="Times New Roman" w:hAnsi="Times New Roman" w:eastAsia="宋体" w:cs="Times New Roman"/>
          <w:b/>
        </w:rPr>
        <w:t>非正常状况下</w:t>
      </w:r>
      <w:r>
        <w:rPr>
          <w:rFonts w:hint="default" w:ascii="Times New Roman" w:hAnsi="Times New Roman" w:eastAsia="宋体" w:cs="Times New Roman"/>
        </w:rPr>
        <w:t>最常见的污染途径是通过、地表漫流和垂直入渗而污染的。</w:t>
      </w:r>
    </w:p>
    <w:p w14:paraId="5CE1AEFE">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在</w:t>
      </w:r>
      <w:r>
        <w:rPr>
          <w:rFonts w:hint="default" w:ascii="Times New Roman" w:hAnsi="Times New Roman" w:eastAsia="宋体" w:cs="Times New Roman"/>
          <w:b/>
        </w:rPr>
        <w:t>正常状况</w:t>
      </w:r>
      <w:r>
        <w:rPr>
          <w:rFonts w:hint="default" w:ascii="Times New Roman" w:hAnsi="Times New Roman" w:eastAsia="宋体" w:cs="Times New Roman"/>
        </w:rPr>
        <w:t>下，所有的生产和环保设备均按防渗要求设计，电解液及污染物的入渗量很少，一般不会对土壤产生污染。</w:t>
      </w:r>
    </w:p>
    <w:p w14:paraId="1D987BD9">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在</w:t>
      </w:r>
      <w:r>
        <w:rPr>
          <w:rFonts w:hint="default" w:ascii="Times New Roman" w:hAnsi="Times New Roman" w:eastAsia="宋体" w:cs="Times New Roman"/>
          <w:b/>
        </w:rPr>
        <w:t>非正常状况</w:t>
      </w:r>
      <w:r>
        <w:rPr>
          <w:rFonts w:hint="default" w:ascii="Times New Roman" w:hAnsi="Times New Roman" w:eastAsia="宋体" w:cs="Times New Roman"/>
        </w:rPr>
        <w:t>下，污染物进入土壤主要途径有污水处理站调节池底部破损造成垂直入渗方式污染土壤和废气事故排放污染物通过大气沉降进入土壤。</w:t>
      </w:r>
    </w:p>
    <w:p w14:paraId="7803B621">
      <w:pPr>
        <w:pStyle w:val="12"/>
        <w:spacing w:line="360" w:lineRule="auto"/>
        <w:ind w:firstLine="482"/>
        <w:rPr>
          <w:rFonts w:hint="default" w:ascii="Times New Roman" w:hAnsi="Times New Roman" w:eastAsia="宋体" w:cs="Times New Roman"/>
          <w:b/>
        </w:rPr>
      </w:pPr>
      <w:r>
        <w:rPr>
          <w:rFonts w:hint="default" w:ascii="Times New Roman" w:hAnsi="Times New Roman" w:eastAsia="宋体" w:cs="Times New Roman"/>
          <w:b/>
        </w:rPr>
        <w:t>（1）大气沉降影响预测</w:t>
      </w:r>
    </w:p>
    <w:p w14:paraId="02501F1B">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1、预测方法及参数的选取</w:t>
      </w:r>
    </w:p>
    <w:p w14:paraId="73B671D3">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①预测方法采用土壤导则附录E中单位质量土壤物质增量公式计算，其公式为：</w:t>
      </w:r>
    </w:p>
    <w:p w14:paraId="62762A5D">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mc:AlternateContent>
          <mc:Choice Requires="wps">
            <w:drawing>
              <wp:inline distT="0" distB="0" distL="0" distR="0">
                <wp:extent cx="1873250" cy="207010"/>
                <wp:effectExtent l="0" t="0" r="3175" b="2540"/>
                <wp:docPr id="34" name="矩形 34"/>
                <wp:cNvGraphicFramePr/>
                <a:graphic xmlns:a="http://schemas.openxmlformats.org/drawingml/2006/main">
                  <a:graphicData uri="http://schemas.microsoft.com/office/word/2010/wordprocessingShape">
                    <wps:wsp>
                      <wps:cNvSpPr>
                        <a:spLocks noChangeArrowheads="1"/>
                      </wps:cNvSpPr>
                      <wps:spPr bwMode="auto">
                        <a:xfrm>
                          <a:off x="0" y="0"/>
                          <a:ext cx="1873250" cy="207010"/>
                        </a:xfrm>
                        <a:prstGeom prst="rect">
                          <a:avLst/>
                        </a:prstGeom>
                        <a:noFill/>
                        <a:ln>
                          <a:noFill/>
                        </a:ln>
                      </wps:spPr>
                      <wps:txbx>
                        <w:txbxContent>
                          <w:p w14:paraId="7F62B396">
                            <w:pPr>
                              <w:rPr>
                                <w:rFonts w:ascii="Times New Roman"/>
                              </w:rPr>
                            </w:pPr>
                            <w:r>
                              <w:rPr>
                                <w:rFonts w:ascii="Cambria Math" w:hAnsi="Cambria Math" w:cs="Cambria Math"/>
                                <w:i/>
                                <w:iCs/>
                              </w:rPr>
                              <w:t>△</w:t>
                            </w:r>
                            <w:r>
                              <w:rPr>
                                <w:rFonts w:ascii="Times New Roman"/>
                                <w:i/>
                                <w:iCs/>
                              </w:rPr>
                              <w:t>S=n(I</w:t>
                            </w:r>
                            <w:r>
                              <w:rPr>
                                <w:rFonts w:ascii="Times New Roman"/>
                                <w:i/>
                                <w:iCs/>
                                <w:vertAlign w:val="subscript"/>
                              </w:rPr>
                              <w:t>s</w:t>
                            </w:r>
                            <w:r>
                              <w:rPr>
                                <w:rFonts w:ascii="Times New Roman"/>
                                <w:i/>
                                <w:iCs/>
                              </w:rPr>
                              <w:t>-Ls-Rs)/(Ρ</w:t>
                            </w:r>
                            <w:r>
                              <w:rPr>
                                <w:rFonts w:ascii="Times New Roman"/>
                                <w:i/>
                                <w:iCs/>
                                <w:vertAlign w:val="subscript"/>
                              </w:rPr>
                              <w:t>b</w:t>
                            </w:r>
                            <w:r>
                              <w:rPr>
                                <w:rFonts w:ascii="Times New Roman"/>
                                <w:i/>
                                <w:iCs/>
                              </w:rPr>
                              <w:t>×A×D)</w:t>
                            </w:r>
                          </w:p>
                        </w:txbxContent>
                      </wps:txbx>
                      <wps:bodyPr rot="0" vert="horz" wrap="square" lIns="0" tIns="0" rIns="0" bIns="0" anchor="t" anchorCtr="0" upright="1">
                        <a:spAutoFit/>
                      </wps:bodyPr>
                    </wps:wsp>
                  </a:graphicData>
                </a:graphic>
              </wp:inline>
            </w:drawing>
          </mc:Choice>
          <mc:Fallback>
            <w:pict>
              <v:rect id="_x0000_s1026" o:spid="_x0000_s1026" o:spt="1" style="height:16.3pt;width:147.5pt;" filled="f" stroked="f" coordsize="21600,21600" o:gfxdata="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Li0yN1AAAAAQBAAAPAAAAAAAAAAEAIAAAACIAAABkcnMvZG93&#10;bnJldi54bWxQSwECFAAUAAAACACHTuJA6hnjPQQCAAD6AwAADgAAAAAAAAABACAAAAAjAQAAZHJz&#10;L2Uyb0RvYy54bWxQSwUGAAAAAAYABgBZAQAAmQUAAAAA&#10;">
                <v:fill on="f" focussize="0,0"/>
                <v:stroke on="f"/>
                <v:imagedata o:title=""/>
                <o:lock v:ext="edit" aspectratio="f"/>
                <v:textbox inset="0mm,0mm,0mm,0mm" style="mso-fit-shape-to-text:t;">
                  <w:txbxContent>
                    <w:p w14:paraId="7F62B396">
                      <w:pPr>
                        <w:rPr>
                          <w:rFonts w:ascii="Times New Roman"/>
                        </w:rPr>
                      </w:pPr>
                      <w:r>
                        <w:rPr>
                          <w:rFonts w:ascii="Cambria Math" w:hAnsi="Cambria Math" w:cs="Cambria Math"/>
                          <w:i/>
                          <w:iCs/>
                        </w:rPr>
                        <w:t>△</w:t>
                      </w:r>
                      <w:r>
                        <w:rPr>
                          <w:rFonts w:ascii="Times New Roman"/>
                          <w:i/>
                          <w:iCs/>
                        </w:rPr>
                        <w:t>S=n(I</w:t>
                      </w:r>
                      <w:r>
                        <w:rPr>
                          <w:rFonts w:ascii="Times New Roman"/>
                          <w:i/>
                          <w:iCs/>
                          <w:vertAlign w:val="subscript"/>
                        </w:rPr>
                        <w:t>s</w:t>
                      </w:r>
                      <w:r>
                        <w:rPr>
                          <w:rFonts w:ascii="Times New Roman"/>
                          <w:i/>
                          <w:iCs/>
                        </w:rPr>
                        <w:t>-Ls-Rs)/(Ρ</w:t>
                      </w:r>
                      <w:r>
                        <w:rPr>
                          <w:rFonts w:ascii="Times New Roman"/>
                          <w:i/>
                          <w:iCs/>
                          <w:vertAlign w:val="subscript"/>
                        </w:rPr>
                        <w:t>b</w:t>
                      </w:r>
                      <w:r>
                        <w:rPr>
                          <w:rFonts w:ascii="Times New Roman"/>
                          <w:i/>
                          <w:iCs/>
                        </w:rPr>
                        <w:t>×A×D)</w:t>
                      </w:r>
                    </w:p>
                  </w:txbxContent>
                </v:textbox>
                <w10:wrap type="none"/>
                <w10:anchorlock/>
              </v:rect>
            </w:pict>
          </mc:Fallback>
        </mc:AlternateContent>
      </w:r>
    </w:p>
    <w:p w14:paraId="23EE77BE">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式中：△S—单位质量表层土壤中某种物质的增量，g/kg；</w:t>
      </w:r>
    </w:p>
    <w:p w14:paraId="3E6377EB">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n—持续年份，a；</w:t>
      </w:r>
    </w:p>
    <w:p w14:paraId="556B47E9">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Is—预测评价范围内单位年份表层土壤中某种物质的输入量，g；</w:t>
      </w:r>
    </w:p>
    <w:p w14:paraId="0FA3E3F5">
      <w:pPr>
        <w:pStyle w:val="12"/>
        <w:spacing w:line="360" w:lineRule="auto"/>
        <w:ind w:firstLine="480"/>
        <w:rPr>
          <w:rFonts w:hint="default" w:ascii="Times New Roman" w:hAnsi="Times New Roman" w:eastAsia="宋体" w:cs="Times New Roman"/>
        </w:rPr>
      </w:pPr>
      <w:bookmarkStart w:id="350" w:name="_Hlk11793417"/>
      <w:r>
        <w:rPr>
          <w:rFonts w:hint="default" w:ascii="Times New Roman" w:hAnsi="Times New Roman" w:eastAsia="宋体" w:cs="Times New Roman"/>
        </w:rPr>
        <w:t>Ls</w:t>
      </w:r>
      <w:bookmarkEnd w:id="350"/>
      <w:r>
        <w:rPr>
          <w:rFonts w:hint="default" w:ascii="Times New Roman" w:hAnsi="Times New Roman" w:eastAsia="宋体" w:cs="Times New Roman"/>
        </w:rPr>
        <w:t>—预测评价范围内单位年份表层土壤中某种物质经淋溶排出的量，g；</w:t>
      </w:r>
    </w:p>
    <w:p w14:paraId="38C0689D">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Rs—预测评价范围内单位年份表层土壤中某种物质经径流排出的量，g；</w:t>
      </w:r>
    </w:p>
    <w:p w14:paraId="7B17934B">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Ρ</w:t>
      </w:r>
      <w:r>
        <w:rPr>
          <w:rFonts w:hint="default" w:ascii="Times New Roman" w:hAnsi="Times New Roman" w:eastAsia="宋体" w:cs="Times New Roman"/>
          <w:vertAlign w:val="subscript"/>
        </w:rPr>
        <w:t>b</w:t>
      </w:r>
      <w:r>
        <w:rPr>
          <w:rFonts w:hint="default" w:ascii="Times New Roman" w:hAnsi="Times New Roman" w:eastAsia="宋体" w:cs="Times New Roman"/>
        </w:rPr>
        <w:t>—表层土壤容重，1150kg/m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p w14:paraId="3E4BD346">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A—预测评价范围，m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7CC2082B">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D—表层土壤深度，取0.2m。</w:t>
      </w:r>
    </w:p>
    <w:p w14:paraId="15E9C7A7">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有关研究资料表明，重金属在土壤中一般不易被自然淋溶迁移，综合考虑植物富集、土壤侵蚀和土壤渗漏等流失途径在内的年残留率一般为90%，因此本次评价Ls+Rs取Is的10%。）</w:t>
      </w:r>
    </w:p>
    <w:p w14:paraId="31AC8FDE">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②单位质量土壤中某种物质的预测值可根据其增量叠加现状值进行计算，如下式：</w:t>
      </w:r>
    </w:p>
    <w:p w14:paraId="6DD60950">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S=S</w:t>
      </w:r>
      <w:r>
        <w:rPr>
          <w:rFonts w:hint="default" w:ascii="Times New Roman" w:hAnsi="Times New Roman" w:eastAsia="宋体" w:cs="Times New Roman"/>
          <w:vertAlign w:val="subscript"/>
        </w:rPr>
        <w:t>b</w:t>
      </w:r>
      <w:r>
        <w:rPr>
          <w:rFonts w:hint="default" w:ascii="Times New Roman" w:hAnsi="Times New Roman" w:eastAsia="宋体" w:cs="Times New Roman"/>
        </w:rPr>
        <w:t>+△S</w:t>
      </w:r>
    </w:p>
    <w:p w14:paraId="0EB27B82">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式中：S</w:t>
      </w:r>
      <w:r>
        <w:rPr>
          <w:rFonts w:hint="default" w:ascii="Times New Roman" w:hAnsi="Times New Roman" w:eastAsia="宋体" w:cs="Times New Roman"/>
          <w:vertAlign w:val="subscript"/>
        </w:rPr>
        <w:t>b</w:t>
      </w:r>
      <w:r>
        <w:rPr>
          <w:rFonts w:hint="default" w:ascii="Times New Roman" w:hAnsi="Times New Roman" w:eastAsia="宋体" w:cs="Times New Roman"/>
        </w:rPr>
        <w:t>—单位质量土壤中某种物质的现状值，g/kg；取现状监测最大值。</w:t>
      </w:r>
    </w:p>
    <w:p w14:paraId="055B991D">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S—单位质量土壤中某种物质的预测值，g/kg；</w:t>
      </w:r>
    </w:p>
    <w:p w14:paraId="758659C2">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③污染物的年输入量Is的计算公式为：</w:t>
      </w:r>
    </w:p>
    <w:p w14:paraId="21B6F881">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Is=W</w:t>
      </w:r>
      <w:r>
        <w:rPr>
          <w:rFonts w:hint="default" w:ascii="Times New Roman" w:hAnsi="Times New Roman" w:eastAsia="宋体" w:cs="Times New Roman"/>
          <w:vertAlign w:val="subscript"/>
        </w:rPr>
        <w:t>0</w:t>
      </w:r>
      <w:r>
        <w:rPr>
          <w:rFonts w:hint="default" w:ascii="Times New Roman" w:hAnsi="Times New Roman" w:eastAsia="宋体" w:cs="Times New Roman"/>
        </w:rPr>
        <w:t>×S×V×3600×24×365</w:t>
      </w:r>
    </w:p>
    <w:p w14:paraId="3F7F9761">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式中：W</w:t>
      </w:r>
      <w:r>
        <w:rPr>
          <w:rFonts w:hint="default" w:ascii="Times New Roman" w:hAnsi="Times New Roman" w:eastAsia="宋体" w:cs="Times New Roman"/>
          <w:vertAlign w:val="subscript"/>
        </w:rPr>
        <w:t>0</w:t>
      </w:r>
      <w:r>
        <w:rPr>
          <w:rFonts w:hint="default" w:ascii="Times New Roman" w:hAnsi="Times New Roman" w:eastAsia="宋体" w:cs="Times New Roman"/>
        </w:rPr>
        <w:t>—预测最大落地浓度值，g/m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p w14:paraId="69CDE1ED">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S—网格面积，m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p w14:paraId="1573E3F3">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V—沉降速率，m/s；类比同类项目取0.0007m/s。</w:t>
      </w:r>
    </w:p>
    <w:p w14:paraId="3929EEEC">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2、污染物进入土壤中数量（年输入量）的测算</w:t>
      </w:r>
    </w:p>
    <w:p w14:paraId="39B4578D">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根据工程分析对大气污染源的计算结果，项目废气中VOCs的总排放量为：</w:t>
      </w:r>
      <w:r>
        <w:rPr>
          <w:rFonts w:hint="default" w:ascii="Times New Roman" w:hAnsi="Times New Roman" w:eastAsia="宋体" w:cs="Times New Roman"/>
          <w:kern w:val="0"/>
          <w:sz w:val="24"/>
        </w:rPr>
        <w:t>3.</w:t>
      </w:r>
      <w:r>
        <w:rPr>
          <w:rFonts w:hint="default" w:ascii="Times New Roman" w:hAnsi="Times New Roman" w:eastAsia="宋体" w:cs="Times New Roman"/>
          <w:kern w:val="0"/>
          <w:sz w:val="24"/>
          <w:lang w:val="en-US" w:eastAsia="zh-CN"/>
        </w:rPr>
        <w:t>2956</w:t>
      </w:r>
      <w:r>
        <w:rPr>
          <w:rFonts w:hint="default" w:ascii="Times New Roman" w:hAnsi="Times New Roman" w:eastAsia="宋体" w:cs="Times New Roman"/>
          <w:kern w:val="0"/>
          <w:sz w:val="24"/>
        </w:rPr>
        <w:t>t/a（其中有组织排放1.67</w:t>
      </w:r>
      <w:r>
        <w:rPr>
          <w:rFonts w:hint="default" w:ascii="Times New Roman" w:hAnsi="Times New Roman" w:eastAsia="宋体" w:cs="Times New Roman"/>
          <w:kern w:val="0"/>
          <w:sz w:val="24"/>
          <w:lang w:val="en-US" w:eastAsia="zh-CN"/>
        </w:rPr>
        <w:t>56</w:t>
      </w:r>
      <w:r>
        <w:rPr>
          <w:rFonts w:hint="default" w:ascii="Times New Roman" w:hAnsi="Times New Roman" w:eastAsia="宋体" w:cs="Times New Roman"/>
          <w:kern w:val="0"/>
          <w:sz w:val="24"/>
        </w:rPr>
        <w:t>t/a、无组织排放1.62t/a）</w:t>
      </w:r>
      <w:r>
        <w:rPr>
          <w:rFonts w:hint="default" w:ascii="Times New Roman" w:hAnsi="Times New Roman" w:eastAsia="宋体" w:cs="Times New Roman"/>
        </w:rPr>
        <w:t>。</w:t>
      </w:r>
    </w:p>
    <w:p w14:paraId="3B458BC1">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废气中VOCs污染物随废气排放进入环境空气后，通过自然沉降和降水进入集中区周边土壤。根据大气环境影响预测，废气中VOCs的小时落地浓度最大贡献值详见表</w:t>
      </w:r>
      <w:r>
        <w:rPr>
          <w:rFonts w:hint="default" w:ascii="Times New Roman" w:hAnsi="Times New Roman" w:eastAsia="宋体" w:cs="Times New Roman"/>
          <w:lang w:val="en-US" w:eastAsia="zh-CN"/>
        </w:rPr>
        <w:t>7</w:t>
      </w:r>
      <w:r>
        <w:rPr>
          <w:rFonts w:hint="default" w:ascii="Times New Roman" w:hAnsi="Times New Roman" w:eastAsia="宋体" w:cs="Times New Roman"/>
        </w:rPr>
        <w:t>.7-3。</w:t>
      </w:r>
    </w:p>
    <w:p w14:paraId="267B7474">
      <w:pPr>
        <w:spacing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rPr>
        <w:t>表</w:t>
      </w:r>
      <w:r>
        <w:rPr>
          <w:rFonts w:hint="default" w:ascii="Times New Roman" w:hAnsi="Times New Roman" w:eastAsia="宋体" w:cs="Times New Roman"/>
          <w:b/>
          <w:lang w:val="en-US" w:eastAsia="zh-CN"/>
        </w:rPr>
        <w:t>7</w:t>
      </w:r>
      <w:r>
        <w:rPr>
          <w:rFonts w:hint="default" w:ascii="Times New Roman" w:hAnsi="Times New Roman" w:eastAsia="宋体" w:cs="Times New Roman"/>
          <w:b/>
        </w:rPr>
        <w:t>.7-3  评价范围内污染物最大小时浓度贡献值情况</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741"/>
        <w:gridCol w:w="5787"/>
      </w:tblGrid>
      <w:tr w14:paraId="64B191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pct"/>
            <w:vMerge w:val="restart"/>
            <w:tcBorders>
              <w:top w:val="single" w:color="auto" w:sz="12" w:space="0"/>
              <w:left w:val="single" w:color="auto" w:sz="12" w:space="0"/>
              <w:bottom w:val="single" w:color="auto" w:sz="6" w:space="0"/>
              <w:right w:val="single" w:color="auto" w:sz="6" w:space="0"/>
            </w:tcBorders>
            <w:vAlign w:val="center"/>
          </w:tcPr>
          <w:p w14:paraId="5141EDB4">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污染因子</w:t>
            </w:r>
          </w:p>
        </w:tc>
        <w:tc>
          <w:tcPr>
            <w:tcW w:w="3393" w:type="pct"/>
            <w:tcBorders>
              <w:top w:val="single" w:color="auto" w:sz="12" w:space="0"/>
              <w:left w:val="single" w:color="auto" w:sz="6" w:space="0"/>
              <w:bottom w:val="single" w:color="auto" w:sz="6" w:space="0"/>
              <w:right w:val="single" w:color="auto" w:sz="12" w:space="0"/>
            </w:tcBorders>
            <w:vAlign w:val="center"/>
          </w:tcPr>
          <w:p w14:paraId="7FE4B047">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贡献值</w:t>
            </w:r>
          </w:p>
        </w:tc>
      </w:tr>
      <w:tr w14:paraId="2B771C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pct"/>
            <w:vMerge w:val="continue"/>
            <w:tcBorders>
              <w:top w:val="single" w:color="auto" w:sz="12" w:space="0"/>
              <w:left w:val="single" w:color="auto" w:sz="12" w:space="0"/>
              <w:bottom w:val="single" w:color="auto" w:sz="6" w:space="0"/>
              <w:right w:val="single" w:color="auto" w:sz="6" w:space="0"/>
            </w:tcBorders>
            <w:vAlign w:val="center"/>
          </w:tcPr>
          <w:p w14:paraId="4201A703">
            <w:pPr>
              <w:pStyle w:val="66"/>
              <w:keepNext w:val="0"/>
              <w:keepLines w:val="0"/>
              <w:suppressLineNumbers w:val="0"/>
              <w:spacing w:before="0" w:beforeAutospacing="0" w:after="0" w:afterAutospacing="0"/>
              <w:ind w:left="0" w:right="0"/>
              <w:rPr>
                <w:rFonts w:hint="default" w:ascii="Times New Roman" w:hAnsi="Times New Roman" w:eastAsia="宋体" w:cs="Times New Roman"/>
                <w:szCs w:val="22"/>
              </w:rPr>
            </w:pPr>
          </w:p>
        </w:tc>
        <w:tc>
          <w:tcPr>
            <w:tcW w:w="3393" w:type="pct"/>
            <w:tcBorders>
              <w:top w:val="single" w:color="auto" w:sz="6" w:space="0"/>
              <w:left w:val="single" w:color="auto" w:sz="6" w:space="0"/>
              <w:bottom w:val="single" w:color="auto" w:sz="6" w:space="0"/>
              <w:right w:val="single" w:color="auto" w:sz="12" w:space="0"/>
            </w:tcBorders>
            <w:vAlign w:val="center"/>
          </w:tcPr>
          <w:p w14:paraId="2F29F859">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浓度（ug/m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r>
      <w:tr w14:paraId="2EE478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607" w:type="pct"/>
            <w:tcBorders>
              <w:top w:val="single" w:color="auto" w:sz="6" w:space="0"/>
              <w:left w:val="single" w:color="auto" w:sz="12" w:space="0"/>
              <w:bottom w:val="single" w:color="auto" w:sz="12" w:space="0"/>
              <w:right w:val="single" w:color="auto" w:sz="6" w:space="0"/>
            </w:tcBorders>
            <w:vAlign w:val="center"/>
          </w:tcPr>
          <w:p w14:paraId="1A6392BB">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VOCs</w:t>
            </w:r>
          </w:p>
        </w:tc>
        <w:tc>
          <w:tcPr>
            <w:tcW w:w="3393" w:type="pct"/>
            <w:tcBorders>
              <w:top w:val="single" w:color="auto" w:sz="6" w:space="0"/>
              <w:left w:val="single" w:color="auto" w:sz="6" w:space="0"/>
              <w:bottom w:val="single" w:color="auto" w:sz="12" w:space="0"/>
              <w:right w:val="single" w:color="auto" w:sz="12" w:space="0"/>
            </w:tcBorders>
            <w:vAlign w:val="center"/>
          </w:tcPr>
          <w:p w14:paraId="78B9195B">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90.7270</w:t>
            </w:r>
          </w:p>
        </w:tc>
      </w:tr>
    </w:tbl>
    <w:p w14:paraId="343E56C5">
      <w:pPr>
        <w:pStyle w:val="122"/>
        <w:ind w:firstLine="480"/>
        <w:rPr>
          <w:rFonts w:hint="default" w:ascii="Times New Roman" w:hAnsi="Times New Roman" w:eastAsia="宋体" w:cs="Times New Roman"/>
        </w:rPr>
      </w:pPr>
      <w:r>
        <w:rPr>
          <w:rFonts w:hint="default" w:ascii="Times New Roman" w:hAnsi="Times New Roman" w:eastAsia="宋体" w:cs="Times New Roman"/>
        </w:rPr>
        <w:t>以最大小时落地浓度点为中心，取50m×50m的范围内，具体见表6.5-4。</w:t>
      </w:r>
    </w:p>
    <w:p w14:paraId="4098D248">
      <w:pPr>
        <w:pStyle w:val="122"/>
        <w:ind w:firstLine="480"/>
        <w:rPr>
          <w:rFonts w:hint="default" w:ascii="Times New Roman" w:hAnsi="Times New Roman" w:eastAsia="宋体" w:cs="Times New Roman"/>
        </w:rPr>
      </w:pPr>
    </w:p>
    <w:p w14:paraId="05EBCA06">
      <w:pPr>
        <w:pStyle w:val="122"/>
        <w:ind w:firstLine="480"/>
        <w:rPr>
          <w:rFonts w:hint="default" w:ascii="Times New Roman" w:hAnsi="Times New Roman" w:eastAsia="宋体" w:cs="Times New Roman"/>
          <w:kern w:val="2"/>
          <w:szCs w:val="24"/>
        </w:rPr>
      </w:pPr>
    </w:p>
    <w:p w14:paraId="210125D7">
      <w:pPr>
        <w:pStyle w:val="122"/>
        <w:ind w:firstLine="480"/>
        <w:rPr>
          <w:rFonts w:hint="default" w:ascii="Times New Roman" w:hAnsi="Times New Roman" w:eastAsia="宋体" w:cs="Times New Roman"/>
          <w:kern w:val="2"/>
          <w:szCs w:val="24"/>
        </w:rPr>
      </w:pPr>
    </w:p>
    <w:p w14:paraId="77698CA9">
      <w:pPr>
        <w:pStyle w:val="57"/>
        <w:spacing w:before="163"/>
        <w:rPr>
          <w:rFonts w:hint="default" w:ascii="Times New Roman" w:hAnsi="Times New Roman" w:eastAsia="宋体" w:cs="Times New Roman"/>
          <w:color w:val="auto"/>
        </w:rPr>
      </w:pPr>
      <w:r>
        <w:rPr>
          <w:rFonts w:hint="default" w:ascii="Times New Roman" w:hAnsi="Times New Roman" w:eastAsia="宋体" w:cs="Times New Roman"/>
          <w:color w:val="auto"/>
        </w:rPr>
        <w:t>表</w:t>
      </w:r>
      <w:r>
        <w:rPr>
          <w:rFonts w:hint="default" w:ascii="Times New Roman" w:hAnsi="Times New Roman" w:eastAsia="宋体" w:cs="Times New Roman"/>
          <w:color w:val="auto"/>
          <w:lang w:val="en-US" w:eastAsia="zh-CN"/>
        </w:rPr>
        <w:t>7</w:t>
      </w:r>
      <w:r>
        <w:rPr>
          <w:rFonts w:hint="default" w:ascii="Times New Roman" w:hAnsi="Times New Roman" w:eastAsia="宋体" w:cs="Times New Roman"/>
          <w:color w:val="auto"/>
        </w:rPr>
        <w:t>.7-4  落地浓度极大值网格内年输入量（g）</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34"/>
        <w:gridCol w:w="4511"/>
        <w:gridCol w:w="2583"/>
      </w:tblGrid>
      <w:tr w14:paraId="4BA09D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1" w:type="pct"/>
            <w:vAlign w:val="center"/>
          </w:tcPr>
          <w:p w14:paraId="4BDB7EA3">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序号</w:t>
            </w:r>
          </w:p>
        </w:tc>
        <w:tc>
          <w:tcPr>
            <w:tcW w:w="2645" w:type="pct"/>
            <w:vAlign w:val="center"/>
          </w:tcPr>
          <w:p w14:paraId="56C53B08">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相关参数</w:t>
            </w:r>
          </w:p>
        </w:tc>
        <w:tc>
          <w:tcPr>
            <w:tcW w:w="1514" w:type="pct"/>
            <w:vAlign w:val="center"/>
          </w:tcPr>
          <w:p w14:paraId="192871CC">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VOCs</w:t>
            </w:r>
          </w:p>
        </w:tc>
      </w:tr>
      <w:tr w14:paraId="6E53E8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1" w:type="pct"/>
            <w:vAlign w:val="center"/>
          </w:tcPr>
          <w:p w14:paraId="3974B5E7">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1</w:t>
            </w:r>
          </w:p>
        </w:tc>
        <w:tc>
          <w:tcPr>
            <w:tcW w:w="2645" w:type="pct"/>
            <w:vAlign w:val="center"/>
          </w:tcPr>
          <w:p w14:paraId="30FE00EE">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落地浓度最大值（mg/m</w:t>
            </w:r>
            <w:r>
              <w:rPr>
                <w:rFonts w:hint="default" w:ascii="Times New Roman" w:hAnsi="Times New Roman" w:eastAsia="宋体" w:cs="Times New Roman"/>
                <w:vertAlign w:val="superscript"/>
              </w:rPr>
              <w:t>3</w:t>
            </w:r>
            <w:r>
              <w:rPr>
                <w:rFonts w:hint="default" w:ascii="Times New Roman" w:hAnsi="Times New Roman" w:eastAsia="宋体" w:cs="Times New Roman"/>
              </w:rPr>
              <w:t>）</w:t>
            </w:r>
          </w:p>
        </w:tc>
        <w:tc>
          <w:tcPr>
            <w:tcW w:w="1514" w:type="pct"/>
            <w:vAlign w:val="center"/>
          </w:tcPr>
          <w:p w14:paraId="18BB4557">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90.7270</w:t>
            </w:r>
          </w:p>
        </w:tc>
      </w:tr>
      <w:tr w14:paraId="79215C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1" w:type="pct"/>
            <w:vAlign w:val="center"/>
          </w:tcPr>
          <w:p w14:paraId="7770568C">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2</w:t>
            </w:r>
          </w:p>
        </w:tc>
        <w:tc>
          <w:tcPr>
            <w:tcW w:w="2645" w:type="pct"/>
            <w:vAlign w:val="center"/>
          </w:tcPr>
          <w:p w14:paraId="30CDAD8E">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网格面积（m</w:t>
            </w:r>
            <w:r>
              <w:rPr>
                <w:rFonts w:hint="default" w:ascii="Times New Roman" w:hAnsi="Times New Roman" w:eastAsia="宋体" w:cs="Times New Roman"/>
                <w:vertAlign w:val="superscript"/>
              </w:rPr>
              <w:t>2</w:t>
            </w:r>
            <w:r>
              <w:rPr>
                <w:rFonts w:hint="default" w:ascii="Times New Roman" w:hAnsi="Times New Roman" w:eastAsia="宋体" w:cs="Times New Roman"/>
              </w:rPr>
              <w:t>）</w:t>
            </w:r>
          </w:p>
        </w:tc>
        <w:tc>
          <w:tcPr>
            <w:tcW w:w="1514" w:type="pct"/>
            <w:vAlign w:val="center"/>
          </w:tcPr>
          <w:p w14:paraId="2725385A">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40000（200m×200m）</w:t>
            </w:r>
          </w:p>
        </w:tc>
      </w:tr>
      <w:tr w14:paraId="15E05E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1" w:type="pct"/>
            <w:vAlign w:val="center"/>
          </w:tcPr>
          <w:p w14:paraId="5169CA57">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3</w:t>
            </w:r>
          </w:p>
        </w:tc>
        <w:tc>
          <w:tcPr>
            <w:tcW w:w="2645" w:type="pct"/>
            <w:vAlign w:val="center"/>
          </w:tcPr>
          <w:p w14:paraId="7C4E252B">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沉降速率（m/s）</w:t>
            </w:r>
          </w:p>
        </w:tc>
        <w:tc>
          <w:tcPr>
            <w:tcW w:w="1514" w:type="pct"/>
            <w:vAlign w:val="center"/>
          </w:tcPr>
          <w:p w14:paraId="20831D58">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0.007</w:t>
            </w:r>
          </w:p>
        </w:tc>
      </w:tr>
      <w:tr w14:paraId="5EFAE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1" w:type="pct"/>
            <w:vAlign w:val="center"/>
          </w:tcPr>
          <w:p w14:paraId="653E90B0">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4</w:t>
            </w:r>
          </w:p>
        </w:tc>
        <w:tc>
          <w:tcPr>
            <w:tcW w:w="2645" w:type="pct"/>
            <w:vAlign w:val="center"/>
          </w:tcPr>
          <w:p w14:paraId="1B33B8B5">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时间（年）</w:t>
            </w:r>
          </w:p>
        </w:tc>
        <w:tc>
          <w:tcPr>
            <w:tcW w:w="1514" w:type="pct"/>
            <w:vAlign w:val="center"/>
          </w:tcPr>
          <w:p w14:paraId="066B9530">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1</w:t>
            </w:r>
          </w:p>
        </w:tc>
      </w:tr>
      <w:tr w14:paraId="2D62D4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841" w:type="pct"/>
            <w:vAlign w:val="center"/>
          </w:tcPr>
          <w:p w14:paraId="7267FAC6">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5</w:t>
            </w:r>
          </w:p>
        </w:tc>
        <w:tc>
          <w:tcPr>
            <w:tcW w:w="2645" w:type="pct"/>
            <w:vAlign w:val="center"/>
          </w:tcPr>
          <w:p w14:paraId="7CF60FB8">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年输入量（g）</w:t>
            </w:r>
          </w:p>
        </w:tc>
        <w:tc>
          <w:tcPr>
            <w:tcW w:w="1514" w:type="pct"/>
            <w:vAlign w:val="center"/>
          </w:tcPr>
          <w:p w14:paraId="7C41D822">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24.6</w:t>
            </w:r>
          </w:p>
        </w:tc>
      </w:tr>
    </w:tbl>
    <w:p w14:paraId="330A42B2">
      <w:pPr>
        <w:pStyle w:val="122"/>
        <w:ind w:firstLine="480"/>
        <w:rPr>
          <w:rFonts w:hint="default" w:ascii="Times New Roman" w:hAnsi="Times New Roman" w:eastAsia="宋体" w:cs="Times New Roman"/>
          <w:kern w:val="2"/>
          <w:szCs w:val="24"/>
        </w:rPr>
      </w:pPr>
      <w:r>
        <w:rPr>
          <w:rFonts w:hint="default" w:ascii="Times New Roman" w:hAnsi="Times New Roman" w:eastAsia="宋体" w:cs="Times New Roman"/>
        </w:rPr>
        <w:t>3、预测结果与分析</w:t>
      </w:r>
    </w:p>
    <w:p w14:paraId="129483CB">
      <w:pPr>
        <w:pStyle w:val="122"/>
        <w:adjustRightInd/>
        <w:snapToGrid/>
        <w:spacing w:line="360" w:lineRule="auto"/>
        <w:ind w:firstLine="480"/>
        <w:rPr>
          <w:rFonts w:hint="default" w:ascii="Times New Roman" w:hAnsi="Times New Roman" w:eastAsia="宋体" w:cs="Times New Roman"/>
          <w:kern w:val="0"/>
        </w:rPr>
      </w:pPr>
      <w:r>
        <w:rPr>
          <w:rFonts w:hint="default" w:ascii="Times New Roman" w:hAnsi="Times New Roman" w:eastAsia="宋体" w:cs="Times New Roman"/>
          <w:kern w:val="0"/>
        </w:rPr>
        <w:t>由表6.5-4预测结果可以看出，本项目排放的废气中主要特征污染物VOCs在落地浓度极大值网格内土壤中的累积最大年输入量为</w:t>
      </w:r>
      <w:r>
        <w:rPr>
          <w:rFonts w:hint="default" w:ascii="Times New Roman" w:hAnsi="Times New Roman" w:eastAsia="宋体" w:cs="Times New Roman"/>
        </w:rPr>
        <w:t>24.6</w:t>
      </w:r>
      <w:r>
        <w:rPr>
          <w:rFonts w:hint="default" w:ascii="Times New Roman" w:hAnsi="Times New Roman" w:eastAsia="宋体" w:cs="Times New Roman"/>
          <w:kern w:val="0"/>
        </w:rPr>
        <w:t>g，输入量较小，且以上主要污染物不属于</w:t>
      </w:r>
      <w:r>
        <w:rPr>
          <w:rFonts w:hint="default" w:ascii="Times New Roman" w:hAnsi="Times New Roman" w:eastAsia="宋体" w:cs="Times New Roman"/>
          <w:bCs/>
          <w:kern w:val="0"/>
          <w:szCs w:val="21"/>
        </w:rPr>
        <w:t>《土壤环境质量标准建设用地土壤污染风险管控标准》（GB36600-2018）中所控制的污染物项目，因此项目大气沉降对区域土壤所带来的影响较小。</w:t>
      </w:r>
    </w:p>
    <w:p w14:paraId="1A7D52E1">
      <w:pPr>
        <w:pStyle w:val="122"/>
        <w:adjustRightInd/>
        <w:snapToGrid/>
        <w:spacing w:line="360" w:lineRule="auto"/>
        <w:ind w:firstLine="482"/>
        <w:rPr>
          <w:rFonts w:hint="default" w:ascii="Times New Roman" w:hAnsi="Times New Roman" w:eastAsia="宋体" w:cs="Times New Roman"/>
          <w:b/>
        </w:rPr>
      </w:pPr>
      <w:r>
        <w:rPr>
          <w:rFonts w:hint="default" w:ascii="Times New Roman" w:hAnsi="Times New Roman" w:eastAsia="宋体" w:cs="Times New Roman"/>
          <w:b/>
        </w:rPr>
        <w:t>（2）垂直入渗影响分析</w:t>
      </w:r>
    </w:p>
    <w:p w14:paraId="35A0C64C">
      <w:pPr>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本项目各类原料和固体废物均暂存在原料库、危废暂存库（设置有防渗层）内，产生的污水经预处理达标后通过污水管网排入松木污水处理厂进行深度处理</w:t>
      </w:r>
      <w:r>
        <w:rPr>
          <w:rFonts w:hint="default" w:ascii="Times New Roman" w:hAnsi="Times New Roman" w:eastAsia="宋体" w:cs="Times New Roman"/>
          <w:bCs/>
          <w:sz w:val="24"/>
          <w:szCs w:val="24"/>
        </w:rPr>
        <w:t>。</w:t>
      </w:r>
      <w:r>
        <w:rPr>
          <w:rFonts w:hint="default" w:ascii="Times New Roman" w:hAnsi="Times New Roman" w:eastAsia="宋体" w:cs="Times New Roman"/>
          <w:sz w:val="24"/>
          <w:szCs w:val="24"/>
        </w:rPr>
        <w:t>项目周边无农田耕地，项目废水更会</w:t>
      </w:r>
      <w:r>
        <w:rPr>
          <w:rFonts w:hint="default" w:ascii="Times New Roman" w:hAnsi="Times New Roman" w:eastAsia="宋体" w:cs="Times New Roman"/>
          <w:bCs/>
          <w:sz w:val="24"/>
          <w:szCs w:val="24"/>
        </w:rPr>
        <w:t>不用于周边农田的灌溉，不会产生灌溉累积。</w:t>
      </w:r>
      <w:r>
        <w:rPr>
          <w:rFonts w:hint="default" w:ascii="Times New Roman" w:hAnsi="Times New Roman" w:eastAsia="宋体" w:cs="Times New Roman"/>
          <w:sz w:val="24"/>
          <w:szCs w:val="24"/>
        </w:rPr>
        <w:t>故本项目以垂直入渗污染土壤的环节为污水处理站调节池发生渗漏时，调节池污水中的污染物通过垂直下渗渗入土壤。</w:t>
      </w:r>
    </w:p>
    <w:p w14:paraId="33BA9DAB">
      <w:pPr>
        <w:pStyle w:val="123"/>
        <w:adjustRightInd/>
        <w:snapToGrid/>
        <w:ind w:firstLine="480"/>
        <w:rPr>
          <w:rFonts w:hint="default" w:ascii="Times New Roman" w:hAnsi="Times New Roman" w:eastAsia="宋体" w:cs="Times New Roman"/>
        </w:rPr>
      </w:pPr>
      <w:r>
        <w:rPr>
          <w:rFonts w:hint="default" w:ascii="Times New Roman" w:hAnsi="Times New Roman" w:eastAsia="宋体" w:cs="Times New Roman"/>
        </w:rPr>
        <w:t>垂直入渗影响预测：垂直入渗影响预测分析采用类比分析，类别地下水预测情况分析。</w:t>
      </w:r>
    </w:p>
    <w:p w14:paraId="3E63D623">
      <w:pPr>
        <w:pStyle w:val="123"/>
        <w:adjustRightInd/>
        <w:snapToGrid/>
        <w:ind w:firstLine="480"/>
        <w:rPr>
          <w:rFonts w:hint="default" w:ascii="Times New Roman" w:hAnsi="Times New Roman" w:eastAsia="宋体" w:cs="Times New Roman"/>
        </w:rPr>
      </w:pPr>
      <w:r>
        <w:rPr>
          <w:rFonts w:hint="default" w:ascii="Times New Roman" w:hAnsi="Times New Roman" w:eastAsia="宋体" w:cs="Times New Roman"/>
        </w:rPr>
        <w:t>根据地下水预测分析，在污水处理站调节池底部不发生破损、不发生地质灾害情况下，污水处理站调节池中的污水对地下水的污染和影响可控制在可接受的范围和程度之内。类比分析事故泄漏产生的污染物进入土壤对土壤的污染和影响也是可控制在可接受的范围和程度之内。建设单位在日常运营，应注意污水处理站调节池底部防渗和处理相关设备的维护保养。通过土壤环境质量监测点位的监测和泄漏检查，密切监控土壤质量的变动，以及时发现事故情况并采取有效措施控制和修复。</w:t>
      </w:r>
    </w:p>
    <w:p w14:paraId="03A15B74">
      <w:pPr>
        <w:pStyle w:val="123"/>
        <w:adjustRightInd/>
        <w:snapToGrid/>
        <w:ind w:firstLine="480"/>
        <w:rPr>
          <w:rFonts w:hint="default" w:ascii="Times New Roman" w:hAnsi="Times New Roman" w:eastAsia="宋体" w:cs="Times New Roman"/>
        </w:rPr>
      </w:pPr>
      <w:r>
        <w:rPr>
          <w:rFonts w:hint="default" w:ascii="Times New Roman" w:hAnsi="Times New Roman" w:eastAsia="宋体" w:cs="Times New Roman"/>
        </w:rPr>
        <w:t>在拟建项目建设时，对</w:t>
      </w:r>
      <w:r>
        <w:rPr>
          <w:rFonts w:hint="default" w:ascii="Times New Roman" w:hAnsi="Times New Roman" w:eastAsia="宋体" w:cs="Times New Roman"/>
          <w:lang w:eastAsia="zh-CN"/>
        </w:rPr>
        <w:t>厂区</w:t>
      </w:r>
      <w:r>
        <w:rPr>
          <w:rFonts w:hint="default" w:ascii="Times New Roman" w:hAnsi="Times New Roman" w:eastAsia="宋体" w:cs="Times New Roman"/>
        </w:rPr>
        <w:t>污水处理站调节池必须采取可靠的防渗防漏措施，防止重大事故或者事故处理不及时调节池内污水渗漏对土壤环境造成污染。</w:t>
      </w:r>
    </w:p>
    <w:p w14:paraId="7C83B0B9">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7.7.3土壤影响分析结论</w:t>
      </w:r>
    </w:p>
    <w:p w14:paraId="70671F07">
      <w:pPr>
        <w:widowControl/>
        <w:spacing w:line="360" w:lineRule="auto"/>
        <w:ind w:firstLine="480"/>
        <w:rPr>
          <w:rFonts w:hint="default" w:ascii="Times New Roman" w:hAnsi="Times New Roman" w:eastAsia="宋体" w:cs="Times New Roman"/>
          <w:color w:val="000000"/>
          <w:kern w:val="0"/>
          <w:sz w:val="24"/>
          <w:szCs w:val="24"/>
          <w:lang w:bidi="ar"/>
        </w:rPr>
      </w:pPr>
      <w:r>
        <w:rPr>
          <w:rFonts w:hint="default" w:ascii="Times New Roman" w:hAnsi="Times New Roman" w:eastAsia="宋体" w:cs="Times New Roman"/>
          <w:color w:val="000000"/>
          <w:kern w:val="0"/>
          <w:sz w:val="24"/>
          <w:szCs w:val="24"/>
          <w:lang w:bidi="ar"/>
        </w:rPr>
        <w:t>本项目生产过程中产生的废气的沉降可能影响厂区周围土壤，从而影响微生物之间的生态平衡，经大气污染物影响估算结果可知，本项目废气的最大落地浓度为均未超过</w:t>
      </w:r>
      <w:r>
        <w:rPr>
          <w:rFonts w:hint="default" w:ascii="Times New Roman" w:hAnsi="Times New Roman" w:eastAsia="宋体" w:cs="Times New Roman"/>
          <w:sz w:val="24"/>
          <w:szCs w:val="24"/>
        </w:rPr>
        <w:t>GB3095-2012中</w:t>
      </w:r>
      <w:r>
        <w:rPr>
          <w:rFonts w:hint="default" w:ascii="Times New Roman" w:hAnsi="Times New Roman" w:eastAsia="宋体" w:cs="Times New Roman"/>
          <w:color w:val="000000"/>
          <w:kern w:val="0"/>
          <w:sz w:val="24"/>
          <w:szCs w:val="24"/>
          <w:lang w:bidi="ar"/>
        </w:rPr>
        <w:t>浓度限值，本项目产生的主要大气污染物VOCs等对土壤环境的影响较小，同时企业应加强管理，防止非正常工况下的排放发生。</w:t>
      </w:r>
    </w:p>
    <w:p w14:paraId="292B3E6A">
      <w:pPr>
        <w:widowControl/>
        <w:spacing w:line="360" w:lineRule="auto"/>
        <w:ind w:firstLine="48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厂区所有地面均采取硬化并铺设满足相关要求的防渗层等措施，周边地块主要为园区其他企业和道路，地面均做有硬化，污染物沉积渗入土壤的可能性较小，在做好环保措施的情况下，</w:t>
      </w:r>
      <w:r>
        <w:rPr>
          <w:rFonts w:hint="default" w:ascii="Times New Roman" w:hAnsi="Times New Roman" w:eastAsia="宋体" w:cs="Times New Roman"/>
          <w:sz w:val="24"/>
          <w:szCs w:val="24"/>
          <w:lang w:eastAsia="zh-CN"/>
        </w:rPr>
        <w:t>不会对周边</w:t>
      </w:r>
      <w:r>
        <w:rPr>
          <w:rFonts w:hint="default" w:ascii="Times New Roman" w:hAnsi="Times New Roman" w:eastAsia="宋体" w:cs="Times New Roman"/>
          <w:sz w:val="24"/>
          <w:szCs w:val="24"/>
        </w:rPr>
        <w:t>土壤环境造成影响。</w:t>
      </w:r>
    </w:p>
    <w:p w14:paraId="2E3AD400">
      <w:pPr>
        <w:pStyle w:val="3"/>
        <w:spacing w:before="0" w:after="0" w:line="360" w:lineRule="auto"/>
        <w:jc w:val="left"/>
        <w:rPr>
          <w:rFonts w:hint="default" w:ascii="Times New Roman" w:hAnsi="Times New Roman" w:eastAsia="宋体" w:cs="Times New Roman"/>
        </w:rPr>
      </w:pPr>
      <w:bookmarkStart w:id="351" w:name="_Toc106961906"/>
      <w:bookmarkStart w:id="352" w:name="_Toc2817"/>
      <w:bookmarkStart w:id="353" w:name="_Toc119413802"/>
      <w:r>
        <w:rPr>
          <w:rFonts w:hint="default" w:ascii="Times New Roman" w:hAnsi="Times New Roman" w:eastAsia="宋体" w:cs="Times New Roman"/>
          <w:kern w:val="0"/>
          <w:sz w:val="30"/>
          <w:szCs w:val="28"/>
        </w:rPr>
        <w:t>7.8生态环境影响分析</w:t>
      </w:r>
      <w:bookmarkEnd w:id="351"/>
      <w:bookmarkEnd w:id="352"/>
      <w:bookmarkEnd w:id="353"/>
    </w:p>
    <w:p w14:paraId="747C772C">
      <w:pPr>
        <w:widowControl/>
        <w:spacing w:line="360" w:lineRule="auto"/>
        <w:ind w:firstLine="482"/>
        <w:jc w:val="left"/>
        <w:rPr>
          <w:rFonts w:hint="default" w:ascii="Times New Roman" w:hAnsi="Times New Roman" w:eastAsia="宋体" w:cs="Times New Roman"/>
          <w:sz w:val="24"/>
          <w:szCs w:val="24"/>
        </w:rPr>
      </w:pPr>
      <w:r>
        <w:rPr>
          <w:rFonts w:hint="default" w:ascii="Times New Roman" w:hAnsi="Times New Roman" w:eastAsia="宋体" w:cs="Times New Roman"/>
          <w:sz w:val="24"/>
        </w:rPr>
        <w:t>本项目系在工业园区规划的土地上自建厂房进行项目建设，项目拟建地</w:t>
      </w:r>
      <w:r>
        <w:rPr>
          <w:rFonts w:hint="default" w:ascii="Times New Roman" w:hAnsi="Times New Roman" w:eastAsia="宋体" w:cs="Times New Roman"/>
          <w:sz w:val="24"/>
          <w:lang w:val="en-US" w:eastAsia="zh-CN"/>
        </w:rPr>
        <w:t>将由园区负责完成“三通一平”，土地现状较</w:t>
      </w:r>
      <w:r>
        <w:rPr>
          <w:rFonts w:hint="default" w:ascii="Times New Roman" w:hAnsi="Times New Roman" w:eastAsia="宋体" w:cs="Times New Roman"/>
          <w:sz w:val="24"/>
        </w:rPr>
        <w:t>为平整，</w:t>
      </w:r>
      <w:r>
        <w:rPr>
          <w:rFonts w:hint="default" w:ascii="Times New Roman" w:hAnsi="Times New Roman" w:eastAsia="宋体" w:cs="Times New Roman"/>
          <w:sz w:val="24"/>
          <w:lang w:val="en-US" w:eastAsia="zh-CN"/>
        </w:rPr>
        <w:t>项目施工建设期间</w:t>
      </w:r>
      <w:r>
        <w:rPr>
          <w:rFonts w:hint="default" w:ascii="Times New Roman" w:hAnsi="Times New Roman" w:eastAsia="宋体" w:cs="Times New Roman"/>
          <w:sz w:val="24"/>
          <w:szCs w:val="24"/>
        </w:rPr>
        <w:t>不会产生大型的土石方开挖，不会对生态环境造成大的影响。</w:t>
      </w:r>
    </w:p>
    <w:p w14:paraId="2EC73727">
      <w:pPr>
        <w:pStyle w:val="3"/>
        <w:spacing w:before="0" w:after="0" w:line="360" w:lineRule="auto"/>
        <w:rPr>
          <w:rFonts w:hint="default" w:ascii="Times New Roman" w:hAnsi="Times New Roman" w:eastAsia="宋体" w:cs="Times New Roman"/>
        </w:rPr>
      </w:pPr>
      <w:bookmarkStart w:id="354" w:name="_Toc87017005"/>
      <w:bookmarkStart w:id="355" w:name="_Toc19121"/>
      <w:bookmarkStart w:id="356" w:name="_Toc119413803"/>
      <w:r>
        <w:rPr>
          <w:rFonts w:hint="default" w:ascii="Times New Roman" w:hAnsi="Times New Roman" w:eastAsia="宋体" w:cs="Times New Roman"/>
        </w:rPr>
        <w:t>7.9碳排放评价</w:t>
      </w:r>
      <w:bookmarkEnd w:id="354"/>
      <w:bookmarkEnd w:id="355"/>
      <w:bookmarkEnd w:id="356"/>
    </w:p>
    <w:p w14:paraId="634BF906">
      <w:pPr>
        <w:widowControl/>
        <w:spacing w:line="360" w:lineRule="auto"/>
        <w:ind w:firstLine="482"/>
        <w:jc w:val="left"/>
        <w:rPr>
          <w:rFonts w:hint="default" w:ascii="Times New Roman" w:hAnsi="Times New Roman" w:eastAsia="宋体" w:cs="Times New Roman"/>
          <w:sz w:val="24"/>
          <w:szCs w:val="24"/>
        </w:rPr>
      </w:pPr>
      <w:r>
        <w:rPr>
          <w:rFonts w:hint="default" w:ascii="Times New Roman" w:hAnsi="Times New Roman" w:eastAsia="宋体" w:cs="Times New Roman"/>
          <w:sz w:val="24"/>
        </w:rPr>
        <w:t>为实现“减污降碳、协同增效”，生态环境部印发了《于统筹和加强应对气候变化与生态环境保护相关工作的指导意见》关（环综合〔2021〕4号）、《关于加强高耗能、高排放建设项目生态环境源头防控的指导意见》（环环评〔2021〕45号）等文件，加快推进绿色转型和高质量发展。为贯彻落实中央和生态环境部“碳达峰、碳中和”相关决策部署和文件精神，充分发挥环境影响评价制度在源头防控、过程管理中的基础性作用，推进减污降碳协同控制，规范和指导建设项目环境影响评价过程中的碳排放评价工作，重点行业建设项目应将碳排放影响评价纳入环境影响评价体系，本项目不属于重点行业，本次环评参照重点行业碳排放评价的要求对项目的碳排放进行简单评价。</w:t>
      </w:r>
    </w:p>
    <w:p w14:paraId="5A4BAA83">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7.9.1碳排放源识别</w:t>
      </w:r>
    </w:p>
    <w:p w14:paraId="600D61B1">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项目碳排放范围仅进行范围一和范围二的计算，二氧化碳排放源包括：燃料燃烧排放、能源作为原材料用途的排放、过程排放、净购入电力产生的排放，根据项目工程分析，本项目涉及的二氧化碳排放源包括燃料燃烧排放和净购入电力产生的排放，具体排放方式如下：</w:t>
      </w:r>
    </w:p>
    <w:p w14:paraId="34B1E8D6">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（1）燃料燃烧排放：不涉及。</w:t>
      </w:r>
    </w:p>
    <w:p w14:paraId="0235111D">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（2）净购入电力产生的排放：企业消费的购入电力所对应的电力生产环节产生的二氧化碳排放。</w:t>
      </w:r>
    </w:p>
    <w:p w14:paraId="01F3C0C6">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7.9.2碳排放量核算</w:t>
      </w:r>
    </w:p>
    <w:p w14:paraId="742D36FE">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根据项目设计方案，项目扩建完成后全厂年消耗电力约13万KWh（130 MWh），企业消费的购入电力所对应的电力生产环节产生的二氧化碳排放，电网供电排放因子为0.604tCO</w:t>
      </w:r>
      <w:r>
        <w:rPr>
          <w:rFonts w:hint="default" w:ascii="Times New Roman" w:hAnsi="Times New Roman" w:eastAsia="宋体" w:cs="Times New Roman"/>
          <w:vertAlign w:val="subscript"/>
        </w:rPr>
        <w:t>2</w:t>
      </w:r>
      <w:r>
        <w:rPr>
          <w:rFonts w:hint="default" w:ascii="Times New Roman" w:hAnsi="Times New Roman" w:eastAsia="宋体" w:cs="Times New Roman"/>
        </w:rPr>
        <w:t>/MWh，则对应计算本项目净购入电力产生所排放的CO</w:t>
      </w:r>
      <w:r>
        <w:rPr>
          <w:rFonts w:hint="default" w:ascii="Times New Roman" w:hAnsi="Times New Roman" w:eastAsia="宋体" w:cs="Times New Roman"/>
          <w:vertAlign w:val="subscript"/>
        </w:rPr>
        <w:t>2</w:t>
      </w:r>
      <w:r>
        <w:rPr>
          <w:rFonts w:hint="default" w:ascii="Times New Roman" w:hAnsi="Times New Roman" w:eastAsia="宋体" w:cs="Times New Roman"/>
        </w:rPr>
        <w:t>量为78.52t/a。</w:t>
      </w:r>
    </w:p>
    <w:p w14:paraId="7AC5B498">
      <w:pPr>
        <w:widowControl/>
        <w:spacing w:line="360" w:lineRule="auto"/>
        <w:ind w:firstLine="482"/>
        <w:jc w:val="left"/>
        <w:rPr>
          <w:rFonts w:hint="default" w:ascii="Times New Roman" w:hAnsi="Times New Roman" w:eastAsia="宋体" w:cs="Times New Roman"/>
          <w:sz w:val="24"/>
          <w:szCs w:val="24"/>
        </w:rPr>
      </w:pPr>
      <w:r>
        <w:rPr>
          <w:rFonts w:hint="default" w:ascii="Times New Roman" w:hAnsi="Times New Roman" w:eastAsia="宋体" w:cs="Times New Roman"/>
          <w:sz w:val="24"/>
        </w:rPr>
        <w:t>综上，本项目实施后的碳排放总量E</w:t>
      </w:r>
      <w:r>
        <w:rPr>
          <w:rFonts w:hint="default" w:ascii="Times New Roman" w:hAnsi="Times New Roman" w:eastAsia="宋体" w:cs="Times New Roman"/>
          <w:sz w:val="24"/>
          <w:vertAlign w:val="subscript"/>
        </w:rPr>
        <w:t>碳总=</w:t>
      </w:r>
      <w:r>
        <w:rPr>
          <w:rFonts w:hint="default" w:ascii="Times New Roman" w:hAnsi="Times New Roman" w:eastAsia="宋体" w:cs="Times New Roman"/>
          <w:sz w:val="24"/>
        </w:rPr>
        <w:t>0.15+78.52=78.67t/a。</w:t>
      </w:r>
    </w:p>
    <w:p w14:paraId="109F02DB">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7.9.3减污降碳措施及建议</w:t>
      </w:r>
    </w:p>
    <w:p w14:paraId="7B6F673C">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项目应从源头防控、过程控制、回收利用等方面给出建设项目拟采取二氧化碳等减排措施，对拟选取的绿色节能工艺、产品和技术，提高清洁生产水平，优化用能结构以及碳捕集利用等开展设备或工艺路线比选和经济技术可行论证，强化同时降低污染物和温室气体排放的减污降碳协同效应。在保证大气或水污染物能够达标排放并且环境影响可接受的前提下，开展基于碳排放量最小的废气和废水污染治理设施和预防措施多方案比选，提出末端治理措施协同控制最优方案。为减少项目碳排放量，项目在运营中可采取以下减排措施：</w:t>
      </w:r>
    </w:p>
    <w:p w14:paraId="051C7BC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（1）提高清洁生产水平</w:t>
      </w:r>
    </w:p>
    <w:p w14:paraId="19A4FFAD">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优化生产的控制系统，提高关键加工装备控制技术等，实现雨污分流、清污分流，加强废水处理和中水回用技术改造，降低水耗，提高项目清洁生产水平，降低能耗，减少碳排放。</w:t>
      </w:r>
    </w:p>
    <w:p w14:paraId="2D4F688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（2）设备优化</w:t>
      </w:r>
    </w:p>
    <w:p w14:paraId="06899EE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对生产设备定期查验维护，并及时淘汰能耗高的</w:t>
      </w:r>
      <w:r>
        <w:rPr>
          <w:rFonts w:hint="default" w:ascii="Times New Roman" w:hAnsi="Times New Roman" w:eastAsia="宋体" w:cs="Times New Roman"/>
          <w:sz w:val="24"/>
          <w:szCs w:val="24"/>
          <w:lang w:eastAsia="zh-CN"/>
        </w:rPr>
        <w:t>旧</w:t>
      </w:r>
      <w:r>
        <w:rPr>
          <w:rFonts w:hint="default" w:ascii="Times New Roman" w:hAnsi="Times New Roman" w:eastAsia="宋体" w:cs="Times New Roman"/>
          <w:sz w:val="24"/>
          <w:szCs w:val="24"/>
        </w:rPr>
        <w:t>设备，投入效率高、能耗低、成本低的先进设备，以降低全厂单位生产总值温室气体的排放量。</w:t>
      </w:r>
    </w:p>
    <w:p w14:paraId="75F7805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（3）集气系统采用变频风机</w:t>
      </w:r>
    </w:p>
    <w:p w14:paraId="72751B50">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对项目配套设置的废气处理系统均采用变频风机，在低负荷运转时可减少电量的消耗，使风机在满足工艺条件的前提下，实现降低电耗，减少碳排放。</w:t>
      </w:r>
    </w:p>
    <w:p w14:paraId="46356D43">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（4）优化管理</w:t>
      </w:r>
    </w:p>
    <w:p w14:paraId="417161D8">
      <w:pPr>
        <w:widowControl/>
        <w:spacing w:line="360" w:lineRule="auto"/>
        <w:ind w:firstLine="482"/>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按照《用能单位能源计量器其配备和管理通则》（GB17167-2006）的要求，实行各生产线、工段能耗管理，并严格执行，确保节能降耗工作落到实处。</w:t>
      </w:r>
    </w:p>
    <w:p w14:paraId="4223E806">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7.9.4碳排放评价结论</w:t>
      </w:r>
    </w:p>
    <w:p w14:paraId="647A646D">
      <w:pPr>
        <w:widowControl/>
        <w:spacing w:line="360" w:lineRule="auto"/>
        <w:ind w:firstLine="482"/>
        <w:jc w:val="left"/>
        <w:rPr>
          <w:rFonts w:hint="default" w:ascii="Times New Roman" w:hAnsi="Times New Roman" w:eastAsia="宋体" w:cs="Times New Roman"/>
          <w:sz w:val="24"/>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AndChars" w:linePitch="326" w:charSpace="0"/>
        </w:sectPr>
      </w:pPr>
      <w:r>
        <w:rPr>
          <w:rFonts w:hint="default" w:ascii="Times New Roman" w:hAnsi="Times New Roman" w:eastAsia="宋体" w:cs="Times New Roman"/>
          <w:sz w:val="24"/>
        </w:rPr>
        <w:t>本项目涉及的碳排放源为净购入电力产生的排放，项目碳排放量水平相对降低。现阶段项目所在区域尚未划定碳达峰方案和地区碳排放强度目标，项目应在区域提出相应的碳达峰行动方案或者碳排放强度目标后，实施相应的减碳措施，落实好企业</w:t>
      </w:r>
      <w:r>
        <w:rPr>
          <w:rFonts w:hint="default" w:ascii="Times New Roman" w:hAnsi="Times New Roman" w:eastAsia="宋体" w:cs="Times New Roman"/>
          <w:sz w:val="24"/>
          <w:lang w:eastAsia="zh-CN"/>
        </w:rPr>
        <w:t>自身</w:t>
      </w:r>
      <w:r>
        <w:rPr>
          <w:rFonts w:hint="default" w:ascii="Times New Roman" w:hAnsi="Times New Roman" w:eastAsia="宋体" w:cs="Times New Roman"/>
          <w:sz w:val="24"/>
        </w:rPr>
        <w:t>排污许可与碳排放协同管理相关要求等采取相应的管理措施。</w:t>
      </w:r>
    </w:p>
    <w:p w14:paraId="7DFC7235">
      <w:pPr>
        <w:pStyle w:val="2"/>
        <w:spacing w:before="0" w:after="0" w:line="360" w:lineRule="auto"/>
        <w:rPr>
          <w:rFonts w:hint="default" w:ascii="Times New Roman" w:hAnsi="Times New Roman" w:eastAsia="宋体" w:cs="Times New Roman"/>
        </w:rPr>
      </w:pPr>
      <w:bookmarkStart w:id="357" w:name="_Toc119413804"/>
      <w:bookmarkStart w:id="358" w:name="_Toc106961907"/>
      <w:bookmarkStart w:id="359" w:name="_Toc9934"/>
      <w:r>
        <w:rPr>
          <w:rFonts w:hint="default" w:ascii="Times New Roman" w:hAnsi="Times New Roman" w:eastAsia="宋体" w:cs="Times New Roman"/>
        </w:rPr>
        <w:t>8环境保护措施及可行性分析</w:t>
      </w:r>
      <w:bookmarkEnd w:id="357"/>
      <w:bookmarkEnd w:id="358"/>
      <w:bookmarkEnd w:id="359"/>
    </w:p>
    <w:p w14:paraId="2E662ABE">
      <w:pPr>
        <w:pStyle w:val="3"/>
        <w:spacing w:before="0" w:after="0" w:line="360" w:lineRule="auto"/>
        <w:rPr>
          <w:rFonts w:hint="default" w:ascii="Times New Roman" w:hAnsi="Times New Roman" w:eastAsia="宋体" w:cs="Times New Roman"/>
        </w:rPr>
      </w:pPr>
      <w:bookmarkStart w:id="360" w:name="_Toc1120420"/>
      <w:bookmarkStart w:id="361" w:name="_Toc87017007"/>
      <w:bookmarkStart w:id="362" w:name="_Toc106961908"/>
      <w:bookmarkStart w:id="363" w:name="_Toc33007209"/>
      <w:bookmarkStart w:id="364" w:name="_Toc480715229"/>
      <w:bookmarkStart w:id="365" w:name="_Toc119413805"/>
      <w:bookmarkStart w:id="366" w:name="_Toc16223"/>
      <w:r>
        <w:rPr>
          <w:rFonts w:hint="default" w:ascii="Times New Roman" w:hAnsi="Times New Roman" w:eastAsia="宋体" w:cs="Times New Roman"/>
        </w:rPr>
        <w:t>8.1废气治理措施</w:t>
      </w:r>
      <w:bookmarkEnd w:id="360"/>
      <w:bookmarkEnd w:id="361"/>
      <w:bookmarkEnd w:id="362"/>
      <w:bookmarkEnd w:id="363"/>
      <w:bookmarkEnd w:id="364"/>
      <w:r>
        <w:rPr>
          <w:rFonts w:hint="default" w:ascii="Times New Roman" w:hAnsi="Times New Roman" w:eastAsia="宋体" w:cs="Times New Roman"/>
        </w:rPr>
        <w:t>可行性</w:t>
      </w:r>
      <w:bookmarkEnd w:id="365"/>
      <w:bookmarkEnd w:id="366"/>
    </w:p>
    <w:p w14:paraId="0E4EADDC">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8.1.1拟采取的废气治理措施</w:t>
      </w:r>
    </w:p>
    <w:p w14:paraId="3DC2513D">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针对项目产生的各类废气，项目拟采取的废气治理措施见下表：</w:t>
      </w:r>
    </w:p>
    <w:p w14:paraId="2C46A00A">
      <w:pPr>
        <w:spacing w:line="360" w:lineRule="auto"/>
        <w:jc w:val="center"/>
        <w:rPr>
          <w:rFonts w:hint="default" w:ascii="Times New Roman" w:hAnsi="Times New Roman" w:eastAsia="宋体" w:cs="Times New Roman"/>
          <w:b/>
          <w:szCs w:val="24"/>
          <w:u w:val="single"/>
        </w:rPr>
      </w:pPr>
      <w:r>
        <w:rPr>
          <w:rFonts w:hint="default" w:ascii="Times New Roman" w:hAnsi="Times New Roman" w:eastAsia="宋体" w:cs="Times New Roman"/>
          <w:b/>
          <w:szCs w:val="24"/>
          <w:u w:val="single"/>
        </w:rPr>
        <w:t>表8.1-1   项目废气治理措施一览表</w:t>
      </w:r>
    </w:p>
    <w:tbl>
      <w:tblPr>
        <w:tblStyle w:val="32"/>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35"/>
        <w:gridCol w:w="1764"/>
        <w:gridCol w:w="1413"/>
        <w:gridCol w:w="1738"/>
        <w:gridCol w:w="1285"/>
        <w:gridCol w:w="1393"/>
      </w:tblGrid>
      <w:tr w14:paraId="33121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35" w:type="dxa"/>
            <w:vAlign w:val="center"/>
          </w:tcPr>
          <w:p w14:paraId="61B911C6">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生产单元</w:t>
            </w:r>
          </w:p>
        </w:tc>
        <w:tc>
          <w:tcPr>
            <w:tcW w:w="1764" w:type="dxa"/>
            <w:vAlign w:val="center"/>
          </w:tcPr>
          <w:p w14:paraId="354E0038">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废气源</w:t>
            </w:r>
          </w:p>
        </w:tc>
        <w:tc>
          <w:tcPr>
            <w:tcW w:w="1413" w:type="dxa"/>
            <w:vAlign w:val="center"/>
          </w:tcPr>
          <w:p w14:paraId="74F088CE">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污染物</w:t>
            </w:r>
          </w:p>
        </w:tc>
        <w:tc>
          <w:tcPr>
            <w:tcW w:w="1738" w:type="dxa"/>
            <w:vAlign w:val="center"/>
          </w:tcPr>
          <w:p w14:paraId="7725751E">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收集措施</w:t>
            </w:r>
          </w:p>
        </w:tc>
        <w:tc>
          <w:tcPr>
            <w:tcW w:w="1285" w:type="dxa"/>
            <w:vAlign w:val="center"/>
          </w:tcPr>
          <w:p w14:paraId="591D38EF">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治理措施</w:t>
            </w:r>
          </w:p>
        </w:tc>
        <w:tc>
          <w:tcPr>
            <w:tcW w:w="1393" w:type="dxa"/>
            <w:vAlign w:val="center"/>
          </w:tcPr>
          <w:p w14:paraId="3216D431">
            <w:pPr>
              <w:keepNext w:val="0"/>
              <w:keepLines w:val="0"/>
              <w:suppressLineNumbers w:val="0"/>
              <w:spacing w:before="0" w:beforeAutospacing="0" w:after="0" w:afterAutospacing="0"/>
              <w:ind w:left="0" w:right="0"/>
              <w:jc w:val="center"/>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排放方式</w:t>
            </w:r>
          </w:p>
        </w:tc>
      </w:tr>
      <w:tr w14:paraId="708CF3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7" w:hRule="atLeast"/>
        </w:trPr>
        <w:tc>
          <w:tcPr>
            <w:tcW w:w="935" w:type="dxa"/>
            <w:vMerge w:val="restart"/>
            <w:vAlign w:val="center"/>
          </w:tcPr>
          <w:p w14:paraId="5E17B4F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rPr>
              <w:t>危险废物再生利用</w:t>
            </w:r>
            <w:r>
              <w:rPr>
                <w:rFonts w:hint="default" w:ascii="Times New Roman" w:hAnsi="Times New Roman" w:eastAsia="宋体" w:cs="Times New Roman"/>
                <w:kern w:val="0"/>
                <w:szCs w:val="21"/>
                <w:u w:val="single"/>
                <w:lang w:val="en-US" w:eastAsia="zh-CN"/>
              </w:rPr>
              <w:t>区</w:t>
            </w:r>
          </w:p>
        </w:tc>
        <w:tc>
          <w:tcPr>
            <w:tcW w:w="1764" w:type="dxa"/>
            <w:vAlign w:val="center"/>
          </w:tcPr>
          <w:p w14:paraId="5E9258D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危险废物原料预处理区（</w:t>
            </w:r>
            <w:r>
              <w:rPr>
                <w:rFonts w:hint="default" w:ascii="Times New Roman" w:hAnsi="Times New Roman" w:eastAsia="宋体" w:cs="Times New Roman"/>
                <w:kern w:val="0"/>
                <w:szCs w:val="21"/>
                <w:u w:val="single"/>
                <w:lang w:val="en-US" w:eastAsia="zh-CN"/>
              </w:rPr>
              <w:t>原料贮存、</w:t>
            </w:r>
            <w:r>
              <w:rPr>
                <w:rFonts w:hint="default" w:ascii="Times New Roman" w:hAnsi="Times New Roman" w:eastAsia="宋体" w:cs="Times New Roman"/>
                <w:kern w:val="0"/>
                <w:szCs w:val="21"/>
                <w:u w:val="single"/>
              </w:rPr>
              <w:t>倒残液）</w:t>
            </w:r>
          </w:p>
        </w:tc>
        <w:tc>
          <w:tcPr>
            <w:tcW w:w="1413" w:type="dxa"/>
            <w:tcBorders>
              <w:bottom w:val="single" w:color="auto" w:sz="4" w:space="0"/>
            </w:tcBorders>
            <w:vAlign w:val="center"/>
          </w:tcPr>
          <w:p w14:paraId="00BC666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VOCs</w:t>
            </w:r>
          </w:p>
          <w:p w14:paraId="5D9F87C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（含苯、甲苯、二甲苯）</w:t>
            </w:r>
          </w:p>
        </w:tc>
        <w:tc>
          <w:tcPr>
            <w:tcW w:w="1738" w:type="dxa"/>
            <w:vMerge w:val="restart"/>
            <w:vAlign w:val="center"/>
          </w:tcPr>
          <w:p w14:paraId="002E4D3F">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rPr>
            </w:pPr>
            <w:r>
              <w:rPr>
                <w:rFonts w:hint="default" w:ascii="Times New Roman" w:hAnsi="Times New Roman" w:eastAsia="宋体" w:cs="Times New Roman"/>
                <w:u w:val="single"/>
                <w:lang w:val="en-US" w:eastAsia="zh-CN"/>
              </w:rPr>
              <w:t>整体区域密闭+负压收集</w:t>
            </w:r>
          </w:p>
        </w:tc>
        <w:tc>
          <w:tcPr>
            <w:tcW w:w="1285" w:type="dxa"/>
            <w:vMerge w:val="restart"/>
            <w:vAlign w:val="center"/>
          </w:tcPr>
          <w:p w14:paraId="531816F1">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废气收集</w:t>
            </w:r>
            <w:r>
              <w:rPr>
                <w:rFonts w:hint="default" w:ascii="Times New Roman" w:hAnsi="Times New Roman" w:eastAsia="宋体" w:cs="Times New Roman"/>
                <w:kern w:val="0"/>
                <w:szCs w:val="21"/>
                <w:u w:val="single"/>
                <w:lang w:val="en-US" w:eastAsia="zh-CN"/>
              </w:rPr>
              <w:t>后汇入主管道，</w:t>
            </w:r>
            <w:r>
              <w:rPr>
                <w:rFonts w:hint="default" w:ascii="Times New Roman" w:hAnsi="Times New Roman" w:eastAsia="宋体" w:cs="Times New Roman"/>
                <w:kern w:val="0"/>
                <w:szCs w:val="21"/>
                <w:u w:val="single"/>
              </w:rPr>
              <w:t>主管道进入RCO催化燃烧装置</w:t>
            </w:r>
          </w:p>
        </w:tc>
        <w:tc>
          <w:tcPr>
            <w:tcW w:w="1393" w:type="dxa"/>
            <w:vMerge w:val="restart"/>
            <w:vAlign w:val="center"/>
          </w:tcPr>
          <w:p w14:paraId="32F7852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经15m高排气筒DA001于厂房顶部有组织排放</w:t>
            </w:r>
          </w:p>
        </w:tc>
      </w:tr>
      <w:tr w14:paraId="205CC9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207" w:hRule="atLeast"/>
        </w:trPr>
        <w:tc>
          <w:tcPr>
            <w:tcW w:w="935" w:type="dxa"/>
            <w:vMerge w:val="continue"/>
            <w:vAlign w:val="center"/>
          </w:tcPr>
          <w:p w14:paraId="67EF03E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1764" w:type="dxa"/>
            <w:vAlign w:val="center"/>
          </w:tcPr>
          <w:p w14:paraId="448AA44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危险废物原料</w:t>
            </w:r>
            <w:r>
              <w:rPr>
                <w:rFonts w:hint="default" w:ascii="Times New Roman" w:hAnsi="Times New Roman" w:eastAsia="宋体" w:cs="Times New Roman"/>
                <w:kern w:val="0"/>
                <w:szCs w:val="21"/>
                <w:u w:val="single"/>
                <w:lang w:val="en-US" w:eastAsia="zh-CN"/>
              </w:rPr>
              <w:t>进料区</w:t>
            </w:r>
            <w:r>
              <w:rPr>
                <w:rFonts w:hint="default" w:ascii="Times New Roman" w:hAnsi="Times New Roman" w:eastAsia="宋体" w:cs="Times New Roman"/>
                <w:kern w:val="0"/>
                <w:szCs w:val="21"/>
                <w:u w:val="single"/>
              </w:rPr>
              <w:t>（</w:t>
            </w:r>
            <w:r>
              <w:rPr>
                <w:rFonts w:hint="default" w:ascii="Times New Roman" w:hAnsi="Times New Roman" w:eastAsia="宋体" w:cs="Times New Roman"/>
                <w:kern w:val="0"/>
                <w:szCs w:val="21"/>
                <w:u w:val="single"/>
                <w:lang w:val="en-US" w:eastAsia="zh-CN"/>
              </w:rPr>
              <w:t>含输送带</w:t>
            </w:r>
            <w:r>
              <w:rPr>
                <w:rFonts w:hint="default" w:ascii="Times New Roman" w:hAnsi="Times New Roman" w:eastAsia="宋体" w:cs="Times New Roman"/>
                <w:kern w:val="0"/>
                <w:szCs w:val="21"/>
                <w:u w:val="single"/>
              </w:rPr>
              <w:t>）</w:t>
            </w:r>
          </w:p>
        </w:tc>
        <w:tc>
          <w:tcPr>
            <w:tcW w:w="1413" w:type="dxa"/>
            <w:tcBorders>
              <w:bottom w:val="single" w:color="auto" w:sz="4" w:space="0"/>
            </w:tcBorders>
            <w:vAlign w:val="center"/>
          </w:tcPr>
          <w:p w14:paraId="225DC37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VOCs</w:t>
            </w:r>
          </w:p>
          <w:p w14:paraId="313D370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（含苯、甲苯、二甲苯）</w:t>
            </w:r>
          </w:p>
        </w:tc>
        <w:tc>
          <w:tcPr>
            <w:tcW w:w="1738" w:type="dxa"/>
            <w:vMerge w:val="continue"/>
            <w:vAlign w:val="center"/>
          </w:tcPr>
          <w:p w14:paraId="7B1AE0B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eastAsia="zh-CN"/>
              </w:rPr>
            </w:pPr>
          </w:p>
        </w:tc>
        <w:tc>
          <w:tcPr>
            <w:tcW w:w="1285" w:type="dxa"/>
            <w:vMerge w:val="continue"/>
            <w:vAlign w:val="center"/>
          </w:tcPr>
          <w:p w14:paraId="4214BEC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1393" w:type="dxa"/>
            <w:vMerge w:val="continue"/>
            <w:vAlign w:val="center"/>
          </w:tcPr>
          <w:p w14:paraId="5DC2EE8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r>
      <w:tr w14:paraId="4B2B77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935" w:type="dxa"/>
            <w:vMerge w:val="continue"/>
            <w:vAlign w:val="center"/>
          </w:tcPr>
          <w:p w14:paraId="7887DAC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1764" w:type="dxa"/>
            <w:vAlign w:val="center"/>
          </w:tcPr>
          <w:p w14:paraId="59440BAC">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危险废物综合利用区（布设3条生产线）</w:t>
            </w:r>
          </w:p>
        </w:tc>
        <w:tc>
          <w:tcPr>
            <w:tcW w:w="1413" w:type="dxa"/>
            <w:tcBorders>
              <w:top w:val="single" w:color="auto" w:sz="4" w:space="0"/>
            </w:tcBorders>
            <w:vAlign w:val="center"/>
          </w:tcPr>
          <w:p w14:paraId="62993092">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VOCs</w:t>
            </w:r>
          </w:p>
          <w:p w14:paraId="335B877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（含苯、甲苯、二甲苯）</w:t>
            </w:r>
          </w:p>
        </w:tc>
        <w:tc>
          <w:tcPr>
            <w:tcW w:w="1738" w:type="dxa"/>
            <w:vMerge w:val="continue"/>
            <w:vAlign w:val="center"/>
          </w:tcPr>
          <w:p w14:paraId="6F02A90E">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val="en-US"/>
              </w:rPr>
            </w:pPr>
          </w:p>
        </w:tc>
        <w:tc>
          <w:tcPr>
            <w:tcW w:w="1285" w:type="dxa"/>
            <w:vMerge w:val="continue"/>
            <w:vAlign w:val="center"/>
          </w:tcPr>
          <w:p w14:paraId="1255C3E3">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c>
          <w:tcPr>
            <w:tcW w:w="1393" w:type="dxa"/>
            <w:vMerge w:val="continue"/>
            <w:vAlign w:val="center"/>
          </w:tcPr>
          <w:p w14:paraId="7969B317">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p>
        </w:tc>
      </w:tr>
      <w:tr w14:paraId="3E3B88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685" w:hRule="atLeast"/>
        </w:trPr>
        <w:tc>
          <w:tcPr>
            <w:tcW w:w="935" w:type="dxa"/>
            <w:vAlign w:val="center"/>
          </w:tcPr>
          <w:p w14:paraId="125A0AF6">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危险废物贮存库</w:t>
            </w:r>
          </w:p>
        </w:tc>
        <w:tc>
          <w:tcPr>
            <w:tcW w:w="1764" w:type="dxa"/>
            <w:vAlign w:val="center"/>
          </w:tcPr>
          <w:p w14:paraId="02482154">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lang w:eastAsia="zh-CN"/>
              </w:rPr>
            </w:pPr>
            <w:r>
              <w:rPr>
                <w:rFonts w:hint="default" w:ascii="Times New Roman" w:hAnsi="Times New Roman" w:eastAsia="宋体" w:cs="Times New Roman"/>
                <w:kern w:val="0"/>
                <w:szCs w:val="21"/>
                <w:u w:val="single"/>
              </w:rPr>
              <w:t>危险废物贮存</w:t>
            </w:r>
          </w:p>
        </w:tc>
        <w:tc>
          <w:tcPr>
            <w:tcW w:w="1413" w:type="dxa"/>
            <w:vAlign w:val="center"/>
          </w:tcPr>
          <w:p w14:paraId="38A430A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szCs w:val="21"/>
                <w:u w:val="single"/>
              </w:rPr>
              <w:t>VOCs</w:t>
            </w:r>
          </w:p>
          <w:p w14:paraId="079DDB84">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lang w:val="en-US" w:eastAsia="zh-CN"/>
              </w:rPr>
            </w:pPr>
            <w:r>
              <w:rPr>
                <w:rFonts w:hint="default" w:ascii="Times New Roman" w:hAnsi="Times New Roman" w:eastAsia="宋体" w:cs="Times New Roman"/>
                <w:color w:val="000000"/>
                <w:szCs w:val="21"/>
                <w:u w:val="single"/>
                <w:lang w:val="en-US" w:eastAsia="zh-CN"/>
              </w:rPr>
              <w:t>硫酸雾</w:t>
            </w:r>
          </w:p>
          <w:p w14:paraId="0719C398">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NH</w:t>
            </w:r>
            <w:r>
              <w:rPr>
                <w:rFonts w:hint="default" w:ascii="Times New Roman" w:hAnsi="Times New Roman" w:eastAsia="宋体" w:cs="Times New Roman"/>
                <w:kern w:val="0"/>
                <w:szCs w:val="21"/>
                <w:u w:val="single"/>
                <w:vertAlign w:val="subscript"/>
              </w:rPr>
              <w:t>3</w:t>
            </w:r>
          </w:p>
          <w:p w14:paraId="19F0B38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H</w:t>
            </w:r>
            <w:r>
              <w:rPr>
                <w:rFonts w:hint="default" w:ascii="Times New Roman" w:hAnsi="Times New Roman" w:eastAsia="宋体" w:cs="Times New Roman"/>
                <w:kern w:val="0"/>
                <w:szCs w:val="21"/>
                <w:u w:val="single"/>
                <w:vertAlign w:val="subscript"/>
              </w:rPr>
              <w:t>2</w:t>
            </w:r>
            <w:r>
              <w:rPr>
                <w:rFonts w:hint="default" w:ascii="Times New Roman" w:hAnsi="Times New Roman" w:eastAsia="宋体" w:cs="Times New Roman"/>
                <w:kern w:val="0"/>
                <w:szCs w:val="21"/>
                <w:u w:val="single"/>
              </w:rPr>
              <w:t>S</w:t>
            </w:r>
          </w:p>
        </w:tc>
        <w:tc>
          <w:tcPr>
            <w:tcW w:w="1738" w:type="dxa"/>
            <w:vAlign w:val="center"/>
          </w:tcPr>
          <w:p w14:paraId="2B2D810D">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lang w:val="en-US" w:eastAsia="zh-CN"/>
              </w:rPr>
              <w:t>产生废气的危废贮存隔间（HW06/HW12/HW13/HW31/HW34/HW35/HW49）顶部密闭设负压集气收集管道</w:t>
            </w:r>
          </w:p>
        </w:tc>
        <w:tc>
          <w:tcPr>
            <w:tcW w:w="1285" w:type="dxa"/>
            <w:vAlign w:val="center"/>
          </w:tcPr>
          <w:p w14:paraId="68076D3B">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废气收集汇集后经主管道进入UV光解+活性炭吸附装置</w:t>
            </w:r>
          </w:p>
        </w:tc>
        <w:tc>
          <w:tcPr>
            <w:tcW w:w="1393" w:type="dxa"/>
            <w:vAlign w:val="center"/>
          </w:tcPr>
          <w:p w14:paraId="3556E0A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经15m高排气筒DA002于贮存库房顶部有组织排放</w:t>
            </w:r>
          </w:p>
        </w:tc>
      </w:tr>
    </w:tbl>
    <w:p w14:paraId="62E0D757">
      <w:pPr>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项目废气排放示意图：</w:t>
      </w:r>
    </w:p>
    <w:p w14:paraId="39F6C0F9">
      <w:pPr>
        <w:widowControl/>
        <w:spacing w:line="360" w:lineRule="auto"/>
        <w:jc w:val="center"/>
        <w:rPr>
          <w:rFonts w:hint="default" w:ascii="Times New Roman" w:hAnsi="Times New Roman" w:eastAsia="宋体" w:cs="Times New Roman"/>
          <w:b/>
          <w:bCs/>
          <w:u w:val="single"/>
        </w:rPr>
      </w:pPr>
      <w:r>
        <w:rPr>
          <w:rFonts w:hint="default" w:ascii="Times New Roman" w:hAnsi="Times New Roman" w:eastAsia="宋体" w:cs="Times New Roman"/>
          <w:b/>
          <w:bCs/>
          <w:u w:val="single"/>
        </w:rPr>
        <w:object>
          <v:shape id="_x0000_i1032" o:spt="75" type="#_x0000_t75" style="height:125.7pt;width:415.5pt;" o:ole="t" filled="f" o:preferrelative="t" stroked="f" coordsize="21600,21600">
            <v:path/>
            <v:fill on="f" focussize="0,0"/>
            <v:stroke on="f"/>
            <v:imagedata r:id="rId59" o:title=""/>
            <o:lock v:ext="edit" aspectratio="f"/>
            <w10:wrap type="none"/>
            <w10:anchorlock/>
          </v:shape>
          <o:OLEObject Type="Embed" ProgID="Visio.Drawing.15" ShapeID="_x0000_i1032" DrawAspect="Content" ObjectID="_1468075731" r:id="rId58">
            <o:LockedField>false</o:LockedField>
          </o:OLEObject>
        </w:object>
      </w:r>
      <w:r>
        <w:rPr>
          <w:rFonts w:hint="default" w:ascii="Times New Roman" w:hAnsi="Times New Roman" w:eastAsia="宋体" w:cs="Times New Roman"/>
          <w:b/>
          <w:bCs/>
          <w:u w:val="single"/>
        </w:rPr>
        <w:t>图8.1-1  项目</w:t>
      </w:r>
      <w:r>
        <w:rPr>
          <w:rFonts w:hint="default" w:ascii="Times New Roman" w:hAnsi="Times New Roman" w:eastAsia="宋体" w:cs="Times New Roman"/>
          <w:b/>
          <w:bCs/>
          <w:u w:val="single"/>
          <w:lang w:eastAsia="zh-CN"/>
        </w:rPr>
        <w:t>危险废物综合处置车间</w:t>
      </w:r>
      <w:r>
        <w:rPr>
          <w:rFonts w:hint="default" w:ascii="Times New Roman" w:hAnsi="Times New Roman" w:eastAsia="宋体" w:cs="Times New Roman"/>
          <w:b/>
          <w:bCs/>
          <w:u w:val="single"/>
        </w:rPr>
        <w:t>废气收集排放示意图</w:t>
      </w:r>
    </w:p>
    <w:p w14:paraId="56152409">
      <w:pPr>
        <w:widowControl/>
        <w:spacing w:line="360" w:lineRule="auto"/>
        <w:jc w:val="center"/>
        <w:rPr>
          <w:rFonts w:hint="default" w:ascii="Times New Roman" w:hAnsi="Times New Roman" w:eastAsia="宋体" w:cs="Times New Roman"/>
          <w:b/>
          <w:bCs/>
        </w:rPr>
      </w:pPr>
      <w:r>
        <w:rPr>
          <w:rFonts w:hint="default" w:ascii="Times New Roman" w:hAnsi="Times New Roman" w:eastAsia="宋体" w:cs="Times New Roman"/>
          <w:b/>
          <w:bCs/>
        </w:rPr>
        <w:object>
          <v:shape id="_x0000_i1033" o:spt="75" type="#_x0000_t75" style="height:69.85pt;width:415.3pt;" o:ole="t" filled="f" o:preferrelative="t" stroked="f" coordsize="21600,21600">
            <v:path/>
            <v:fill on="f" focussize="0,0"/>
            <v:stroke on="f"/>
            <v:imagedata r:id="rId61" o:title=""/>
            <o:lock v:ext="edit" aspectratio="f"/>
            <w10:wrap type="none"/>
            <w10:anchorlock/>
          </v:shape>
          <o:OLEObject Type="Embed" ProgID="Visio.Drawing.15" ShapeID="_x0000_i1033" DrawAspect="Content" ObjectID="_1468075732" r:id="rId60">
            <o:LockedField>false</o:LockedField>
          </o:OLEObject>
        </w:object>
      </w:r>
      <w:r>
        <w:rPr>
          <w:rFonts w:hint="default" w:ascii="Times New Roman" w:hAnsi="Times New Roman" w:eastAsia="宋体" w:cs="Times New Roman"/>
          <w:b/>
          <w:bCs/>
        </w:rPr>
        <w:t>图8.1-2  项目危废贮存库废气收集排放示意图</w:t>
      </w:r>
    </w:p>
    <w:p w14:paraId="0766D9B8">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8.1.2废气治理措施的工艺可行性</w:t>
      </w:r>
    </w:p>
    <w:p w14:paraId="21950A94">
      <w:pPr>
        <w:spacing w:line="360" w:lineRule="auto"/>
        <w:ind w:firstLine="480" w:firstLineChars="200"/>
        <w:jc w:val="left"/>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（1）VOCs</w:t>
      </w:r>
    </w:p>
    <w:p w14:paraId="3A6B258D">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有机废气是碳氢化合物及其衍生物，对有机污染物废气的处理主要有冷凝回收法、吸收法、吸附法、催化燃烧法、热回收燃烧法、UV光解法、低温等离子体法等。</w:t>
      </w:r>
    </w:p>
    <w:p w14:paraId="0A7F93C6">
      <w:pPr>
        <w:pStyle w:val="48"/>
        <w:spacing w:before="0" w:line="360" w:lineRule="auto"/>
        <w:ind w:firstLine="0" w:firstLineChars="0"/>
        <w:jc w:val="center"/>
        <w:rPr>
          <w:rFonts w:hint="default" w:ascii="Times New Roman" w:hAnsi="Times New Roman" w:eastAsia="宋体" w:cs="Times New Roman"/>
          <w:b/>
          <w:bCs/>
          <w:sz w:val="21"/>
          <w:szCs w:val="18"/>
        </w:rPr>
      </w:pPr>
      <w:r>
        <w:rPr>
          <w:rFonts w:hint="default" w:ascii="Times New Roman" w:hAnsi="Times New Roman" w:eastAsia="宋体" w:cs="Times New Roman"/>
          <w:b/>
          <w:bCs/>
          <w:sz w:val="21"/>
          <w:szCs w:val="18"/>
        </w:rPr>
        <w:t>表8.1-2 有机废气处理方法优缺点一览表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495"/>
        <w:gridCol w:w="2284"/>
        <w:gridCol w:w="2282"/>
        <w:gridCol w:w="2281"/>
      </w:tblGrid>
      <w:tr w14:paraId="121BFDD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96" w:type="pct"/>
            <w:vAlign w:val="center"/>
          </w:tcPr>
          <w:p w14:paraId="53798740">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处理方法</w:t>
            </w:r>
          </w:p>
        </w:tc>
        <w:tc>
          <w:tcPr>
            <w:tcW w:w="1369" w:type="pct"/>
            <w:vAlign w:val="center"/>
          </w:tcPr>
          <w:p w14:paraId="2259FBA9">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原理</w:t>
            </w:r>
          </w:p>
        </w:tc>
        <w:tc>
          <w:tcPr>
            <w:tcW w:w="1368" w:type="pct"/>
            <w:vAlign w:val="center"/>
          </w:tcPr>
          <w:p w14:paraId="3839D7C6">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优点</w:t>
            </w:r>
          </w:p>
        </w:tc>
        <w:tc>
          <w:tcPr>
            <w:tcW w:w="1367" w:type="pct"/>
            <w:vAlign w:val="center"/>
          </w:tcPr>
          <w:p w14:paraId="7E292374">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b/>
                <w:bCs/>
                <w:sz w:val="21"/>
                <w:szCs w:val="21"/>
                <w:lang w:eastAsia="en-US"/>
              </w:rPr>
            </w:pPr>
            <w:r>
              <w:rPr>
                <w:rFonts w:hint="default" w:ascii="Times New Roman" w:hAnsi="Times New Roman" w:eastAsia="宋体" w:cs="Times New Roman"/>
                <w:b/>
                <w:bCs/>
                <w:sz w:val="21"/>
                <w:szCs w:val="21"/>
                <w:lang w:eastAsia="en-US"/>
              </w:rPr>
              <w:t>缺点</w:t>
            </w:r>
          </w:p>
        </w:tc>
      </w:tr>
      <w:tr w14:paraId="4A650F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96" w:type="pct"/>
            <w:vAlign w:val="center"/>
          </w:tcPr>
          <w:p w14:paraId="6E9ED1E7">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冷凝回收法</w:t>
            </w:r>
          </w:p>
        </w:tc>
        <w:tc>
          <w:tcPr>
            <w:tcW w:w="1369" w:type="pct"/>
            <w:vAlign w:val="center"/>
          </w:tcPr>
          <w:p w14:paraId="7212C186">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将废气冷却使其温度低于有机物的露点温度，使有机物冷凝变成液滴，从废气中分离出来，直接回收。</w:t>
            </w:r>
          </w:p>
        </w:tc>
        <w:tc>
          <w:tcPr>
            <w:tcW w:w="1368" w:type="pct"/>
            <w:vAlign w:val="center"/>
          </w:tcPr>
          <w:p w14:paraId="69D8506E">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可回收，没有二次污染。</w:t>
            </w:r>
          </w:p>
        </w:tc>
        <w:tc>
          <w:tcPr>
            <w:tcW w:w="1367" w:type="pct"/>
            <w:vAlign w:val="center"/>
          </w:tcPr>
          <w:p w14:paraId="6E0F39B0">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适合浓度高风量小的有机废气处理，适合做预处理。</w:t>
            </w:r>
          </w:p>
        </w:tc>
      </w:tr>
      <w:tr w14:paraId="1C0623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96" w:type="pct"/>
            <w:vAlign w:val="center"/>
          </w:tcPr>
          <w:p w14:paraId="05E1D259">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吸收法</w:t>
            </w:r>
          </w:p>
        </w:tc>
        <w:tc>
          <w:tcPr>
            <w:tcW w:w="1369" w:type="pct"/>
            <w:vAlign w:val="center"/>
          </w:tcPr>
          <w:p w14:paraId="24F9BD9C">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用适当的吸收剂对废气中有机组分进行物理吸收，温度范围为常温。</w:t>
            </w:r>
          </w:p>
        </w:tc>
        <w:tc>
          <w:tcPr>
            <w:tcW w:w="1368" w:type="pct"/>
            <w:vAlign w:val="center"/>
          </w:tcPr>
          <w:p w14:paraId="01D350AD">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对废气浓度限制较小，适用于含有颗粒废气的净化。</w:t>
            </w:r>
          </w:p>
        </w:tc>
        <w:tc>
          <w:tcPr>
            <w:tcW w:w="1367" w:type="pct"/>
            <w:vAlign w:val="center"/>
          </w:tcPr>
          <w:p w14:paraId="4FC2589D">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对成分复杂的废气或难以降解的VOCs，去除效果较差，且有二次污染产生。</w:t>
            </w:r>
          </w:p>
        </w:tc>
      </w:tr>
      <w:tr w14:paraId="1E7CF31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96" w:type="pct"/>
            <w:vAlign w:val="center"/>
          </w:tcPr>
          <w:p w14:paraId="3F4CDA6F">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直接吸附法</w:t>
            </w:r>
          </w:p>
        </w:tc>
        <w:tc>
          <w:tcPr>
            <w:tcW w:w="1369" w:type="pct"/>
            <w:vAlign w:val="center"/>
          </w:tcPr>
          <w:p w14:paraId="0285BF01">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利用吸附剂（粒状活性炭和活性炭纤维）的多孔结构，将废气中的VOC捕获</w:t>
            </w:r>
          </w:p>
        </w:tc>
        <w:tc>
          <w:tcPr>
            <w:tcW w:w="1368" w:type="pct"/>
            <w:vAlign w:val="center"/>
          </w:tcPr>
          <w:p w14:paraId="177B4A4A">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去除率高，稳定性较好。</w:t>
            </w:r>
          </w:p>
        </w:tc>
        <w:tc>
          <w:tcPr>
            <w:tcW w:w="1367" w:type="pct"/>
            <w:vAlign w:val="center"/>
          </w:tcPr>
          <w:p w14:paraId="1F8F78BA">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适用于低浓度有机废气，活性炭更换工作量大。</w:t>
            </w:r>
          </w:p>
        </w:tc>
      </w:tr>
      <w:tr w14:paraId="0CBBD2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96" w:type="pct"/>
            <w:vAlign w:val="center"/>
          </w:tcPr>
          <w:p w14:paraId="2AB04545">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en-US"/>
              </w:rPr>
            </w:pPr>
            <w:bookmarkStart w:id="367" w:name="_Hlk129549132"/>
            <w:r>
              <w:rPr>
                <w:rFonts w:hint="default" w:ascii="Times New Roman" w:hAnsi="Times New Roman" w:eastAsia="宋体" w:cs="Times New Roman"/>
                <w:sz w:val="21"/>
                <w:szCs w:val="21"/>
                <w:lang w:eastAsia="en-US"/>
              </w:rPr>
              <w:t>催化燃烧法</w:t>
            </w:r>
            <w:bookmarkEnd w:id="367"/>
          </w:p>
        </w:tc>
        <w:tc>
          <w:tcPr>
            <w:tcW w:w="1369" w:type="pct"/>
            <w:vAlign w:val="center"/>
          </w:tcPr>
          <w:p w14:paraId="3E3D1E12">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利用固体催化剂将废气中的污染物通过氧化作用转化为二氧化碳和水等化合物、净化废气中污染物的设备及其附属设施。</w:t>
            </w:r>
          </w:p>
        </w:tc>
        <w:tc>
          <w:tcPr>
            <w:tcW w:w="1368" w:type="pct"/>
            <w:vAlign w:val="center"/>
          </w:tcPr>
          <w:p w14:paraId="15034C3B">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去除率高，可以达标；使用于各种浓度的有机废气；无二次污染。</w:t>
            </w:r>
          </w:p>
        </w:tc>
        <w:tc>
          <w:tcPr>
            <w:tcW w:w="1367" w:type="pct"/>
            <w:vAlign w:val="center"/>
          </w:tcPr>
          <w:p w14:paraId="4C454CE6">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催化剂成本高，且有使用寿命限制，复杂废气需预处理。</w:t>
            </w:r>
          </w:p>
        </w:tc>
      </w:tr>
      <w:tr w14:paraId="40E24AE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96" w:type="pct"/>
            <w:vAlign w:val="center"/>
          </w:tcPr>
          <w:p w14:paraId="4B30F872">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热回收燃烧法</w:t>
            </w:r>
          </w:p>
        </w:tc>
        <w:tc>
          <w:tcPr>
            <w:tcW w:w="1369" w:type="pct"/>
            <w:vAlign w:val="center"/>
          </w:tcPr>
          <w:p w14:paraId="4CBD5E39">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采用燃烧的方法使废气中VOCs 转化为二氧化碳、水等物质，并通过热交换，将自高温烟气回收的热量用于其他生产过程或工序。</w:t>
            </w:r>
          </w:p>
        </w:tc>
        <w:tc>
          <w:tcPr>
            <w:tcW w:w="1368" w:type="pct"/>
            <w:vAlign w:val="center"/>
          </w:tcPr>
          <w:p w14:paraId="1DF44EBE">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净化效率高，可净化各种有机废气，不需要预处理，不稳定因素少，可靠性高。</w:t>
            </w:r>
          </w:p>
        </w:tc>
        <w:tc>
          <w:tcPr>
            <w:tcW w:w="1367" w:type="pct"/>
            <w:vAlign w:val="center"/>
          </w:tcPr>
          <w:p w14:paraId="3A54CCEE">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只适合高浓度有机废气，需要另外补充燃料，运行费用高。</w:t>
            </w:r>
          </w:p>
        </w:tc>
      </w:tr>
      <w:tr w14:paraId="4984C71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96" w:type="pct"/>
            <w:vAlign w:val="center"/>
          </w:tcPr>
          <w:p w14:paraId="64B28058">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UV光解法</w:t>
            </w:r>
          </w:p>
        </w:tc>
        <w:tc>
          <w:tcPr>
            <w:tcW w:w="1369" w:type="pct"/>
            <w:vAlign w:val="center"/>
          </w:tcPr>
          <w:p w14:paraId="10979EE9">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利用特制的高能高臭氧</w:t>
            </w:r>
          </w:p>
          <w:p w14:paraId="2A2AD394">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UV紫外线光束照射气体，裂解苯、甲苯、二甲苯、有机废气等的分子键，使呈游离状态的污染物分子与臭氧（高能高臭氧UV紫外线光束分解空气中的氧分子产生游离氧，即活性氧，因游离氧所携正负电子部平衡所以需与氧分子结合，进而产生臭氧。氧化结合成小分子无害或低害的化合物，如CO</w:t>
            </w:r>
            <w:r>
              <w:rPr>
                <w:rFonts w:hint="default" w:ascii="Times New Roman" w:hAnsi="Times New Roman" w:eastAsia="宋体" w:cs="Times New Roman"/>
                <w:sz w:val="21"/>
                <w:szCs w:val="21"/>
                <w:vertAlign w:val="subscript"/>
                <w:lang w:eastAsia="zh-CN"/>
              </w:rPr>
              <w:t>2</w:t>
            </w:r>
            <w:r>
              <w:rPr>
                <w:rFonts w:hint="default" w:ascii="Times New Roman" w:hAnsi="Times New Roman" w:eastAsia="宋体" w:cs="Times New Roman"/>
                <w:sz w:val="21"/>
                <w:szCs w:val="21"/>
                <w:lang w:eastAsia="zh-CN"/>
              </w:rPr>
              <w:t>、H</w:t>
            </w:r>
            <w:r>
              <w:rPr>
                <w:rFonts w:hint="default" w:ascii="Times New Roman" w:hAnsi="Times New Roman" w:eastAsia="宋体" w:cs="Times New Roman"/>
                <w:sz w:val="21"/>
                <w:szCs w:val="21"/>
                <w:vertAlign w:val="subscript"/>
                <w:lang w:eastAsia="zh-CN"/>
              </w:rPr>
              <w:t>2</w:t>
            </w:r>
            <w:r>
              <w:rPr>
                <w:rFonts w:hint="default" w:ascii="Times New Roman" w:hAnsi="Times New Roman" w:eastAsia="宋体" w:cs="Times New Roman"/>
                <w:sz w:val="21"/>
                <w:szCs w:val="21"/>
                <w:lang w:eastAsia="zh-CN"/>
              </w:rPr>
              <w:t>O。</w:t>
            </w:r>
          </w:p>
        </w:tc>
        <w:tc>
          <w:tcPr>
            <w:tcW w:w="1368" w:type="pct"/>
            <w:vAlign w:val="center"/>
          </w:tcPr>
          <w:p w14:paraId="377D7845">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去除率高，可以达标；分解为CO</w:t>
            </w:r>
            <w:r>
              <w:rPr>
                <w:rFonts w:hint="default" w:ascii="Times New Roman" w:hAnsi="Times New Roman" w:eastAsia="宋体" w:cs="Times New Roman"/>
                <w:sz w:val="21"/>
                <w:szCs w:val="21"/>
                <w:vertAlign w:val="subscript"/>
                <w:lang w:eastAsia="zh-CN"/>
              </w:rPr>
              <w:t>2</w:t>
            </w:r>
            <w:r>
              <w:rPr>
                <w:rFonts w:hint="default" w:ascii="Times New Roman" w:hAnsi="Times New Roman" w:eastAsia="宋体" w:cs="Times New Roman"/>
                <w:sz w:val="21"/>
                <w:szCs w:val="21"/>
                <w:lang w:eastAsia="zh-CN"/>
              </w:rPr>
              <w:t>、H</w:t>
            </w:r>
            <w:r>
              <w:rPr>
                <w:rFonts w:hint="default" w:ascii="Times New Roman" w:hAnsi="Times New Roman" w:eastAsia="宋体" w:cs="Times New Roman"/>
                <w:sz w:val="21"/>
                <w:szCs w:val="21"/>
                <w:vertAlign w:val="subscript"/>
                <w:lang w:eastAsia="zh-CN"/>
              </w:rPr>
              <w:t>2</w:t>
            </w:r>
            <w:r>
              <w:rPr>
                <w:rFonts w:hint="default" w:ascii="Times New Roman" w:hAnsi="Times New Roman" w:eastAsia="宋体" w:cs="Times New Roman"/>
                <w:sz w:val="21"/>
                <w:szCs w:val="21"/>
                <w:lang w:eastAsia="zh-CN"/>
              </w:rPr>
              <w:t>O和其他组分的氧化物，无二次污 染；适用于各种气量。</w:t>
            </w:r>
          </w:p>
        </w:tc>
        <w:tc>
          <w:tcPr>
            <w:tcW w:w="1367" w:type="pct"/>
            <w:vAlign w:val="center"/>
          </w:tcPr>
          <w:p w14:paraId="7C1054ED">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废气需经过预处理（除酸、除重金属），适合一般浓度的有机废气；催化剂容易失活。</w:t>
            </w:r>
          </w:p>
        </w:tc>
      </w:tr>
      <w:tr w14:paraId="0BE39B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896" w:type="pct"/>
            <w:vAlign w:val="center"/>
          </w:tcPr>
          <w:p w14:paraId="7478D4CB">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en-US"/>
              </w:rPr>
            </w:pPr>
            <w:r>
              <w:rPr>
                <w:rFonts w:hint="default" w:ascii="Times New Roman" w:hAnsi="Times New Roman" w:eastAsia="宋体" w:cs="Times New Roman"/>
                <w:sz w:val="21"/>
                <w:szCs w:val="21"/>
                <w:lang w:eastAsia="en-US"/>
              </w:rPr>
              <w:t>低温等离子体法</w:t>
            </w:r>
          </w:p>
        </w:tc>
        <w:tc>
          <w:tcPr>
            <w:tcW w:w="1369" w:type="pct"/>
            <w:vAlign w:val="center"/>
          </w:tcPr>
          <w:p w14:paraId="09465DD0">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介质阻挡放电过程中，等离子体内部产生富含极高化学活性的粒子，如电 子、离子、自由基和激发态分子等。废气中的污染物质与这些具有较高能量的活性基团发生反应，最终转化为CO</w:t>
            </w:r>
            <w:r>
              <w:rPr>
                <w:rFonts w:hint="default" w:ascii="Times New Roman" w:hAnsi="Times New Roman" w:eastAsia="宋体" w:cs="Times New Roman"/>
                <w:sz w:val="21"/>
                <w:szCs w:val="21"/>
                <w:vertAlign w:val="subscript"/>
                <w:lang w:eastAsia="zh-CN"/>
              </w:rPr>
              <w:t>2</w:t>
            </w:r>
            <w:r>
              <w:rPr>
                <w:rFonts w:hint="default" w:ascii="Times New Roman" w:hAnsi="Times New Roman" w:eastAsia="宋体" w:cs="Times New Roman"/>
                <w:sz w:val="21"/>
                <w:szCs w:val="21"/>
                <w:lang w:eastAsia="zh-CN"/>
              </w:rPr>
              <w:t>和H</w:t>
            </w:r>
            <w:r>
              <w:rPr>
                <w:rFonts w:hint="default" w:ascii="Times New Roman" w:hAnsi="Times New Roman" w:eastAsia="宋体" w:cs="Times New Roman"/>
                <w:sz w:val="21"/>
                <w:szCs w:val="21"/>
                <w:vertAlign w:val="subscript"/>
                <w:lang w:eastAsia="zh-CN"/>
              </w:rPr>
              <w:t>2</w:t>
            </w:r>
            <w:r>
              <w:rPr>
                <w:rFonts w:hint="default" w:ascii="Times New Roman" w:hAnsi="Times New Roman" w:eastAsia="宋体" w:cs="Times New Roman"/>
                <w:sz w:val="21"/>
                <w:szCs w:val="21"/>
                <w:lang w:eastAsia="zh-CN"/>
              </w:rPr>
              <w:t>O等物质，从而达到净化废气的目的。</w:t>
            </w:r>
          </w:p>
        </w:tc>
        <w:tc>
          <w:tcPr>
            <w:tcW w:w="1368" w:type="pct"/>
            <w:vAlign w:val="center"/>
          </w:tcPr>
          <w:p w14:paraId="64538C98">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设备投资费用较低，占地面积小；安全性高。</w:t>
            </w:r>
          </w:p>
        </w:tc>
        <w:tc>
          <w:tcPr>
            <w:tcW w:w="1367" w:type="pct"/>
            <w:vAlign w:val="center"/>
          </w:tcPr>
          <w:p w14:paraId="16162F60">
            <w:pPr>
              <w:pStyle w:val="60"/>
              <w:keepNext w:val="0"/>
              <w:keepLines w:val="0"/>
              <w:pageBreakBefore w:val="0"/>
              <w:widowControl w:val="0"/>
              <w:kinsoku/>
              <w:wordWrap/>
              <w:overflowPunct/>
              <w:topLinePunct w:val="0"/>
              <w:autoSpaceDE w:val="0"/>
              <w:autoSpaceDN w:val="0"/>
              <w:bidi w:val="0"/>
              <w:adjustRightInd w:val="0"/>
              <w:snapToGrid w:val="0"/>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治理效率波动范围大；可能存在二次VOCs污染，有安全隐患。</w:t>
            </w:r>
          </w:p>
        </w:tc>
      </w:tr>
    </w:tbl>
    <w:p w14:paraId="7BCDF952">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从项目废气特点、投资成本及可操作性等方面考虑，本项目有机废气治理选取催化燃烧法处理工艺（RCO），催化燃烧法是一种较为成熟、简单的工艺，经过多项工程实践和实际的使用情况表明，废气中的各项指标均达到国家允许排放标准，效果良好。且根据《催化燃烧法工业有机废气治理工程技术规范》（HJ 2027-2013）中“6.1.2 催化燃烧装置的净化效率不得低于97%”，可保证有较高的处理效率。</w:t>
      </w:r>
    </w:p>
    <w:p w14:paraId="04BC4F9D">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本项目完成异地搬迁扩建后，产生VOCs的场所有2处，危险废物综合利用区和危险废物贮存库。</w:t>
      </w:r>
    </w:p>
    <w:p w14:paraId="61A3A5F1">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u w:val="single"/>
        </w:rPr>
        <w:t>针对危险废物综合利用车间，</w:t>
      </w:r>
      <w:r>
        <w:rPr>
          <w:rFonts w:hint="default" w:ascii="Times New Roman" w:hAnsi="Times New Roman" w:eastAsia="宋体" w:cs="Times New Roman"/>
          <w:sz w:val="24"/>
          <w:szCs w:val="24"/>
          <w:u w:val="single"/>
          <w:lang w:val="en-US" w:eastAsia="zh-CN"/>
        </w:rPr>
        <w:t>项目</w:t>
      </w:r>
      <w:r>
        <w:rPr>
          <w:rFonts w:hint="default" w:ascii="Times New Roman" w:hAnsi="Times New Roman" w:eastAsia="宋体" w:cs="Times New Roman"/>
          <w:sz w:val="24"/>
          <w:szCs w:val="24"/>
          <w:u w:val="single"/>
        </w:rPr>
        <w:t>扩建部分危险废物进场</w:t>
      </w:r>
      <w:r>
        <w:rPr>
          <w:rFonts w:hint="default" w:ascii="Times New Roman" w:hAnsi="Times New Roman" w:eastAsia="宋体" w:cs="Times New Roman"/>
          <w:sz w:val="24"/>
          <w:szCs w:val="24"/>
          <w:u w:val="single"/>
          <w:lang w:val="en-US" w:eastAsia="zh-CN"/>
        </w:rPr>
        <w:t>卸料、</w:t>
      </w:r>
      <w:r>
        <w:rPr>
          <w:rFonts w:hint="default" w:ascii="Times New Roman" w:hAnsi="Times New Roman" w:eastAsia="宋体" w:cs="Times New Roman"/>
          <w:sz w:val="24"/>
          <w:szCs w:val="24"/>
          <w:u w:val="single"/>
        </w:rPr>
        <w:t>分拣、预处理、暂存</w:t>
      </w:r>
      <w:r>
        <w:rPr>
          <w:rFonts w:hint="default" w:ascii="Times New Roman" w:hAnsi="Times New Roman" w:eastAsia="宋体" w:cs="Times New Roman"/>
          <w:sz w:val="24"/>
          <w:szCs w:val="24"/>
          <w:u w:val="single"/>
          <w:lang w:val="en-US" w:eastAsia="zh-CN"/>
        </w:rPr>
        <w:t>均在危险危废综合处置车间（A#栋）的危险废物再生利用区内进行。</w:t>
      </w:r>
      <w:r>
        <w:rPr>
          <w:rFonts w:hint="default" w:ascii="Times New Roman" w:hAnsi="Times New Roman" w:eastAsia="宋体" w:cs="Times New Roman"/>
          <w:sz w:val="24"/>
          <w:szCs w:val="21"/>
          <w:u w:val="single"/>
        </w:rPr>
        <w:t>本项目拟将</w:t>
      </w:r>
      <w:r>
        <w:rPr>
          <w:rFonts w:hint="default" w:ascii="Times New Roman" w:hAnsi="Times New Roman" w:eastAsia="宋体" w:cs="Times New Roman"/>
          <w:sz w:val="24"/>
          <w:szCs w:val="24"/>
          <w:u w:val="single"/>
          <w:lang w:val="en-US" w:eastAsia="zh-CN"/>
        </w:rPr>
        <w:t>危险废物再生利用区的</w:t>
      </w:r>
      <w:r>
        <w:rPr>
          <w:rFonts w:hint="default" w:ascii="Times New Roman" w:hAnsi="Times New Roman" w:eastAsia="宋体" w:cs="Times New Roman"/>
          <w:sz w:val="24"/>
          <w:szCs w:val="21"/>
          <w:u w:val="single"/>
        </w:rPr>
        <w:t>危险废物的</w:t>
      </w:r>
      <w:r>
        <w:rPr>
          <w:rFonts w:hint="default" w:ascii="Times New Roman" w:hAnsi="Times New Roman" w:eastAsia="宋体" w:cs="Times New Roman"/>
          <w:sz w:val="24"/>
          <w:szCs w:val="21"/>
          <w:u w:val="single"/>
          <w:lang w:val="en-US" w:eastAsia="zh-CN"/>
        </w:rPr>
        <w:t>贮存区、</w:t>
      </w:r>
      <w:r>
        <w:rPr>
          <w:rFonts w:hint="default" w:ascii="Times New Roman" w:hAnsi="Times New Roman" w:eastAsia="宋体" w:cs="Times New Roman"/>
          <w:sz w:val="24"/>
          <w:szCs w:val="21"/>
          <w:u w:val="single"/>
        </w:rPr>
        <w:t>预处理区（倒残液区）</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进料区（含输送带）</w:t>
      </w:r>
      <w:r>
        <w:rPr>
          <w:rFonts w:hint="default" w:ascii="Times New Roman" w:hAnsi="Times New Roman" w:eastAsia="宋体" w:cs="Times New Roman"/>
          <w:sz w:val="24"/>
          <w:szCs w:val="21"/>
          <w:u w:val="single"/>
        </w:rPr>
        <w:t>、综合利用区（布设3条生产线）</w:t>
      </w:r>
      <w:r>
        <w:rPr>
          <w:rFonts w:hint="default" w:ascii="Times New Roman" w:hAnsi="Times New Roman" w:eastAsia="宋体" w:cs="Times New Roman"/>
          <w:sz w:val="24"/>
          <w:szCs w:val="21"/>
          <w:u w:val="single"/>
          <w:lang w:val="en-US" w:eastAsia="zh-CN"/>
        </w:rPr>
        <w:t>合围连通的区域全部进行密闭并配套风机进行负压抽吸，对产生的废气进行收集</w:t>
      </w: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其中3条生产线封闭并利用自带的废气收集管道收集废气，</w:t>
      </w:r>
      <w:r>
        <w:rPr>
          <w:rFonts w:hint="default" w:ascii="Times New Roman" w:hAnsi="Times New Roman" w:eastAsia="宋体" w:cs="Times New Roman"/>
          <w:sz w:val="24"/>
          <w:szCs w:val="21"/>
          <w:u w:val="single"/>
        </w:rPr>
        <w:t>将上述区域产生的VOCs收集后</w:t>
      </w:r>
      <w:r>
        <w:rPr>
          <w:rFonts w:hint="default" w:ascii="Times New Roman" w:hAnsi="Times New Roman" w:eastAsia="宋体" w:cs="Times New Roman"/>
          <w:sz w:val="24"/>
          <w:szCs w:val="21"/>
          <w:u w:val="single"/>
          <w:lang w:val="en-US" w:eastAsia="zh-CN"/>
        </w:rPr>
        <w:t>汇入车间的废气收集主管道</w:t>
      </w:r>
      <w:r>
        <w:rPr>
          <w:rFonts w:hint="default" w:ascii="Times New Roman" w:hAnsi="Times New Roman" w:eastAsia="宋体" w:cs="Times New Roman"/>
          <w:sz w:val="24"/>
          <w:szCs w:val="21"/>
          <w:u w:val="single"/>
        </w:rPr>
        <w:t>，引入一套RCO催化燃烧装置处理后通过15m高排气筒（DA001）排放。</w:t>
      </w:r>
    </w:p>
    <w:p w14:paraId="5DB2EB98">
      <w:pPr>
        <w:pStyle w:val="48"/>
        <w:spacing w:before="0" w:line="360" w:lineRule="auto"/>
        <w:rPr>
          <w:rFonts w:hint="default" w:ascii="Times New Roman" w:hAnsi="Times New Roman" w:eastAsia="宋体" w:cs="Times New Roman"/>
          <w:bCs/>
          <w:sz w:val="24"/>
          <w:szCs w:val="24"/>
        </w:rPr>
      </w:pPr>
      <w:r>
        <w:rPr>
          <w:rFonts w:hint="default" w:ascii="Times New Roman" w:hAnsi="Times New Roman" w:eastAsia="宋体" w:cs="Times New Roman"/>
          <w:sz w:val="24"/>
          <w:szCs w:val="21"/>
          <w:u w:val="single"/>
        </w:rPr>
        <w:t>废塑料包装容器、废金属包装容器及废金属机油滤芯在去残液以及综合利用过程中产生的VOCs（含苯、甲苯、二甲苯）收集（</w:t>
      </w:r>
      <w:r>
        <w:rPr>
          <w:rFonts w:hint="default" w:ascii="Times New Roman" w:hAnsi="Times New Roman" w:eastAsia="宋体" w:cs="Times New Roman"/>
          <w:sz w:val="24"/>
          <w:szCs w:val="21"/>
          <w:u w:val="single"/>
          <w:lang w:val="en-US" w:eastAsia="zh-CN"/>
        </w:rPr>
        <w:t>总的</w:t>
      </w:r>
      <w:r>
        <w:rPr>
          <w:rFonts w:hint="default" w:ascii="Times New Roman" w:hAnsi="Times New Roman" w:eastAsia="宋体" w:cs="Times New Roman"/>
          <w:sz w:val="24"/>
          <w:szCs w:val="21"/>
          <w:u w:val="single"/>
        </w:rPr>
        <w:t>集气风量</w:t>
      </w:r>
      <w:r>
        <w:rPr>
          <w:rFonts w:hint="default" w:ascii="Times New Roman" w:hAnsi="Times New Roman" w:eastAsia="宋体" w:cs="Times New Roman"/>
          <w:sz w:val="24"/>
          <w:szCs w:val="21"/>
          <w:u w:val="single"/>
          <w:lang w:val="en-US" w:eastAsia="zh-CN"/>
        </w:rPr>
        <w:t>2</w:t>
      </w:r>
      <w:r>
        <w:rPr>
          <w:rFonts w:hint="default" w:ascii="Times New Roman" w:hAnsi="Times New Roman" w:eastAsia="宋体" w:cs="Times New Roman"/>
          <w:sz w:val="24"/>
          <w:szCs w:val="21"/>
          <w:u w:val="single"/>
        </w:rPr>
        <w:t>0000m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/h，收集效率为95%</w:t>
      </w:r>
      <w:r>
        <w:rPr>
          <w:rFonts w:hint="default" w:ascii="Times New Roman" w:hAnsi="Times New Roman" w:eastAsia="宋体" w:cs="Times New Roman"/>
          <w:sz w:val="24"/>
          <w:szCs w:val="21"/>
          <w:u w:val="single"/>
          <w:lang w:eastAsia="zh-CN"/>
        </w:rPr>
        <w:t>，换气次数60次/h</w:t>
      </w: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经负压</w:t>
      </w:r>
      <w:r>
        <w:rPr>
          <w:rFonts w:hint="default" w:ascii="Times New Roman" w:hAnsi="Times New Roman" w:eastAsia="宋体" w:cs="Times New Roman"/>
          <w:sz w:val="24"/>
          <w:szCs w:val="21"/>
          <w:u w:val="single"/>
        </w:rPr>
        <w:t>收集后由一套RCO催化燃烧装置（处理效率保守取值95%</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RCO之前需加装强制冷凝装置用于去除废气中的水雾</w:t>
      </w:r>
      <w:r>
        <w:rPr>
          <w:rFonts w:hint="default" w:ascii="Times New Roman" w:hAnsi="Times New Roman" w:eastAsia="宋体" w:cs="Times New Roman"/>
          <w:sz w:val="24"/>
          <w:szCs w:val="21"/>
          <w:u w:val="single"/>
        </w:rPr>
        <w:t>）处理，最后通过15m高排气筒（DA001）排放，则项目危险废物综合利用区的VOCs有组织排放量为1.54t/a（0.29kg/h），排放浓度为4.9mg/m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，其中苯、甲苯和二甲苯的有组织排放量均为0.0462t/a（0.0087kg/h）、排放浓度均为0.15mg/m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。VOCs</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kern w:val="0"/>
          <w:sz w:val="24"/>
          <w:u w:val="single"/>
        </w:rPr>
        <w:t>苯、甲苯、二甲苯的排放浓度和排放速率均满足《大气污染物综合排放标准》（GB16297-1996）表2标准</w:t>
      </w:r>
      <w:r>
        <w:rPr>
          <w:rFonts w:hint="default" w:ascii="Times New Roman" w:hAnsi="Times New Roman" w:eastAsia="宋体" w:cs="Times New Roman"/>
          <w:kern w:val="0"/>
          <w:sz w:val="24"/>
          <w:szCs w:val="24"/>
          <w:u w:val="single"/>
        </w:rPr>
        <w:t>，污染物可实现达标排放</w:t>
      </w:r>
      <w:r>
        <w:rPr>
          <w:rFonts w:hint="default" w:ascii="Times New Roman" w:hAnsi="Times New Roman" w:eastAsia="宋体" w:cs="Times New Roman"/>
          <w:bCs/>
          <w:sz w:val="24"/>
          <w:szCs w:val="24"/>
          <w:u w:val="single"/>
        </w:rPr>
        <w:t>。</w:t>
      </w:r>
    </w:p>
    <w:p w14:paraId="15FC6E84">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bCs/>
          <w:sz w:val="24"/>
          <w:szCs w:val="24"/>
        </w:rPr>
        <w:t>针对危险废物暂存库，项目方拟沿用现有项目的</w:t>
      </w:r>
      <w:r>
        <w:rPr>
          <w:rFonts w:hint="default" w:ascii="Times New Roman" w:hAnsi="Times New Roman" w:eastAsia="宋体" w:cs="Times New Roman"/>
          <w:bCs/>
          <w:sz w:val="24"/>
          <w:szCs w:val="24"/>
          <w:lang w:val="en-US" w:eastAsia="zh-CN"/>
        </w:rPr>
        <w:t>废气</w:t>
      </w:r>
      <w:r>
        <w:rPr>
          <w:rFonts w:hint="default" w:ascii="Times New Roman" w:hAnsi="Times New Roman" w:eastAsia="宋体" w:cs="Times New Roman"/>
          <w:bCs/>
          <w:sz w:val="24"/>
          <w:szCs w:val="24"/>
        </w:rPr>
        <w:t>收集</w:t>
      </w:r>
      <w:r>
        <w:rPr>
          <w:rFonts w:hint="default" w:ascii="Times New Roman" w:hAnsi="Times New Roman" w:eastAsia="宋体" w:cs="Times New Roman"/>
          <w:bCs/>
          <w:sz w:val="24"/>
          <w:szCs w:val="24"/>
          <w:lang w:val="en-US" w:eastAsia="zh-CN"/>
        </w:rPr>
        <w:t>和</w:t>
      </w:r>
      <w:r>
        <w:rPr>
          <w:rFonts w:hint="default" w:ascii="Times New Roman" w:hAnsi="Times New Roman" w:eastAsia="宋体" w:cs="Times New Roman"/>
          <w:bCs/>
          <w:sz w:val="24"/>
          <w:szCs w:val="24"/>
        </w:rPr>
        <w:t>处理方式，将废矿物油贮存区产生的非甲烷总烃通过加强储罐、管线的密封控制大小呼吸量，以减少废气的产生排放</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rPr>
        <w:t>在其他危废暂存区</w:t>
      </w:r>
      <w:r>
        <w:rPr>
          <w:rFonts w:hint="default" w:ascii="Times New Roman" w:hAnsi="Times New Roman" w:eastAsia="宋体" w:cs="Times New Roman"/>
          <w:bCs/>
          <w:sz w:val="24"/>
          <w:szCs w:val="24"/>
          <w:lang w:eastAsia="zh-CN"/>
        </w:rPr>
        <w:t>，</w:t>
      </w:r>
      <w:r>
        <w:rPr>
          <w:rFonts w:hint="default" w:ascii="Times New Roman" w:hAnsi="Times New Roman" w:eastAsia="宋体" w:cs="Times New Roman"/>
          <w:bCs/>
          <w:sz w:val="24"/>
          <w:szCs w:val="24"/>
          <w:lang w:val="en-US" w:eastAsia="zh-CN"/>
        </w:rPr>
        <w:t>在所有产生废气（VOCs+酸雾）的危废贮存隔间（HW06/HW12/HW13/HW31/HW34/HW35/HW49）顶部密闭设负压集气收集，</w:t>
      </w:r>
      <w:r>
        <w:rPr>
          <w:rFonts w:hint="default" w:ascii="Times New Roman" w:hAnsi="Times New Roman" w:eastAsia="宋体" w:cs="Times New Roman"/>
          <w:bCs/>
          <w:sz w:val="24"/>
          <w:szCs w:val="24"/>
        </w:rPr>
        <w:t>危废暂存区</w:t>
      </w:r>
      <w:r>
        <w:rPr>
          <w:rFonts w:hint="default" w:ascii="Times New Roman" w:hAnsi="Times New Roman" w:eastAsia="宋体" w:cs="Times New Roman"/>
          <w:bCs/>
          <w:sz w:val="24"/>
          <w:szCs w:val="24"/>
          <w:lang w:val="en-US" w:eastAsia="zh-CN"/>
        </w:rPr>
        <w:t>的其他种类危废暂存隔间上方设置集气罩进行收集，收集后的废气汇入废气主管道</w:t>
      </w:r>
      <w:r>
        <w:rPr>
          <w:rFonts w:hint="default" w:ascii="Times New Roman" w:hAnsi="Times New Roman" w:eastAsia="宋体" w:cs="Times New Roman"/>
          <w:bCs/>
          <w:sz w:val="24"/>
          <w:szCs w:val="24"/>
        </w:rPr>
        <w:t>（风机</w:t>
      </w:r>
      <w:r>
        <w:rPr>
          <w:rFonts w:hint="default" w:ascii="Times New Roman" w:hAnsi="Times New Roman" w:eastAsia="宋体" w:cs="Times New Roman"/>
          <w:bCs/>
          <w:sz w:val="24"/>
          <w:szCs w:val="24"/>
          <w:lang w:val="en-US" w:eastAsia="zh-CN"/>
        </w:rPr>
        <w:t>集气</w:t>
      </w:r>
      <w:r>
        <w:rPr>
          <w:rFonts w:hint="default" w:ascii="Times New Roman" w:hAnsi="Times New Roman" w:eastAsia="宋体" w:cs="Times New Roman"/>
          <w:bCs/>
          <w:sz w:val="24"/>
          <w:szCs w:val="24"/>
        </w:rPr>
        <w:t>总风量10000m</w:t>
      </w:r>
      <w:r>
        <w:rPr>
          <w:rFonts w:hint="default" w:ascii="Times New Roman" w:hAnsi="Times New Roman" w:eastAsia="宋体" w:cs="Times New Roman"/>
          <w:bCs/>
          <w:sz w:val="24"/>
          <w:szCs w:val="24"/>
          <w:vertAlign w:val="superscript"/>
        </w:rPr>
        <w:t>3</w:t>
      </w:r>
      <w:r>
        <w:rPr>
          <w:rFonts w:hint="default" w:ascii="Times New Roman" w:hAnsi="Times New Roman" w:eastAsia="宋体" w:cs="Times New Roman"/>
          <w:bCs/>
          <w:sz w:val="24"/>
          <w:szCs w:val="24"/>
        </w:rPr>
        <w:t>/h），将产生的VOCs收集后通过UV光解+活性炭吸附装置处理后通过15m排气筒（DA002）排放，</w:t>
      </w:r>
      <w:r>
        <w:rPr>
          <w:rFonts w:hint="default" w:ascii="Times New Roman" w:hAnsi="Times New Roman" w:eastAsia="宋体" w:cs="Times New Roman"/>
          <w:sz w:val="24"/>
          <w:szCs w:val="21"/>
        </w:rPr>
        <w:t>VOCs有组织排放量为0.1314t/a（0.017kg/h），排放浓度为1.5mg/m</w:t>
      </w:r>
      <w:r>
        <w:rPr>
          <w:rFonts w:hint="default" w:ascii="Times New Roman" w:hAnsi="Times New Roman" w:eastAsia="宋体" w:cs="Times New Roman"/>
          <w:sz w:val="24"/>
          <w:szCs w:val="21"/>
          <w:vertAlign w:val="superscript"/>
        </w:rPr>
        <w:t>3</w:t>
      </w:r>
      <w:r>
        <w:rPr>
          <w:rFonts w:hint="default" w:ascii="Times New Roman" w:hAnsi="Times New Roman" w:eastAsia="宋体" w:cs="Times New Roman"/>
          <w:bCs/>
          <w:sz w:val="24"/>
          <w:szCs w:val="24"/>
        </w:rPr>
        <w:t>，</w:t>
      </w:r>
      <w:r>
        <w:rPr>
          <w:rFonts w:hint="default" w:ascii="Times New Roman" w:hAnsi="Times New Roman" w:eastAsia="宋体" w:cs="Times New Roman"/>
          <w:sz w:val="24"/>
          <w:szCs w:val="21"/>
        </w:rPr>
        <w:t>VOCs</w:t>
      </w:r>
      <w:r>
        <w:rPr>
          <w:rFonts w:hint="default" w:ascii="Times New Roman" w:hAnsi="Times New Roman" w:eastAsia="宋体" w:cs="Times New Roman"/>
          <w:sz w:val="24"/>
          <w:szCs w:val="21"/>
          <w:lang w:eastAsia="zh-CN"/>
        </w:rPr>
        <w:t>、</w:t>
      </w:r>
      <w:r>
        <w:rPr>
          <w:rFonts w:hint="default" w:ascii="Times New Roman" w:hAnsi="Times New Roman" w:eastAsia="宋体" w:cs="Times New Roman"/>
          <w:kern w:val="0"/>
          <w:sz w:val="24"/>
          <w:lang w:val="en-US" w:eastAsia="zh-CN"/>
        </w:rPr>
        <w:t>硫酸雾</w:t>
      </w:r>
      <w:r>
        <w:rPr>
          <w:rFonts w:hint="default" w:ascii="Times New Roman" w:hAnsi="Times New Roman" w:eastAsia="宋体" w:cs="Times New Roman"/>
          <w:kern w:val="0"/>
          <w:sz w:val="24"/>
        </w:rPr>
        <w:t>的排放浓度和排放速率均满足《大气污染物综合排放标准》（GB16297-1996）表2标准</w:t>
      </w:r>
      <w:r>
        <w:rPr>
          <w:rFonts w:hint="default" w:ascii="Times New Roman" w:hAnsi="Times New Roman" w:eastAsia="宋体" w:cs="Times New Roman"/>
          <w:kern w:val="0"/>
          <w:sz w:val="24"/>
          <w:szCs w:val="24"/>
        </w:rPr>
        <w:t>，污染物可实现达标排放</w:t>
      </w:r>
      <w:r>
        <w:rPr>
          <w:rFonts w:hint="default" w:ascii="Times New Roman" w:hAnsi="Times New Roman" w:eastAsia="宋体" w:cs="Times New Roman"/>
          <w:bCs/>
          <w:sz w:val="24"/>
          <w:szCs w:val="24"/>
        </w:rPr>
        <w:t>。</w:t>
      </w:r>
    </w:p>
    <w:p w14:paraId="2F3AA70C">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另外，对照《排污许可证申请与核发技术规范 工业固体废物和危险废物治理》（HJ 1033—2019）中“表C.2 危险废物（不含医疗废物）利用排污单位废气治理可行技术参考表”</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针对贮存单元未给出措施要求，针对废包装容器清洗的分选、清洗工序为给出有机废气的措施要求</w:t>
      </w: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而</w:t>
      </w:r>
      <w:r>
        <w:rPr>
          <w:rFonts w:hint="default" w:ascii="Times New Roman" w:hAnsi="Times New Roman" w:eastAsia="宋体" w:cs="Times New Roman"/>
          <w:sz w:val="24"/>
          <w:szCs w:val="21"/>
          <w:u w:val="single"/>
        </w:rPr>
        <w:t>本项目</w:t>
      </w:r>
      <w:r>
        <w:rPr>
          <w:rFonts w:hint="default" w:ascii="Times New Roman" w:hAnsi="Times New Roman" w:eastAsia="宋体" w:cs="Times New Roman"/>
          <w:sz w:val="24"/>
          <w:szCs w:val="21"/>
          <w:u w:val="single"/>
          <w:lang w:val="en-US" w:eastAsia="zh-CN"/>
        </w:rPr>
        <w:t>针对贮存单元和分选、清洗等单元</w:t>
      </w:r>
      <w:r>
        <w:rPr>
          <w:rFonts w:hint="default" w:ascii="Times New Roman" w:hAnsi="Times New Roman" w:eastAsia="宋体" w:cs="Times New Roman"/>
          <w:sz w:val="24"/>
          <w:szCs w:val="21"/>
          <w:u w:val="single"/>
        </w:rPr>
        <w:t>拟采取</w:t>
      </w:r>
      <w:r>
        <w:rPr>
          <w:rFonts w:hint="default" w:ascii="Times New Roman" w:hAnsi="Times New Roman" w:eastAsia="宋体" w:cs="Times New Roman"/>
          <w:sz w:val="24"/>
          <w:szCs w:val="21"/>
          <w:u w:val="single"/>
          <w:lang w:eastAsia="zh-CN"/>
        </w:rPr>
        <w:t>了</w:t>
      </w:r>
      <w:r>
        <w:rPr>
          <w:rFonts w:hint="default" w:ascii="Times New Roman" w:hAnsi="Times New Roman" w:eastAsia="宋体" w:cs="Times New Roman"/>
          <w:sz w:val="24"/>
          <w:szCs w:val="21"/>
          <w:u w:val="single"/>
          <w:lang w:val="en-US" w:eastAsia="zh-CN"/>
        </w:rPr>
        <w:t>UV+</w:t>
      </w:r>
      <w:r>
        <w:rPr>
          <w:rFonts w:hint="default" w:ascii="Times New Roman" w:hAnsi="Times New Roman" w:eastAsia="宋体" w:cs="Times New Roman"/>
          <w:sz w:val="24"/>
          <w:szCs w:val="21"/>
          <w:u w:val="single"/>
        </w:rPr>
        <w:t>活性炭吸附</w:t>
      </w:r>
      <w:r>
        <w:rPr>
          <w:rFonts w:hint="default" w:ascii="Times New Roman" w:hAnsi="Times New Roman" w:eastAsia="宋体" w:cs="Times New Roman"/>
          <w:sz w:val="24"/>
          <w:szCs w:val="21"/>
          <w:u w:val="single"/>
          <w:lang w:val="en-US" w:eastAsia="zh-CN"/>
        </w:rPr>
        <w:t>以及RCO</w:t>
      </w:r>
      <w:r>
        <w:rPr>
          <w:rFonts w:hint="default" w:ascii="Times New Roman" w:hAnsi="Times New Roman" w:eastAsia="宋体" w:cs="Times New Roman"/>
          <w:sz w:val="24"/>
          <w:szCs w:val="21"/>
          <w:u w:val="single"/>
        </w:rPr>
        <w:t>催化燃烧法</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优于</w:t>
      </w:r>
      <w:r>
        <w:rPr>
          <w:rFonts w:hint="default" w:ascii="Times New Roman" w:hAnsi="Times New Roman" w:eastAsia="宋体" w:cs="Times New Roman"/>
          <w:sz w:val="24"/>
          <w:szCs w:val="21"/>
          <w:u w:val="single"/>
        </w:rPr>
        <w:t>HJ 1033—2019</w:t>
      </w:r>
      <w:r>
        <w:rPr>
          <w:rFonts w:hint="default" w:ascii="Times New Roman" w:hAnsi="Times New Roman" w:eastAsia="宋体" w:cs="Times New Roman"/>
          <w:sz w:val="24"/>
          <w:szCs w:val="21"/>
          <w:u w:val="single"/>
          <w:lang w:val="en-US" w:eastAsia="zh-CN"/>
        </w:rPr>
        <w:t>所给出的可行技术参考表，因此项目所采取的以上治理方案</w:t>
      </w:r>
      <w:r>
        <w:rPr>
          <w:rFonts w:hint="default" w:ascii="Times New Roman" w:hAnsi="Times New Roman" w:eastAsia="宋体" w:cs="Times New Roman"/>
          <w:sz w:val="24"/>
          <w:szCs w:val="21"/>
          <w:u w:val="single"/>
        </w:rPr>
        <w:t>属于挥发性有机物的可行技术。</w:t>
      </w:r>
    </w:p>
    <w:p w14:paraId="677E199B">
      <w:pPr>
        <w:pStyle w:val="48"/>
        <w:spacing w:before="0" w:line="360" w:lineRule="auto"/>
        <w:ind w:left="0" w:leftChars="0" w:firstLine="0" w:firstLineChars="0"/>
        <w:rPr>
          <w:rFonts w:hint="default" w:ascii="Times New Roman" w:hAnsi="Times New Roman" w:eastAsia="宋体" w:cs="Times New Roman"/>
          <w:sz w:val="24"/>
          <w:szCs w:val="21"/>
          <w:u w:val="single"/>
        </w:rPr>
      </w:pPr>
      <w:r>
        <w:rPr>
          <w:rFonts w:hint="default" w:ascii="Times New Roman" w:hAnsi="Times New Roman" w:eastAsia="宋体" w:cs="Times New Roman"/>
          <w:u w:val="single"/>
        </w:rPr>
        <w:drawing>
          <wp:inline distT="0" distB="0" distL="114300" distR="114300">
            <wp:extent cx="5272405" cy="5216525"/>
            <wp:effectExtent l="0" t="0" r="635" b="10795"/>
            <wp:docPr id="7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6"/>
                    <pic:cNvPicPr>
                      <a:picLocks noChangeAspect="1"/>
                    </pic:cNvPicPr>
                  </pic:nvPicPr>
                  <pic:blipFill>
                    <a:blip r:embed="rId62"/>
                    <a:stretch>
                      <a:fillRect/>
                    </a:stretch>
                  </pic:blipFill>
                  <pic:spPr>
                    <a:xfrm>
                      <a:off x="0" y="0"/>
                      <a:ext cx="5272405" cy="5216525"/>
                    </a:xfrm>
                    <a:prstGeom prst="rect">
                      <a:avLst/>
                    </a:prstGeom>
                    <a:noFill/>
                    <a:ln>
                      <a:noFill/>
                    </a:ln>
                  </pic:spPr>
                </pic:pic>
              </a:graphicData>
            </a:graphic>
          </wp:inline>
        </w:drawing>
      </w:r>
    </w:p>
    <w:p w14:paraId="61062388">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综上所述，本项目产生的</w:t>
      </w:r>
      <w:r>
        <w:rPr>
          <w:rFonts w:hint="default" w:ascii="Times New Roman" w:hAnsi="Times New Roman" w:eastAsia="宋体" w:cs="Times New Roman"/>
          <w:sz w:val="24"/>
          <w:szCs w:val="21"/>
          <w:u w:val="single"/>
          <w:lang w:val="en-US" w:eastAsia="zh-CN"/>
        </w:rPr>
        <w:t>危废再生利用产生的</w:t>
      </w:r>
      <w:r>
        <w:rPr>
          <w:rFonts w:hint="default" w:ascii="Times New Roman" w:hAnsi="Times New Roman" w:eastAsia="宋体" w:cs="Times New Roman"/>
          <w:sz w:val="24"/>
          <w:szCs w:val="21"/>
          <w:u w:val="single"/>
        </w:rPr>
        <w:t>VOCs采用</w:t>
      </w:r>
      <w:r>
        <w:rPr>
          <w:rFonts w:hint="default" w:ascii="Times New Roman" w:hAnsi="Times New Roman" w:eastAsia="宋体" w:cs="Times New Roman"/>
          <w:sz w:val="24"/>
          <w:szCs w:val="21"/>
          <w:u w:val="single"/>
          <w:lang w:val="en-US" w:eastAsia="zh-CN"/>
        </w:rPr>
        <w:t>区域封闭+负压抽吸+RCO</w:t>
      </w:r>
      <w:r>
        <w:rPr>
          <w:rFonts w:hint="default" w:ascii="Times New Roman" w:hAnsi="Times New Roman" w:eastAsia="宋体" w:cs="Times New Roman"/>
          <w:sz w:val="24"/>
          <w:szCs w:val="21"/>
          <w:u w:val="single"/>
        </w:rPr>
        <w:t>催化燃烧法处理后通过15m高排气筒</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DA001</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rPr>
        <w:t>排放</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危废贮存库产生的VOCs和酸雾采用</w:t>
      </w:r>
      <w:r>
        <w:rPr>
          <w:rFonts w:hint="default" w:ascii="Times New Roman" w:hAnsi="Times New Roman" w:eastAsia="宋体" w:cs="Times New Roman"/>
          <w:bCs/>
          <w:sz w:val="24"/>
          <w:szCs w:val="24"/>
          <w:u w:val="single"/>
          <w:lang w:val="en-US" w:eastAsia="zh-CN"/>
        </w:rPr>
        <w:t>+</w:t>
      </w:r>
      <w:r>
        <w:rPr>
          <w:rFonts w:hint="default" w:ascii="Times New Roman" w:hAnsi="Times New Roman" w:eastAsia="宋体" w:cs="Times New Roman"/>
          <w:bCs/>
          <w:sz w:val="24"/>
          <w:szCs w:val="24"/>
          <w:u w:val="single"/>
        </w:rPr>
        <w:t>UV光解+活性炭吸附装置处理后通过15m排气筒（DA002）排放</w:t>
      </w:r>
      <w:r>
        <w:rPr>
          <w:rFonts w:hint="default" w:ascii="Times New Roman" w:hAnsi="Times New Roman" w:eastAsia="宋体" w:cs="Times New Roman"/>
          <w:sz w:val="24"/>
          <w:szCs w:val="21"/>
          <w:u w:val="single"/>
        </w:rPr>
        <w:t>是可行的。</w:t>
      </w:r>
    </w:p>
    <w:p w14:paraId="59ACBB62">
      <w:pPr>
        <w:pStyle w:val="48"/>
        <w:spacing w:before="0" w:line="360" w:lineRule="auto"/>
        <w:rPr>
          <w:rFonts w:hint="default" w:ascii="Times New Roman" w:hAnsi="Times New Roman" w:eastAsia="宋体" w:cs="Times New Roman"/>
          <w:b/>
          <w:bCs/>
          <w:sz w:val="24"/>
          <w:szCs w:val="21"/>
          <w:lang w:val="en-US" w:eastAsia="zh-CN"/>
        </w:rPr>
      </w:pPr>
      <w:r>
        <w:rPr>
          <w:rFonts w:hint="default" w:ascii="Times New Roman" w:hAnsi="Times New Roman" w:eastAsia="宋体" w:cs="Times New Roman"/>
          <w:b/>
          <w:bCs/>
          <w:sz w:val="24"/>
          <w:szCs w:val="21"/>
          <w:lang w:eastAsia="zh-CN"/>
        </w:rPr>
        <w:t>（</w:t>
      </w:r>
      <w:r>
        <w:rPr>
          <w:rFonts w:hint="default" w:ascii="Times New Roman" w:hAnsi="Times New Roman" w:eastAsia="宋体" w:cs="Times New Roman"/>
          <w:b/>
          <w:bCs/>
          <w:sz w:val="24"/>
          <w:szCs w:val="21"/>
          <w:lang w:val="en-US" w:eastAsia="zh-CN"/>
        </w:rPr>
        <w:t>2</w:t>
      </w:r>
      <w:r>
        <w:rPr>
          <w:rFonts w:hint="default" w:ascii="Times New Roman" w:hAnsi="Times New Roman" w:eastAsia="宋体" w:cs="Times New Roman"/>
          <w:b/>
          <w:bCs/>
          <w:sz w:val="24"/>
          <w:szCs w:val="21"/>
          <w:lang w:eastAsia="zh-CN"/>
        </w:rPr>
        <w:t>）</w:t>
      </w:r>
      <w:r>
        <w:rPr>
          <w:rFonts w:hint="default" w:ascii="Times New Roman" w:hAnsi="Times New Roman" w:eastAsia="宋体" w:cs="Times New Roman"/>
          <w:b/>
          <w:bCs/>
          <w:sz w:val="24"/>
          <w:szCs w:val="21"/>
          <w:lang w:val="en-US" w:eastAsia="zh-CN"/>
        </w:rPr>
        <w:t>硫酸雾</w:t>
      </w:r>
    </w:p>
    <w:p w14:paraId="54AE8FFE">
      <w:pPr>
        <w:pStyle w:val="48"/>
        <w:spacing w:before="0" w:line="360" w:lineRule="auto"/>
        <w:rPr>
          <w:rFonts w:hint="default" w:ascii="Times New Roman" w:hAnsi="Times New Roman" w:eastAsia="宋体" w:cs="Times New Roman"/>
          <w:sz w:val="24"/>
          <w:szCs w:val="21"/>
          <w:lang w:val="en-US" w:eastAsia="zh-CN"/>
        </w:rPr>
      </w:pPr>
      <w:r>
        <w:rPr>
          <w:rFonts w:hint="default" w:ascii="Times New Roman" w:hAnsi="Times New Roman" w:eastAsia="宋体" w:cs="Times New Roman"/>
          <w:sz w:val="24"/>
          <w:szCs w:val="21"/>
          <w:lang w:val="en-US" w:eastAsia="zh-CN"/>
        </w:rPr>
        <w:t>项目拟对废铅酸电池贮存区产生的硫酸雾废气进行收集，通过在废电池贮存区上方布设集气罩，将产生的硫酸雾收集后引入“</w:t>
      </w:r>
      <w:r>
        <w:rPr>
          <w:rFonts w:hint="default" w:ascii="Times New Roman" w:hAnsi="Times New Roman" w:eastAsia="宋体" w:cs="Times New Roman"/>
          <w:bCs/>
          <w:sz w:val="24"/>
          <w:szCs w:val="24"/>
        </w:rPr>
        <w:t>UV光解+活性炭吸附</w:t>
      </w:r>
      <w:r>
        <w:rPr>
          <w:rFonts w:hint="default" w:ascii="Times New Roman" w:hAnsi="Times New Roman" w:eastAsia="宋体" w:cs="Times New Roman"/>
          <w:sz w:val="24"/>
          <w:szCs w:val="21"/>
          <w:lang w:val="en-US" w:eastAsia="zh-CN"/>
        </w:rPr>
        <w:t>”处理系统，废气收集后经1根15m高的排气筒（DA002）排放，虽然“</w:t>
      </w:r>
      <w:r>
        <w:rPr>
          <w:rFonts w:hint="default" w:ascii="Times New Roman" w:hAnsi="Times New Roman" w:eastAsia="宋体" w:cs="Times New Roman"/>
          <w:bCs/>
          <w:sz w:val="24"/>
          <w:szCs w:val="24"/>
        </w:rPr>
        <w:t>UV光解+活性炭吸附</w:t>
      </w:r>
      <w:r>
        <w:rPr>
          <w:rFonts w:hint="default" w:ascii="Times New Roman" w:hAnsi="Times New Roman" w:eastAsia="宋体" w:cs="Times New Roman"/>
          <w:sz w:val="24"/>
          <w:szCs w:val="21"/>
          <w:lang w:val="en-US" w:eastAsia="zh-CN"/>
        </w:rPr>
        <w:t>”对硫酸雾无处理效率，但将贮存区产生硫酸雾统一收集排放，提高了贮存区的换气效率，保证了贮存区的良好通风；根据《废铅蓄电池处理污染控制技术规范》（HJ519-2020），废铅蓄电池集中转运点贮存过程中应设有排风换气系统，保证良好通风。本项目废铅蓄电池贮存区所在的车间内设置有排气系统，可保证车间内的良好通风，符合《废铅蓄电池处理污染控制技术规范》（HJ519-2020）中提出的建设要求，因此，本项目针对硫酸雾采取收集后经“UV光解+活性炭吸附”属于可行技术。</w:t>
      </w:r>
    </w:p>
    <w:p w14:paraId="000E8504">
      <w:pPr>
        <w:widowControl/>
        <w:spacing w:line="360" w:lineRule="auto"/>
        <w:ind w:firstLine="480" w:firstLineChars="200"/>
        <w:rPr>
          <w:rFonts w:hint="default" w:ascii="Times New Roman" w:hAnsi="Times New Roman" w:eastAsia="宋体" w:cs="Times New Roman"/>
          <w:b/>
          <w:bCs/>
          <w:sz w:val="24"/>
          <w:szCs w:val="24"/>
          <w:u w:val="single"/>
        </w:rPr>
      </w:pPr>
      <w:r>
        <w:rPr>
          <w:rFonts w:hint="default" w:ascii="Times New Roman" w:hAnsi="Times New Roman" w:eastAsia="宋体" w:cs="Times New Roman"/>
          <w:b/>
          <w:bCs/>
          <w:sz w:val="24"/>
          <w:szCs w:val="24"/>
          <w:u w:val="single"/>
        </w:rPr>
        <w:t>（</w:t>
      </w:r>
      <w:r>
        <w:rPr>
          <w:rFonts w:hint="default" w:ascii="Times New Roman" w:hAnsi="Times New Roman" w:eastAsia="宋体" w:cs="Times New Roman"/>
          <w:b/>
          <w:bCs/>
          <w:sz w:val="24"/>
          <w:szCs w:val="24"/>
          <w:u w:val="single"/>
          <w:lang w:val="en-US" w:eastAsia="zh-CN"/>
        </w:rPr>
        <w:t>3</w:t>
      </w:r>
      <w:r>
        <w:rPr>
          <w:rFonts w:hint="default" w:ascii="Times New Roman" w:hAnsi="Times New Roman" w:eastAsia="宋体" w:cs="Times New Roman"/>
          <w:b/>
          <w:bCs/>
          <w:sz w:val="24"/>
          <w:szCs w:val="24"/>
          <w:u w:val="single"/>
        </w:rPr>
        <w:t>）恶臭</w:t>
      </w:r>
    </w:p>
    <w:p w14:paraId="5599D798">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本项目完成异地搬迁扩建后，产生恶臭的场为危险废物贮存库</w:t>
      </w:r>
      <w:r>
        <w:rPr>
          <w:rFonts w:hint="default" w:ascii="Times New Roman" w:hAnsi="Times New Roman" w:eastAsia="宋体" w:cs="Times New Roman"/>
          <w:sz w:val="24"/>
          <w:szCs w:val="21"/>
          <w:u w:val="single"/>
          <w:lang w:val="en-US" w:eastAsia="zh-CN"/>
        </w:rPr>
        <w:t>和污水处理站</w:t>
      </w:r>
      <w:r>
        <w:rPr>
          <w:rFonts w:hint="default" w:ascii="Times New Roman" w:hAnsi="Times New Roman" w:eastAsia="宋体" w:cs="Times New Roman"/>
          <w:sz w:val="24"/>
          <w:szCs w:val="21"/>
          <w:u w:val="single"/>
        </w:rPr>
        <w:t>。</w:t>
      </w:r>
      <w:r>
        <w:rPr>
          <w:rFonts w:hint="default" w:ascii="Times New Roman" w:hAnsi="Times New Roman" w:eastAsia="宋体" w:cs="Times New Roman"/>
          <w:bCs/>
          <w:sz w:val="24"/>
          <w:szCs w:val="24"/>
          <w:u w:val="single"/>
        </w:rPr>
        <w:t>针对危险废物暂存库，项目方拟沿用现有项目的收集处理方式</w:t>
      </w:r>
      <w:r>
        <w:rPr>
          <w:rFonts w:hint="default" w:ascii="Times New Roman" w:hAnsi="Times New Roman" w:eastAsia="宋体" w:cs="Times New Roman"/>
          <w:bCs/>
          <w:sz w:val="24"/>
          <w:szCs w:val="24"/>
          <w:u w:val="single"/>
          <w:lang w:eastAsia="zh-CN"/>
        </w:rPr>
        <w:t>（</w:t>
      </w:r>
      <w:r>
        <w:rPr>
          <w:rFonts w:hint="default" w:ascii="Times New Roman" w:hAnsi="Times New Roman" w:eastAsia="宋体" w:cs="Times New Roman"/>
          <w:bCs/>
          <w:sz w:val="24"/>
          <w:szCs w:val="24"/>
          <w:u w:val="single"/>
          <w:lang w:val="en-US" w:eastAsia="zh-CN"/>
        </w:rPr>
        <w:t>同上</w:t>
      </w:r>
      <w:r>
        <w:rPr>
          <w:rFonts w:hint="default" w:ascii="Times New Roman" w:hAnsi="Times New Roman" w:eastAsia="宋体" w:cs="Times New Roman"/>
          <w:bCs/>
          <w:sz w:val="24"/>
          <w:szCs w:val="24"/>
          <w:u w:val="single"/>
          <w:lang w:eastAsia="zh-CN"/>
        </w:rPr>
        <w:t>）</w:t>
      </w:r>
      <w:r>
        <w:rPr>
          <w:rFonts w:hint="default" w:ascii="Times New Roman" w:hAnsi="Times New Roman" w:eastAsia="宋体" w:cs="Times New Roman"/>
          <w:bCs/>
          <w:sz w:val="24"/>
          <w:szCs w:val="24"/>
          <w:u w:val="single"/>
        </w:rPr>
        <w:t>，将产生的恶臭收集后通过UV光解+活性炭吸附装置处理后通过15m排气筒（DA002）排放，</w:t>
      </w:r>
      <w:r>
        <w:rPr>
          <w:rFonts w:hint="default" w:ascii="Times New Roman" w:hAnsi="Times New Roman" w:eastAsia="宋体" w:cs="Times New Roman"/>
          <w:sz w:val="24"/>
          <w:szCs w:val="21"/>
          <w:u w:val="single"/>
        </w:rPr>
        <w:t>恶臭气体有组织</w:t>
      </w:r>
      <w:r>
        <w:rPr>
          <w:rFonts w:hint="default" w:ascii="Times New Roman" w:hAnsi="Times New Roman" w:eastAsia="宋体" w:cs="Times New Roman"/>
          <w:sz w:val="24"/>
          <w:szCs w:val="21"/>
          <w:u w:val="single"/>
          <w:lang w:eastAsia="zh-CN"/>
        </w:rPr>
        <w:t>排放量为</w:t>
      </w:r>
      <w:r>
        <w:rPr>
          <w:rFonts w:hint="default" w:ascii="Times New Roman" w:hAnsi="Times New Roman" w:eastAsia="宋体" w:cs="Times New Roman"/>
          <w:sz w:val="24"/>
          <w:szCs w:val="21"/>
          <w:u w:val="single"/>
        </w:rPr>
        <w:t>NH</w:t>
      </w:r>
      <w:r>
        <w:rPr>
          <w:rFonts w:hint="default" w:ascii="Times New Roman" w:hAnsi="Times New Roman" w:eastAsia="宋体" w:cs="Times New Roman"/>
          <w:sz w:val="24"/>
          <w:szCs w:val="21"/>
          <w:u w:val="single"/>
          <w:vertAlign w:val="subscript"/>
        </w:rPr>
        <w:t>3</w:t>
      </w:r>
      <w:r>
        <w:rPr>
          <w:rFonts w:hint="default" w:ascii="Times New Roman" w:hAnsi="Times New Roman" w:eastAsia="宋体" w:cs="Times New Roman"/>
          <w:sz w:val="24"/>
          <w:szCs w:val="21"/>
          <w:u w:val="single"/>
        </w:rPr>
        <w:t>：0.000038kg/h、0.0001t/a，H</w:t>
      </w:r>
      <w:r>
        <w:rPr>
          <w:rFonts w:hint="default" w:ascii="Times New Roman" w:hAnsi="Times New Roman" w:eastAsia="宋体" w:cs="Times New Roman"/>
          <w:sz w:val="24"/>
          <w:szCs w:val="21"/>
          <w:u w:val="single"/>
          <w:vertAlign w:val="subscript"/>
        </w:rPr>
        <w:t>2</w:t>
      </w:r>
      <w:r>
        <w:rPr>
          <w:rFonts w:hint="default" w:ascii="Times New Roman" w:hAnsi="Times New Roman" w:eastAsia="宋体" w:cs="Times New Roman"/>
          <w:sz w:val="24"/>
          <w:szCs w:val="21"/>
          <w:u w:val="single"/>
        </w:rPr>
        <w:t>S：0.0003t/a、0.00011kg/h，恶臭污染物的排放浓度及排放速率均满足《恶臭污染物排放标准》（GB14554-93）中二级新改扩的限值要求，可实现达标排放。</w:t>
      </w:r>
    </w:p>
    <w:p w14:paraId="63E06126">
      <w:pPr>
        <w:pStyle w:val="48"/>
        <w:spacing w:before="0" w:line="360" w:lineRule="auto"/>
        <w:rPr>
          <w:rFonts w:hint="default" w:ascii="Times New Roman" w:hAnsi="Times New Roman" w:eastAsia="宋体" w:cs="Times New Roman"/>
          <w:sz w:val="24"/>
          <w:szCs w:val="21"/>
          <w:u w:val="single"/>
          <w:lang w:val="en-US" w:eastAsia="zh-CN"/>
        </w:rPr>
      </w:pPr>
      <w:r>
        <w:rPr>
          <w:rFonts w:hint="default" w:ascii="Times New Roman" w:hAnsi="Times New Roman" w:eastAsia="宋体" w:cs="Times New Roman"/>
          <w:sz w:val="24"/>
          <w:szCs w:val="21"/>
          <w:u w:val="single"/>
          <w:lang w:val="en-US" w:eastAsia="zh-CN"/>
        </w:rPr>
        <w:t>针对项目污水处理站恶臭，污水处理站的异味主要是厌氧单元产生的</w:t>
      </w:r>
      <w:r>
        <w:rPr>
          <w:rFonts w:hint="default" w:ascii="Times New Roman" w:hAnsi="Times New Roman" w:eastAsia="宋体" w:cs="Times New Roman"/>
          <w:sz w:val="24"/>
          <w:szCs w:val="21"/>
          <w:u w:val="single"/>
        </w:rPr>
        <w:t>NH</w:t>
      </w:r>
      <w:r>
        <w:rPr>
          <w:rFonts w:hint="default" w:ascii="Times New Roman" w:hAnsi="Times New Roman" w:eastAsia="宋体" w:cs="Times New Roman"/>
          <w:sz w:val="24"/>
          <w:szCs w:val="21"/>
          <w:u w:val="single"/>
          <w:vertAlign w:val="subscript"/>
        </w:rPr>
        <w:t>3</w:t>
      </w:r>
      <w:r>
        <w:rPr>
          <w:rFonts w:hint="default" w:ascii="Times New Roman" w:hAnsi="Times New Roman" w:eastAsia="宋体" w:cs="Times New Roman"/>
          <w:sz w:val="24"/>
          <w:szCs w:val="21"/>
          <w:u w:val="single"/>
        </w:rPr>
        <w:t>、H</w:t>
      </w:r>
      <w:r>
        <w:rPr>
          <w:rFonts w:hint="default" w:ascii="Times New Roman" w:hAnsi="Times New Roman" w:eastAsia="宋体" w:cs="Times New Roman"/>
          <w:sz w:val="24"/>
          <w:szCs w:val="21"/>
          <w:u w:val="single"/>
          <w:vertAlign w:val="subscript"/>
        </w:rPr>
        <w:t>2</w:t>
      </w:r>
      <w:r>
        <w:rPr>
          <w:rFonts w:hint="default" w:ascii="Times New Roman" w:hAnsi="Times New Roman" w:eastAsia="宋体" w:cs="Times New Roman"/>
          <w:sz w:val="24"/>
          <w:szCs w:val="21"/>
          <w:u w:val="single"/>
        </w:rPr>
        <w:t>S</w:t>
      </w:r>
      <w:r>
        <w:rPr>
          <w:rFonts w:hint="default" w:ascii="Times New Roman" w:hAnsi="Times New Roman" w:eastAsia="宋体" w:cs="Times New Roman"/>
          <w:sz w:val="24"/>
          <w:szCs w:val="21"/>
          <w:u w:val="single"/>
          <w:lang w:val="en-US" w:eastAsia="zh-CN"/>
        </w:rPr>
        <w:t>和臭气浓度，由污染源分析章节可知，污水处理站的恶臭产生量相对较小，排放方式为无组织面源排放，污水处理站拟通过加盖密闭加强周边绿化，以减少恶臭气体的产生及排放量，再随着大气扩散，其到达厂界时的浓度可满足</w:t>
      </w:r>
      <w:r>
        <w:rPr>
          <w:rFonts w:hint="default" w:ascii="Times New Roman" w:hAnsi="Times New Roman" w:eastAsia="宋体" w:cs="Times New Roman"/>
          <w:sz w:val="24"/>
          <w:szCs w:val="21"/>
          <w:u w:val="single"/>
        </w:rPr>
        <w:t>《恶臭污染物排放标准》（GB14554-93）中二级新改扩的限值要求，可实现达标排放</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不会对周边环境造成大的影响。</w:t>
      </w:r>
    </w:p>
    <w:p w14:paraId="1A071139">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综上所述，本项目产生的</w:t>
      </w:r>
      <w:r>
        <w:rPr>
          <w:rFonts w:hint="default" w:ascii="Times New Roman" w:hAnsi="Times New Roman" w:eastAsia="宋体" w:cs="Times New Roman"/>
          <w:sz w:val="24"/>
          <w:szCs w:val="21"/>
          <w:u w:val="single"/>
          <w:lang w:val="en-US" w:eastAsia="zh-CN"/>
        </w:rPr>
        <w:t>恶臭产生环节所采取的措施是可行的，</w:t>
      </w:r>
      <w:r>
        <w:rPr>
          <w:rFonts w:hint="default" w:ascii="Times New Roman" w:hAnsi="Times New Roman" w:eastAsia="宋体" w:cs="Times New Roman"/>
          <w:sz w:val="24"/>
          <w:szCs w:val="21"/>
          <w:u w:val="single"/>
        </w:rPr>
        <w:t>可实现达标排放</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lang w:val="en-US" w:eastAsia="zh-CN"/>
        </w:rPr>
        <w:t>不会对周边环境造成大的影响。</w:t>
      </w:r>
    </w:p>
    <w:p w14:paraId="7D84FC79">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8.1.3排气筒高度可行性分析</w:t>
      </w:r>
    </w:p>
    <w:p w14:paraId="14C02979">
      <w:pPr>
        <w:spacing w:line="360" w:lineRule="auto"/>
        <w:ind w:firstLine="480" w:firstLineChars="200"/>
        <w:rPr>
          <w:rFonts w:hint="default" w:ascii="Times New Roman" w:hAnsi="Times New Roman" w:eastAsia="宋体" w:cs="Times New Roman"/>
          <w:snapToGrid w:val="0"/>
          <w:kern w:val="0"/>
          <w:sz w:val="24"/>
          <w:u w:val="single"/>
        </w:rPr>
      </w:pPr>
      <w:r>
        <w:rPr>
          <w:rFonts w:hint="default" w:ascii="Times New Roman" w:hAnsi="Times New Roman" w:eastAsia="宋体" w:cs="Times New Roman"/>
          <w:snapToGrid w:val="0"/>
          <w:kern w:val="0"/>
          <w:sz w:val="24"/>
          <w:u w:val="single"/>
        </w:rPr>
        <w:t>由于排气筒高度与污染物排放造成的地面浓度及污染影响范围的大小直接相关，因此环评主要依据废气排放影响预测结果和评价区环境空气质量综合评价结论，分析项目设计的排气筒高度的合理性。</w:t>
      </w:r>
    </w:p>
    <w:p w14:paraId="12088E38">
      <w:pPr>
        <w:pStyle w:val="54"/>
        <w:ind w:firstLine="480"/>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为确保排气筒高度的合理可行，评价</w:t>
      </w:r>
      <w:r>
        <w:rPr>
          <w:rFonts w:hint="default" w:ascii="Times New Roman" w:hAnsi="Times New Roman" w:eastAsia="宋体" w:cs="Times New Roman"/>
          <w:szCs w:val="24"/>
          <w:u w:val="single"/>
          <w:lang w:eastAsia="zh-CN"/>
        </w:rPr>
        <w:t>参照</w:t>
      </w:r>
      <w:r>
        <w:rPr>
          <w:rFonts w:hint="default" w:ascii="Times New Roman" w:hAnsi="Times New Roman" w:eastAsia="宋体" w:cs="Times New Roman"/>
          <w:szCs w:val="24"/>
          <w:u w:val="single"/>
        </w:rPr>
        <w:t>《制定地方大气污染物排放标准的技术方法》（GB/T3840-91）中推荐的排放系数法，对排气筒高度进行校核。用下列公式计算出排放系数R，再由《制定地方大气污染物排放标准的技术方法》（GB/T3840－91）中的表4查出其需达到的有效高度。</w:t>
      </w:r>
    </w:p>
    <w:p w14:paraId="64335EFF">
      <w:pPr>
        <w:pStyle w:val="54"/>
        <w:ind w:firstLine="480"/>
        <w:rPr>
          <w:rFonts w:hint="default" w:ascii="Times New Roman" w:hAnsi="Times New Roman" w:eastAsia="宋体" w:cs="Times New Roman"/>
          <w:color w:val="FF0000"/>
          <w:szCs w:val="24"/>
          <w:u w:val="single"/>
        </w:rPr>
      </w:pPr>
      <w:r>
        <w:rPr>
          <w:rFonts w:hint="default" w:ascii="Times New Roman" w:hAnsi="Times New Roman" w:eastAsia="宋体" w:cs="Times New Roman"/>
          <w:color w:val="FF0000"/>
          <w:u w:val="single"/>
          <w:lang w:val="en-US"/>
        </w:rPr>
        <w:drawing>
          <wp:anchor distT="0" distB="0" distL="114300" distR="114300" simplePos="0" relativeHeight="251671552" behindDoc="0" locked="0" layoutInCell="1" allowOverlap="1">
            <wp:simplePos x="0" y="0"/>
            <wp:positionH relativeFrom="column">
              <wp:posOffset>2000250</wp:posOffset>
            </wp:positionH>
            <wp:positionV relativeFrom="paragraph">
              <wp:posOffset>635</wp:posOffset>
            </wp:positionV>
            <wp:extent cx="951230" cy="493395"/>
            <wp:effectExtent l="19050" t="0" r="127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63" cstate="print"/>
                    <a:srcRect/>
                    <a:stretch>
                      <a:fillRect/>
                    </a:stretch>
                  </pic:blipFill>
                  <pic:spPr>
                    <a:xfrm>
                      <a:off x="0" y="0"/>
                      <a:ext cx="951230" cy="493395"/>
                    </a:xfrm>
                    <a:prstGeom prst="rect">
                      <a:avLst/>
                    </a:prstGeom>
                    <a:noFill/>
                    <a:ln w="9525" cmpd="sng">
                      <a:noFill/>
                      <a:miter lim="800000"/>
                      <a:headEnd/>
                      <a:tailEnd/>
                    </a:ln>
                  </pic:spPr>
                </pic:pic>
              </a:graphicData>
            </a:graphic>
          </wp:anchor>
        </w:drawing>
      </w:r>
    </w:p>
    <w:p w14:paraId="6C161337">
      <w:pPr>
        <w:pStyle w:val="54"/>
        <w:ind w:firstLine="480"/>
        <w:rPr>
          <w:rFonts w:hint="default" w:ascii="Times New Roman" w:hAnsi="Times New Roman" w:eastAsia="宋体" w:cs="Times New Roman"/>
          <w:color w:val="FF0000"/>
          <w:szCs w:val="24"/>
          <w:u w:val="single"/>
        </w:rPr>
      </w:pPr>
    </w:p>
    <w:p w14:paraId="6F5ED189">
      <w:pPr>
        <w:autoSpaceDE w:val="0"/>
        <w:autoSpaceDN w:val="0"/>
        <w:spacing w:line="360" w:lineRule="auto"/>
        <w:ind w:firstLine="480" w:firstLineChars="200"/>
        <w:jc w:val="left"/>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式中：Q——排气筒允许排放率，kg/h；</w:t>
      </w:r>
    </w:p>
    <w:p w14:paraId="47F220BA">
      <w:pPr>
        <w:autoSpaceDE w:val="0"/>
        <w:autoSpaceDN w:val="0"/>
        <w:spacing w:line="360" w:lineRule="auto"/>
        <w:ind w:firstLine="1200" w:firstLineChars="500"/>
        <w:jc w:val="left"/>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R——排放系数，无因次；</w:t>
      </w:r>
    </w:p>
    <w:p w14:paraId="577F05AE">
      <w:pPr>
        <w:autoSpaceDE w:val="0"/>
        <w:autoSpaceDN w:val="0"/>
        <w:spacing w:line="360" w:lineRule="auto"/>
        <w:ind w:firstLine="1200" w:firstLineChars="500"/>
        <w:jc w:val="left"/>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C</w:t>
      </w:r>
      <w:r>
        <w:rPr>
          <w:rFonts w:hint="default" w:ascii="Times New Roman" w:hAnsi="Times New Roman" w:eastAsia="宋体" w:cs="Times New Roman"/>
          <w:kern w:val="0"/>
          <w:sz w:val="24"/>
          <w:u w:val="single"/>
          <w:vertAlign w:val="subscript"/>
        </w:rPr>
        <w:t>m</w:t>
      </w:r>
      <w:r>
        <w:rPr>
          <w:rFonts w:hint="default" w:ascii="Times New Roman" w:hAnsi="Times New Roman" w:eastAsia="宋体" w:cs="Times New Roman"/>
          <w:kern w:val="0"/>
          <w:sz w:val="24"/>
          <w:u w:val="single"/>
        </w:rPr>
        <w:t>——标准浓度，mg/m</w:t>
      </w:r>
      <w:r>
        <w:rPr>
          <w:rFonts w:hint="default" w:ascii="Times New Roman" w:hAnsi="Times New Roman" w:eastAsia="宋体" w:cs="Times New Roman"/>
          <w:kern w:val="0"/>
          <w:sz w:val="24"/>
          <w:u w:val="single"/>
          <w:vertAlign w:val="superscript"/>
        </w:rPr>
        <w:t>3</w:t>
      </w:r>
      <w:r>
        <w:rPr>
          <w:rFonts w:hint="default" w:ascii="Times New Roman" w:hAnsi="Times New Roman" w:eastAsia="宋体" w:cs="Times New Roman"/>
          <w:kern w:val="0"/>
          <w:sz w:val="24"/>
          <w:u w:val="single"/>
        </w:rPr>
        <w:t>；</w:t>
      </w:r>
    </w:p>
    <w:p w14:paraId="01CB3706">
      <w:pPr>
        <w:autoSpaceDE w:val="0"/>
        <w:autoSpaceDN w:val="0"/>
        <w:spacing w:line="360" w:lineRule="auto"/>
        <w:ind w:firstLine="1200" w:firstLineChars="500"/>
        <w:jc w:val="left"/>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Ke——地区性经济系数，取值为0.5~1.5，本评价取1.0。</w:t>
      </w:r>
    </w:p>
    <w:p w14:paraId="2DFD666D">
      <w:pPr>
        <w:pStyle w:val="54"/>
        <w:ind w:firstLine="0" w:firstLineChars="0"/>
        <w:jc w:val="center"/>
        <w:rPr>
          <w:rFonts w:hint="default" w:ascii="Times New Roman" w:hAnsi="Times New Roman" w:eastAsia="宋体" w:cs="Times New Roman"/>
          <w:b/>
          <w:sz w:val="21"/>
          <w:szCs w:val="21"/>
          <w:u w:val="single"/>
        </w:rPr>
      </w:pPr>
      <w:r>
        <w:rPr>
          <w:rFonts w:hint="default" w:ascii="Times New Roman" w:hAnsi="Times New Roman" w:eastAsia="宋体" w:cs="Times New Roman"/>
          <w:b/>
          <w:sz w:val="21"/>
          <w:szCs w:val="21"/>
          <w:u w:val="single"/>
        </w:rPr>
        <w:t>表8.1-3 排放系数R排气筒有效高度的关系</w:t>
      </w:r>
    </w:p>
    <w:tbl>
      <w:tblPr>
        <w:tblStyle w:val="32"/>
        <w:tblW w:w="5000"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772"/>
        <w:gridCol w:w="781"/>
        <w:gridCol w:w="775"/>
        <w:gridCol w:w="776"/>
        <w:gridCol w:w="776"/>
        <w:gridCol w:w="776"/>
        <w:gridCol w:w="775"/>
        <w:gridCol w:w="775"/>
        <w:gridCol w:w="776"/>
        <w:gridCol w:w="775"/>
        <w:gridCol w:w="771"/>
      </w:tblGrid>
      <w:tr w14:paraId="613C58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05" w:hRule="atLeast"/>
          <w:jc w:val="center"/>
        </w:trPr>
        <w:tc>
          <w:tcPr>
            <w:tcW w:w="911" w:type="pct"/>
            <w:gridSpan w:val="2"/>
            <w:tcBorders>
              <w:top w:val="single" w:color="000000" w:sz="12" w:space="0"/>
              <w:left w:val="single" w:color="000000" w:sz="12" w:space="0"/>
              <w:bottom w:val="single" w:color="000000" w:sz="6" w:space="0"/>
              <w:right w:val="single" w:color="000000" w:sz="6" w:space="0"/>
            </w:tcBorders>
            <w:vAlign w:val="center"/>
          </w:tcPr>
          <w:p w14:paraId="069F9D7C">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地区序号</w:t>
            </w:r>
            <w:r>
              <w:rPr>
                <w:rFonts w:hint="default" w:ascii="Times New Roman" w:hAnsi="Times New Roman" w:eastAsia="宋体" w:cs="Times New Roman"/>
                <w:b/>
                <w:bCs/>
                <w:kern w:val="0"/>
                <w:szCs w:val="21"/>
                <w:u w:val="single"/>
              </w:rPr>
              <w:t>*</w:t>
            </w:r>
          </w:p>
        </w:tc>
        <w:tc>
          <w:tcPr>
            <w:tcW w:w="1364" w:type="pct"/>
            <w:gridSpan w:val="3"/>
            <w:tcBorders>
              <w:top w:val="single" w:color="000000" w:sz="12" w:space="0"/>
              <w:left w:val="single" w:color="000000" w:sz="6" w:space="0"/>
              <w:bottom w:val="single" w:color="000000" w:sz="6" w:space="0"/>
              <w:right w:val="single" w:color="000000" w:sz="6" w:space="0"/>
            </w:tcBorders>
            <w:vAlign w:val="center"/>
          </w:tcPr>
          <w:p w14:paraId="03AE1FA6">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1、2、3、4、5</w:t>
            </w:r>
          </w:p>
        </w:tc>
        <w:tc>
          <w:tcPr>
            <w:tcW w:w="1363" w:type="pct"/>
            <w:gridSpan w:val="3"/>
            <w:tcBorders>
              <w:top w:val="single" w:color="000000" w:sz="12" w:space="0"/>
              <w:left w:val="single" w:color="000000" w:sz="6" w:space="0"/>
              <w:bottom w:val="single" w:color="000000" w:sz="6" w:space="0"/>
              <w:right w:val="single" w:color="000000" w:sz="6" w:space="0"/>
            </w:tcBorders>
            <w:vAlign w:val="center"/>
          </w:tcPr>
          <w:p w14:paraId="4AFFA97B">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w:t>
            </w:r>
          </w:p>
        </w:tc>
        <w:tc>
          <w:tcPr>
            <w:tcW w:w="1361" w:type="pct"/>
            <w:gridSpan w:val="3"/>
            <w:tcBorders>
              <w:top w:val="single" w:color="000000" w:sz="12" w:space="0"/>
              <w:left w:val="single" w:color="000000" w:sz="6" w:space="0"/>
              <w:bottom w:val="single" w:color="000000" w:sz="6" w:space="0"/>
              <w:right w:val="single" w:color="000000" w:sz="12" w:space="0"/>
            </w:tcBorders>
            <w:vAlign w:val="center"/>
          </w:tcPr>
          <w:p w14:paraId="7454E92F">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7</w:t>
            </w:r>
          </w:p>
        </w:tc>
      </w:tr>
      <w:tr w14:paraId="5557684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911" w:type="pct"/>
            <w:gridSpan w:val="2"/>
            <w:tcBorders>
              <w:top w:val="single" w:color="000000" w:sz="6" w:space="0"/>
              <w:left w:val="single" w:color="000000" w:sz="12" w:space="0"/>
              <w:bottom w:val="single" w:color="000000" w:sz="6" w:space="0"/>
              <w:right w:val="single" w:color="000000" w:sz="6" w:space="0"/>
            </w:tcBorders>
            <w:vAlign w:val="center"/>
          </w:tcPr>
          <w:p w14:paraId="0D434D36">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功能区分类</w:t>
            </w:r>
          </w:p>
        </w:tc>
        <w:tc>
          <w:tcPr>
            <w:tcW w:w="454" w:type="pct"/>
            <w:tcBorders>
              <w:top w:val="single" w:color="000000" w:sz="6" w:space="0"/>
              <w:left w:val="single" w:color="000000" w:sz="6" w:space="0"/>
              <w:bottom w:val="single" w:color="000000" w:sz="6" w:space="0"/>
              <w:right w:val="single" w:color="000000" w:sz="6" w:space="0"/>
            </w:tcBorders>
            <w:vAlign w:val="center"/>
          </w:tcPr>
          <w:p w14:paraId="62BD6571">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一类</w:t>
            </w:r>
          </w:p>
        </w:tc>
        <w:tc>
          <w:tcPr>
            <w:tcW w:w="455" w:type="pct"/>
            <w:tcBorders>
              <w:top w:val="single" w:color="000000" w:sz="6" w:space="0"/>
              <w:left w:val="single" w:color="000000" w:sz="6" w:space="0"/>
              <w:bottom w:val="single" w:color="000000" w:sz="6" w:space="0"/>
              <w:right w:val="single" w:color="000000" w:sz="6" w:space="0"/>
            </w:tcBorders>
            <w:vAlign w:val="center"/>
          </w:tcPr>
          <w:p w14:paraId="55CEBEBB">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二类</w:t>
            </w:r>
          </w:p>
        </w:tc>
        <w:tc>
          <w:tcPr>
            <w:tcW w:w="455" w:type="pct"/>
            <w:tcBorders>
              <w:top w:val="single" w:color="000000" w:sz="6" w:space="0"/>
              <w:left w:val="single" w:color="000000" w:sz="6" w:space="0"/>
              <w:bottom w:val="single" w:color="000000" w:sz="6" w:space="0"/>
              <w:right w:val="single" w:color="000000" w:sz="6" w:space="0"/>
            </w:tcBorders>
            <w:vAlign w:val="center"/>
          </w:tcPr>
          <w:p w14:paraId="783C776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三类</w:t>
            </w:r>
          </w:p>
        </w:tc>
        <w:tc>
          <w:tcPr>
            <w:tcW w:w="455" w:type="pct"/>
            <w:tcBorders>
              <w:top w:val="single" w:color="000000" w:sz="6" w:space="0"/>
              <w:left w:val="single" w:color="000000" w:sz="6" w:space="0"/>
              <w:bottom w:val="single" w:color="000000" w:sz="6" w:space="0"/>
              <w:right w:val="single" w:color="000000" w:sz="6" w:space="0"/>
            </w:tcBorders>
            <w:vAlign w:val="center"/>
          </w:tcPr>
          <w:p w14:paraId="472A5441">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一类</w:t>
            </w:r>
          </w:p>
        </w:tc>
        <w:tc>
          <w:tcPr>
            <w:tcW w:w="454" w:type="pct"/>
            <w:tcBorders>
              <w:top w:val="single" w:color="000000" w:sz="6" w:space="0"/>
              <w:left w:val="single" w:color="000000" w:sz="6" w:space="0"/>
              <w:bottom w:val="single" w:color="000000" w:sz="6" w:space="0"/>
              <w:right w:val="single" w:color="000000" w:sz="6" w:space="0"/>
            </w:tcBorders>
            <w:vAlign w:val="center"/>
          </w:tcPr>
          <w:p w14:paraId="72BF4EA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二类</w:t>
            </w:r>
          </w:p>
        </w:tc>
        <w:tc>
          <w:tcPr>
            <w:tcW w:w="454" w:type="pct"/>
            <w:tcBorders>
              <w:top w:val="single" w:color="000000" w:sz="6" w:space="0"/>
              <w:left w:val="single" w:color="000000" w:sz="6" w:space="0"/>
              <w:bottom w:val="single" w:color="000000" w:sz="6" w:space="0"/>
              <w:right w:val="single" w:color="000000" w:sz="6" w:space="0"/>
            </w:tcBorders>
            <w:vAlign w:val="center"/>
          </w:tcPr>
          <w:p w14:paraId="311FF7A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三类</w:t>
            </w:r>
          </w:p>
        </w:tc>
        <w:tc>
          <w:tcPr>
            <w:tcW w:w="455" w:type="pct"/>
            <w:tcBorders>
              <w:top w:val="single" w:color="000000" w:sz="6" w:space="0"/>
              <w:left w:val="single" w:color="000000" w:sz="6" w:space="0"/>
              <w:bottom w:val="single" w:color="000000" w:sz="6" w:space="0"/>
              <w:right w:val="single" w:color="000000" w:sz="6" w:space="0"/>
            </w:tcBorders>
            <w:vAlign w:val="center"/>
          </w:tcPr>
          <w:p w14:paraId="196E89FD">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一类</w:t>
            </w:r>
          </w:p>
        </w:tc>
        <w:tc>
          <w:tcPr>
            <w:tcW w:w="454" w:type="pct"/>
            <w:tcBorders>
              <w:top w:val="single" w:color="000000" w:sz="6" w:space="0"/>
              <w:left w:val="single" w:color="000000" w:sz="6" w:space="0"/>
              <w:bottom w:val="single" w:color="000000" w:sz="6" w:space="0"/>
              <w:right w:val="single" w:color="000000" w:sz="6" w:space="0"/>
            </w:tcBorders>
            <w:vAlign w:val="center"/>
          </w:tcPr>
          <w:p w14:paraId="05AB85E8">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二类</w:t>
            </w:r>
          </w:p>
        </w:tc>
        <w:tc>
          <w:tcPr>
            <w:tcW w:w="452" w:type="pct"/>
            <w:tcBorders>
              <w:top w:val="single" w:color="000000" w:sz="6" w:space="0"/>
              <w:left w:val="single" w:color="000000" w:sz="6" w:space="0"/>
              <w:bottom w:val="single" w:color="000000" w:sz="6" w:space="0"/>
              <w:right w:val="single" w:color="000000" w:sz="12" w:space="0"/>
            </w:tcBorders>
            <w:vAlign w:val="center"/>
          </w:tcPr>
          <w:p w14:paraId="6A0CAA8B">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三类</w:t>
            </w:r>
          </w:p>
        </w:tc>
      </w:tr>
      <w:tr w14:paraId="4A52E23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restart"/>
            <w:tcBorders>
              <w:top w:val="single" w:color="000000" w:sz="6" w:space="0"/>
              <w:left w:val="single" w:color="000000" w:sz="12" w:space="0"/>
              <w:bottom w:val="single" w:color="000000" w:sz="12" w:space="0"/>
              <w:right w:val="single" w:color="000000" w:sz="6" w:space="0"/>
            </w:tcBorders>
            <w:vAlign w:val="center"/>
          </w:tcPr>
          <w:p w14:paraId="61143A5E">
            <w:pPr>
              <w:keepNext w:val="0"/>
              <w:keepLines w:val="0"/>
              <w:suppressLineNumbers w:val="0"/>
              <w:autoSpaceDE w:val="0"/>
              <w:autoSpaceDN w:val="0"/>
              <w:adjustRightInd w:val="0"/>
              <w:spacing w:before="0" w:beforeAutospacing="0" w:after="0" w:afterAutospacing="0"/>
              <w:ind w:left="0" w:right="0"/>
              <w:jc w:val="center"/>
              <w:rPr>
                <w:rFonts w:hint="default" w:ascii="Times New Roman" w:hAnsi="Times New Roman" w:eastAsia="宋体" w:cs="Times New Roman"/>
                <w:kern w:val="0"/>
                <w:szCs w:val="21"/>
                <w:u w:val="single"/>
              </w:rPr>
            </w:pPr>
            <w:r>
              <w:rPr>
                <w:rFonts w:hint="default" w:ascii="Times New Roman" w:hAnsi="Times New Roman" w:eastAsia="宋体" w:cs="Times New Roman"/>
                <w:kern w:val="0"/>
                <w:szCs w:val="21"/>
                <w:u w:val="single"/>
              </w:rPr>
              <w:t>排气筒有效高度m</w:t>
            </w:r>
          </w:p>
        </w:tc>
        <w:tc>
          <w:tcPr>
            <w:tcW w:w="458" w:type="pct"/>
            <w:tcBorders>
              <w:top w:val="single" w:color="000000" w:sz="6" w:space="0"/>
              <w:left w:val="single" w:color="000000" w:sz="6" w:space="0"/>
              <w:bottom w:val="single" w:color="000000" w:sz="6" w:space="0"/>
              <w:right w:val="single" w:color="000000" w:sz="6" w:space="0"/>
            </w:tcBorders>
            <w:vAlign w:val="center"/>
          </w:tcPr>
          <w:p w14:paraId="11961C45">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15</w:t>
            </w:r>
          </w:p>
        </w:tc>
        <w:tc>
          <w:tcPr>
            <w:tcW w:w="454" w:type="pct"/>
            <w:tcBorders>
              <w:top w:val="single" w:color="000000" w:sz="6" w:space="0"/>
              <w:left w:val="single" w:color="000000" w:sz="6" w:space="0"/>
              <w:bottom w:val="single" w:color="000000" w:sz="6" w:space="0"/>
              <w:right w:val="single" w:color="000000" w:sz="6" w:space="0"/>
            </w:tcBorders>
            <w:vAlign w:val="center"/>
          </w:tcPr>
          <w:p w14:paraId="46298E35">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w:t>
            </w:r>
          </w:p>
        </w:tc>
        <w:tc>
          <w:tcPr>
            <w:tcW w:w="455" w:type="pct"/>
            <w:tcBorders>
              <w:top w:val="single" w:color="000000" w:sz="6" w:space="0"/>
              <w:left w:val="single" w:color="000000" w:sz="6" w:space="0"/>
              <w:bottom w:val="single" w:color="000000" w:sz="6" w:space="0"/>
              <w:right w:val="single" w:color="000000" w:sz="6" w:space="0"/>
            </w:tcBorders>
            <w:vAlign w:val="center"/>
          </w:tcPr>
          <w:p w14:paraId="5916E7EC">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6</w:t>
            </w:r>
          </w:p>
        </w:tc>
        <w:tc>
          <w:tcPr>
            <w:tcW w:w="455" w:type="pct"/>
            <w:tcBorders>
              <w:top w:val="single" w:color="000000" w:sz="6" w:space="0"/>
              <w:left w:val="single" w:color="000000" w:sz="6" w:space="0"/>
              <w:bottom w:val="single" w:color="000000" w:sz="6" w:space="0"/>
              <w:right w:val="single" w:color="000000" w:sz="6" w:space="0"/>
            </w:tcBorders>
            <w:vAlign w:val="center"/>
          </w:tcPr>
          <w:p w14:paraId="298C3FE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9</w:t>
            </w:r>
          </w:p>
        </w:tc>
        <w:tc>
          <w:tcPr>
            <w:tcW w:w="455" w:type="pct"/>
            <w:tcBorders>
              <w:top w:val="single" w:color="000000" w:sz="6" w:space="0"/>
              <w:left w:val="single" w:color="000000" w:sz="6" w:space="0"/>
              <w:bottom w:val="single" w:color="000000" w:sz="6" w:space="0"/>
              <w:right w:val="single" w:color="000000" w:sz="6" w:space="0"/>
            </w:tcBorders>
            <w:vAlign w:val="center"/>
          </w:tcPr>
          <w:p w14:paraId="52FF764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w:t>
            </w:r>
          </w:p>
        </w:tc>
        <w:tc>
          <w:tcPr>
            <w:tcW w:w="454" w:type="pct"/>
            <w:tcBorders>
              <w:top w:val="single" w:color="000000" w:sz="6" w:space="0"/>
              <w:left w:val="single" w:color="000000" w:sz="6" w:space="0"/>
              <w:bottom w:val="single" w:color="000000" w:sz="6" w:space="0"/>
              <w:right w:val="single" w:color="000000" w:sz="6" w:space="0"/>
            </w:tcBorders>
            <w:vAlign w:val="center"/>
          </w:tcPr>
          <w:p w14:paraId="266DBF73">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w:t>
            </w:r>
          </w:p>
        </w:tc>
        <w:tc>
          <w:tcPr>
            <w:tcW w:w="454" w:type="pct"/>
            <w:tcBorders>
              <w:top w:val="single" w:color="000000" w:sz="6" w:space="0"/>
              <w:left w:val="single" w:color="000000" w:sz="6" w:space="0"/>
              <w:bottom w:val="single" w:color="000000" w:sz="6" w:space="0"/>
              <w:right w:val="single" w:color="000000" w:sz="6" w:space="0"/>
            </w:tcBorders>
            <w:vAlign w:val="center"/>
          </w:tcPr>
          <w:p w14:paraId="66DA245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w:t>
            </w:r>
          </w:p>
        </w:tc>
        <w:tc>
          <w:tcPr>
            <w:tcW w:w="455" w:type="pct"/>
            <w:tcBorders>
              <w:top w:val="single" w:color="000000" w:sz="6" w:space="0"/>
              <w:left w:val="single" w:color="000000" w:sz="6" w:space="0"/>
              <w:bottom w:val="single" w:color="000000" w:sz="6" w:space="0"/>
              <w:right w:val="single" w:color="000000" w:sz="6" w:space="0"/>
            </w:tcBorders>
            <w:vAlign w:val="center"/>
          </w:tcPr>
          <w:p w14:paraId="60745D6A">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w:t>
            </w:r>
          </w:p>
        </w:tc>
        <w:tc>
          <w:tcPr>
            <w:tcW w:w="454" w:type="pct"/>
            <w:tcBorders>
              <w:top w:val="single" w:color="000000" w:sz="6" w:space="0"/>
              <w:left w:val="single" w:color="000000" w:sz="6" w:space="0"/>
              <w:bottom w:val="single" w:color="000000" w:sz="6" w:space="0"/>
              <w:right w:val="single" w:color="000000" w:sz="6" w:space="0"/>
            </w:tcBorders>
            <w:vAlign w:val="center"/>
          </w:tcPr>
          <w:p w14:paraId="6E4B2DF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w:t>
            </w:r>
          </w:p>
        </w:tc>
        <w:tc>
          <w:tcPr>
            <w:tcW w:w="452" w:type="pct"/>
            <w:tcBorders>
              <w:top w:val="single" w:color="000000" w:sz="6" w:space="0"/>
              <w:left w:val="single" w:color="000000" w:sz="6" w:space="0"/>
              <w:bottom w:val="single" w:color="000000" w:sz="6" w:space="0"/>
              <w:right w:val="single" w:color="000000" w:sz="12" w:space="0"/>
            </w:tcBorders>
            <w:vAlign w:val="center"/>
          </w:tcPr>
          <w:p w14:paraId="48CA513D">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w:t>
            </w:r>
          </w:p>
        </w:tc>
      </w:tr>
      <w:tr w14:paraId="3F8217A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continue"/>
            <w:tcBorders>
              <w:top w:val="single" w:color="000000" w:sz="6" w:space="0"/>
              <w:left w:val="single" w:color="000000" w:sz="12" w:space="0"/>
              <w:bottom w:val="single" w:color="000000" w:sz="12" w:space="0"/>
              <w:right w:val="single" w:color="000000" w:sz="6" w:space="0"/>
            </w:tcBorders>
            <w:vAlign w:val="center"/>
          </w:tcPr>
          <w:p w14:paraId="34CEF75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458" w:type="pct"/>
            <w:tcBorders>
              <w:top w:val="single" w:color="000000" w:sz="6" w:space="0"/>
              <w:left w:val="single" w:color="000000" w:sz="6" w:space="0"/>
              <w:bottom w:val="single" w:color="000000" w:sz="6" w:space="0"/>
              <w:right w:val="single" w:color="000000" w:sz="6" w:space="0"/>
            </w:tcBorders>
            <w:vAlign w:val="center"/>
          </w:tcPr>
          <w:p w14:paraId="35A5176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20</w:t>
            </w:r>
          </w:p>
        </w:tc>
        <w:tc>
          <w:tcPr>
            <w:tcW w:w="454" w:type="pct"/>
            <w:tcBorders>
              <w:top w:val="single" w:color="000000" w:sz="6" w:space="0"/>
              <w:left w:val="single" w:color="000000" w:sz="6" w:space="0"/>
              <w:bottom w:val="single" w:color="000000" w:sz="6" w:space="0"/>
              <w:right w:val="single" w:color="000000" w:sz="6" w:space="0"/>
            </w:tcBorders>
            <w:vAlign w:val="center"/>
          </w:tcPr>
          <w:p w14:paraId="2D6DA57B">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w:t>
            </w:r>
          </w:p>
        </w:tc>
        <w:tc>
          <w:tcPr>
            <w:tcW w:w="455" w:type="pct"/>
            <w:tcBorders>
              <w:top w:val="single" w:color="000000" w:sz="6" w:space="0"/>
              <w:left w:val="single" w:color="000000" w:sz="6" w:space="0"/>
              <w:bottom w:val="single" w:color="000000" w:sz="6" w:space="0"/>
              <w:right w:val="single" w:color="000000" w:sz="6" w:space="0"/>
            </w:tcBorders>
            <w:vAlign w:val="center"/>
          </w:tcPr>
          <w:p w14:paraId="4B891D66">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12</w:t>
            </w:r>
          </w:p>
        </w:tc>
        <w:tc>
          <w:tcPr>
            <w:tcW w:w="455" w:type="pct"/>
            <w:tcBorders>
              <w:top w:val="single" w:color="000000" w:sz="6" w:space="0"/>
              <w:left w:val="single" w:color="000000" w:sz="6" w:space="0"/>
              <w:bottom w:val="single" w:color="000000" w:sz="6" w:space="0"/>
              <w:right w:val="single" w:color="000000" w:sz="6" w:space="0"/>
            </w:tcBorders>
            <w:vAlign w:val="center"/>
          </w:tcPr>
          <w:p w14:paraId="2749A89C">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18</w:t>
            </w:r>
          </w:p>
        </w:tc>
        <w:tc>
          <w:tcPr>
            <w:tcW w:w="455" w:type="pct"/>
            <w:tcBorders>
              <w:top w:val="single" w:color="000000" w:sz="6" w:space="0"/>
              <w:left w:val="single" w:color="000000" w:sz="6" w:space="0"/>
              <w:bottom w:val="single" w:color="000000" w:sz="6" w:space="0"/>
              <w:right w:val="single" w:color="000000" w:sz="6" w:space="0"/>
            </w:tcBorders>
            <w:vAlign w:val="center"/>
          </w:tcPr>
          <w:p w14:paraId="6BD835C5">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w:t>
            </w:r>
          </w:p>
        </w:tc>
        <w:tc>
          <w:tcPr>
            <w:tcW w:w="454" w:type="pct"/>
            <w:tcBorders>
              <w:top w:val="single" w:color="000000" w:sz="6" w:space="0"/>
              <w:left w:val="single" w:color="000000" w:sz="6" w:space="0"/>
              <w:bottom w:val="single" w:color="000000" w:sz="6" w:space="0"/>
              <w:right w:val="single" w:color="000000" w:sz="6" w:space="0"/>
            </w:tcBorders>
            <w:vAlign w:val="center"/>
          </w:tcPr>
          <w:p w14:paraId="7F00682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8</w:t>
            </w:r>
          </w:p>
        </w:tc>
        <w:tc>
          <w:tcPr>
            <w:tcW w:w="454" w:type="pct"/>
            <w:tcBorders>
              <w:top w:val="single" w:color="000000" w:sz="6" w:space="0"/>
              <w:left w:val="single" w:color="000000" w:sz="6" w:space="0"/>
              <w:bottom w:val="single" w:color="000000" w:sz="6" w:space="0"/>
              <w:right w:val="single" w:color="000000" w:sz="6" w:space="0"/>
            </w:tcBorders>
            <w:vAlign w:val="center"/>
          </w:tcPr>
          <w:p w14:paraId="3F84F3A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12</w:t>
            </w:r>
          </w:p>
        </w:tc>
        <w:tc>
          <w:tcPr>
            <w:tcW w:w="455" w:type="pct"/>
            <w:tcBorders>
              <w:top w:val="single" w:color="000000" w:sz="6" w:space="0"/>
              <w:left w:val="single" w:color="000000" w:sz="6" w:space="0"/>
              <w:bottom w:val="single" w:color="000000" w:sz="6" w:space="0"/>
              <w:right w:val="single" w:color="000000" w:sz="6" w:space="0"/>
            </w:tcBorders>
            <w:vAlign w:val="center"/>
          </w:tcPr>
          <w:p w14:paraId="325F2766">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w:t>
            </w:r>
          </w:p>
        </w:tc>
        <w:tc>
          <w:tcPr>
            <w:tcW w:w="454" w:type="pct"/>
            <w:tcBorders>
              <w:top w:val="single" w:color="000000" w:sz="6" w:space="0"/>
              <w:left w:val="single" w:color="000000" w:sz="6" w:space="0"/>
              <w:bottom w:val="single" w:color="000000" w:sz="6" w:space="0"/>
              <w:right w:val="single" w:color="000000" w:sz="6" w:space="0"/>
            </w:tcBorders>
            <w:vAlign w:val="center"/>
          </w:tcPr>
          <w:p w14:paraId="7996F9C0">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w:t>
            </w:r>
          </w:p>
        </w:tc>
        <w:tc>
          <w:tcPr>
            <w:tcW w:w="452" w:type="pct"/>
            <w:tcBorders>
              <w:top w:val="single" w:color="000000" w:sz="6" w:space="0"/>
              <w:left w:val="single" w:color="000000" w:sz="6" w:space="0"/>
              <w:bottom w:val="single" w:color="000000" w:sz="6" w:space="0"/>
              <w:right w:val="single" w:color="000000" w:sz="12" w:space="0"/>
            </w:tcBorders>
            <w:vAlign w:val="center"/>
          </w:tcPr>
          <w:p w14:paraId="411A7CB8">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w:t>
            </w:r>
          </w:p>
        </w:tc>
      </w:tr>
      <w:tr w14:paraId="5B69493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continue"/>
            <w:tcBorders>
              <w:top w:val="single" w:color="000000" w:sz="6" w:space="0"/>
              <w:left w:val="single" w:color="000000" w:sz="12" w:space="0"/>
              <w:bottom w:val="single" w:color="000000" w:sz="12" w:space="0"/>
              <w:right w:val="single" w:color="000000" w:sz="6" w:space="0"/>
            </w:tcBorders>
            <w:vAlign w:val="center"/>
          </w:tcPr>
          <w:p w14:paraId="3EF0CEF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458" w:type="pct"/>
            <w:tcBorders>
              <w:top w:val="single" w:color="000000" w:sz="6" w:space="0"/>
              <w:left w:val="single" w:color="000000" w:sz="6" w:space="0"/>
              <w:bottom w:val="single" w:color="000000" w:sz="6" w:space="0"/>
              <w:right w:val="single" w:color="000000" w:sz="6" w:space="0"/>
            </w:tcBorders>
            <w:vAlign w:val="center"/>
          </w:tcPr>
          <w:p w14:paraId="6FB76B4C">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30</w:t>
            </w:r>
          </w:p>
        </w:tc>
        <w:tc>
          <w:tcPr>
            <w:tcW w:w="454" w:type="pct"/>
            <w:tcBorders>
              <w:top w:val="single" w:color="000000" w:sz="6" w:space="0"/>
              <w:left w:val="single" w:color="000000" w:sz="6" w:space="0"/>
              <w:bottom w:val="single" w:color="000000" w:sz="6" w:space="0"/>
              <w:right w:val="single" w:color="000000" w:sz="6" w:space="0"/>
            </w:tcBorders>
            <w:vAlign w:val="center"/>
          </w:tcPr>
          <w:p w14:paraId="5C7E992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16</w:t>
            </w:r>
          </w:p>
        </w:tc>
        <w:tc>
          <w:tcPr>
            <w:tcW w:w="455" w:type="pct"/>
            <w:tcBorders>
              <w:top w:val="single" w:color="000000" w:sz="6" w:space="0"/>
              <w:left w:val="single" w:color="000000" w:sz="6" w:space="0"/>
              <w:bottom w:val="single" w:color="000000" w:sz="6" w:space="0"/>
              <w:right w:val="single" w:color="000000" w:sz="6" w:space="0"/>
            </w:tcBorders>
            <w:vAlign w:val="center"/>
          </w:tcPr>
          <w:p w14:paraId="3492105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32</w:t>
            </w:r>
          </w:p>
        </w:tc>
        <w:tc>
          <w:tcPr>
            <w:tcW w:w="455" w:type="pct"/>
            <w:tcBorders>
              <w:top w:val="single" w:color="000000" w:sz="6" w:space="0"/>
              <w:left w:val="single" w:color="000000" w:sz="6" w:space="0"/>
              <w:bottom w:val="single" w:color="000000" w:sz="6" w:space="0"/>
              <w:right w:val="single" w:color="000000" w:sz="6" w:space="0"/>
            </w:tcBorders>
            <w:vAlign w:val="center"/>
          </w:tcPr>
          <w:p w14:paraId="60AB6F71">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48</w:t>
            </w:r>
          </w:p>
        </w:tc>
        <w:tc>
          <w:tcPr>
            <w:tcW w:w="455" w:type="pct"/>
            <w:tcBorders>
              <w:top w:val="single" w:color="000000" w:sz="6" w:space="0"/>
              <w:left w:val="single" w:color="000000" w:sz="6" w:space="0"/>
              <w:bottom w:val="single" w:color="000000" w:sz="6" w:space="0"/>
              <w:right w:val="single" w:color="000000" w:sz="6" w:space="0"/>
            </w:tcBorders>
            <w:vAlign w:val="center"/>
          </w:tcPr>
          <w:p w14:paraId="514AFA0C">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12</w:t>
            </w:r>
          </w:p>
        </w:tc>
        <w:tc>
          <w:tcPr>
            <w:tcW w:w="454" w:type="pct"/>
            <w:tcBorders>
              <w:top w:val="single" w:color="000000" w:sz="6" w:space="0"/>
              <w:left w:val="single" w:color="000000" w:sz="6" w:space="0"/>
              <w:bottom w:val="single" w:color="000000" w:sz="6" w:space="0"/>
              <w:right w:val="single" w:color="000000" w:sz="6" w:space="0"/>
            </w:tcBorders>
            <w:vAlign w:val="center"/>
          </w:tcPr>
          <w:p w14:paraId="63EE09C8">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24</w:t>
            </w:r>
          </w:p>
        </w:tc>
        <w:tc>
          <w:tcPr>
            <w:tcW w:w="454" w:type="pct"/>
            <w:tcBorders>
              <w:top w:val="single" w:color="000000" w:sz="6" w:space="0"/>
              <w:left w:val="single" w:color="000000" w:sz="6" w:space="0"/>
              <w:bottom w:val="single" w:color="000000" w:sz="6" w:space="0"/>
              <w:right w:val="single" w:color="000000" w:sz="6" w:space="0"/>
            </w:tcBorders>
            <w:vAlign w:val="center"/>
          </w:tcPr>
          <w:p w14:paraId="564BF735">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36</w:t>
            </w:r>
          </w:p>
        </w:tc>
        <w:tc>
          <w:tcPr>
            <w:tcW w:w="455" w:type="pct"/>
            <w:tcBorders>
              <w:top w:val="single" w:color="000000" w:sz="6" w:space="0"/>
              <w:left w:val="single" w:color="000000" w:sz="6" w:space="0"/>
              <w:bottom w:val="single" w:color="000000" w:sz="6" w:space="0"/>
              <w:right w:val="single" w:color="000000" w:sz="6" w:space="0"/>
            </w:tcBorders>
            <w:vAlign w:val="center"/>
          </w:tcPr>
          <w:p w14:paraId="55B492D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w:t>
            </w:r>
          </w:p>
        </w:tc>
        <w:tc>
          <w:tcPr>
            <w:tcW w:w="454" w:type="pct"/>
            <w:tcBorders>
              <w:top w:val="single" w:color="000000" w:sz="6" w:space="0"/>
              <w:left w:val="single" w:color="000000" w:sz="6" w:space="0"/>
              <w:bottom w:val="single" w:color="000000" w:sz="6" w:space="0"/>
              <w:right w:val="single" w:color="000000" w:sz="6" w:space="0"/>
            </w:tcBorders>
            <w:vAlign w:val="center"/>
          </w:tcPr>
          <w:p w14:paraId="2E162C0E">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12</w:t>
            </w:r>
          </w:p>
        </w:tc>
        <w:tc>
          <w:tcPr>
            <w:tcW w:w="452" w:type="pct"/>
            <w:tcBorders>
              <w:top w:val="single" w:color="000000" w:sz="6" w:space="0"/>
              <w:left w:val="single" w:color="000000" w:sz="6" w:space="0"/>
              <w:bottom w:val="single" w:color="000000" w:sz="6" w:space="0"/>
              <w:right w:val="single" w:color="000000" w:sz="12" w:space="0"/>
            </w:tcBorders>
            <w:vAlign w:val="center"/>
          </w:tcPr>
          <w:p w14:paraId="70C92BDE">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18</w:t>
            </w:r>
          </w:p>
        </w:tc>
      </w:tr>
      <w:tr w14:paraId="165FEF8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continue"/>
            <w:tcBorders>
              <w:top w:val="single" w:color="000000" w:sz="6" w:space="0"/>
              <w:left w:val="single" w:color="000000" w:sz="12" w:space="0"/>
              <w:bottom w:val="single" w:color="000000" w:sz="12" w:space="0"/>
              <w:right w:val="single" w:color="000000" w:sz="6" w:space="0"/>
            </w:tcBorders>
            <w:vAlign w:val="center"/>
          </w:tcPr>
          <w:p w14:paraId="54725AB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458" w:type="pct"/>
            <w:tcBorders>
              <w:top w:val="single" w:color="000000" w:sz="6" w:space="0"/>
              <w:left w:val="single" w:color="000000" w:sz="6" w:space="0"/>
              <w:bottom w:val="single" w:color="000000" w:sz="6" w:space="0"/>
              <w:right w:val="single" w:color="000000" w:sz="6" w:space="0"/>
            </w:tcBorders>
            <w:vAlign w:val="center"/>
          </w:tcPr>
          <w:p w14:paraId="2B374890">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40</w:t>
            </w:r>
          </w:p>
        </w:tc>
        <w:tc>
          <w:tcPr>
            <w:tcW w:w="454" w:type="pct"/>
            <w:tcBorders>
              <w:top w:val="single" w:color="000000" w:sz="6" w:space="0"/>
              <w:left w:val="single" w:color="000000" w:sz="6" w:space="0"/>
              <w:bottom w:val="single" w:color="000000" w:sz="6" w:space="0"/>
              <w:right w:val="single" w:color="000000" w:sz="6" w:space="0"/>
            </w:tcBorders>
            <w:vAlign w:val="center"/>
          </w:tcPr>
          <w:p w14:paraId="04159B4D">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29</w:t>
            </w:r>
          </w:p>
        </w:tc>
        <w:tc>
          <w:tcPr>
            <w:tcW w:w="455" w:type="pct"/>
            <w:tcBorders>
              <w:top w:val="single" w:color="000000" w:sz="6" w:space="0"/>
              <w:left w:val="single" w:color="000000" w:sz="6" w:space="0"/>
              <w:bottom w:val="single" w:color="000000" w:sz="6" w:space="0"/>
              <w:right w:val="single" w:color="000000" w:sz="6" w:space="0"/>
            </w:tcBorders>
            <w:vAlign w:val="center"/>
          </w:tcPr>
          <w:p w14:paraId="0BF477EB">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58</w:t>
            </w:r>
          </w:p>
        </w:tc>
        <w:tc>
          <w:tcPr>
            <w:tcW w:w="455" w:type="pct"/>
            <w:tcBorders>
              <w:top w:val="single" w:color="000000" w:sz="6" w:space="0"/>
              <w:left w:val="single" w:color="000000" w:sz="6" w:space="0"/>
              <w:bottom w:val="single" w:color="000000" w:sz="6" w:space="0"/>
              <w:right w:val="single" w:color="000000" w:sz="6" w:space="0"/>
            </w:tcBorders>
            <w:vAlign w:val="center"/>
          </w:tcPr>
          <w:p w14:paraId="64FE591F">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87</w:t>
            </w:r>
          </w:p>
        </w:tc>
        <w:tc>
          <w:tcPr>
            <w:tcW w:w="455" w:type="pct"/>
            <w:tcBorders>
              <w:top w:val="single" w:color="000000" w:sz="6" w:space="0"/>
              <w:left w:val="single" w:color="000000" w:sz="6" w:space="0"/>
              <w:bottom w:val="single" w:color="000000" w:sz="6" w:space="0"/>
              <w:right w:val="single" w:color="000000" w:sz="6" w:space="0"/>
            </w:tcBorders>
            <w:vAlign w:val="center"/>
          </w:tcPr>
          <w:p w14:paraId="1FF0629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21</w:t>
            </w:r>
          </w:p>
        </w:tc>
        <w:tc>
          <w:tcPr>
            <w:tcW w:w="454" w:type="pct"/>
            <w:tcBorders>
              <w:top w:val="single" w:color="000000" w:sz="6" w:space="0"/>
              <w:left w:val="single" w:color="000000" w:sz="6" w:space="0"/>
              <w:bottom w:val="single" w:color="000000" w:sz="6" w:space="0"/>
              <w:right w:val="single" w:color="000000" w:sz="6" w:space="0"/>
            </w:tcBorders>
            <w:vAlign w:val="center"/>
          </w:tcPr>
          <w:p w14:paraId="7C6A790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42</w:t>
            </w:r>
          </w:p>
        </w:tc>
        <w:tc>
          <w:tcPr>
            <w:tcW w:w="454" w:type="pct"/>
            <w:tcBorders>
              <w:top w:val="single" w:color="000000" w:sz="6" w:space="0"/>
              <w:left w:val="single" w:color="000000" w:sz="6" w:space="0"/>
              <w:bottom w:val="single" w:color="000000" w:sz="6" w:space="0"/>
              <w:right w:val="single" w:color="000000" w:sz="6" w:space="0"/>
            </w:tcBorders>
            <w:vAlign w:val="center"/>
          </w:tcPr>
          <w:p w14:paraId="381D6CA0">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63</w:t>
            </w:r>
          </w:p>
        </w:tc>
        <w:tc>
          <w:tcPr>
            <w:tcW w:w="455" w:type="pct"/>
            <w:tcBorders>
              <w:top w:val="single" w:color="000000" w:sz="6" w:space="0"/>
              <w:left w:val="single" w:color="000000" w:sz="6" w:space="0"/>
              <w:bottom w:val="single" w:color="000000" w:sz="6" w:space="0"/>
              <w:right w:val="single" w:color="000000" w:sz="6" w:space="0"/>
            </w:tcBorders>
            <w:vAlign w:val="center"/>
          </w:tcPr>
          <w:p w14:paraId="63DD083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11</w:t>
            </w:r>
          </w:p>
        </w:tc>
        <w:tc>
          <w:tcPr>
            <w:tcW w:w="454" w:type="pct"/>
            <w:tcBorders>
              <w:top w:val="single" w:color="000000" w:sz="6" w:space="0"/>
              <w:left w:val="single" w:color="000000" w:sz="6" w:space="0"/>
              <w:bottom w:val="single" w:color="000000" w:sz="6" w:space="0"/>
              <w:right w:val="single" w:color="000000" w:sz="6" w:space="0"/>
            </w:tcBorders>
            <w:vAlign w:val="center"/>
          </w:tcPr>
          <w:p w14:paraId="37988BD6">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22</w:t>
            </w:r>
          </w:p>
        </w:tc>
        <w:tc>
          <w:tcPr>
            <w:tcW w:w="452" w:type="pct"/>
            <w:tcBorders>
              <w:top w:val="single" w:color="000000" w:sz="6" w:space="0"/>
              <w:left w:val="single" w:color="000000" w:sz="6" w:space="0"/>
              <w:bottom w:val="single" w:color="000000" w:sz="6" w:space="0"/>
              <w:right w:val="single" w:color="000000" w:sz="12" w:space="0"/>
            </w:tcBorders>
            <w:vAlign w:val="center"/>
          </w:tcPr>
          <w:p w14:paraId="6AC5F948">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33</w:t>
            </w:r>
          </w:p>
        </w:tc>
      </w:tr>
      <w:tr w14:paraId="158C399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continue"/>
            <w:tcBorders>
              <w:top w:val="single" w:color="000000" w:sz="6" w:space="0"/>
              <w:left w:val="single" w:color="000000" w:sz="12" w:space="0"/>
              <w:bottom w:val="single" w:color="000000" w:sz="12" w:space="0"/>
              <w:right w:val="single" w:color="000000" w:sz="6" w:space="0"/>
            </w:tcBorders>
            <w:vAlign w:val="center"/>
          </w:tcPr>
          <w:p w14:paraId="5DE59B1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458" w:type="pct"/>
            <w:tcBorders>
              <w:top w:val="single" w:color="000000" w:sz="6" w:space="0"/>
              <w:left w:val="single" w:color="000000" w:sz="6" w:space="0"/>
              <w:bottom w:val="single" w:color="000000" w:sz="6" w:space="0"/>
              <w:right w:val="single" w:color="000000" w:sz="6" w:space="0"/>
            </w:tcBorders>
            <w:vAlign w:val="center"/>
          </w:tcPr>
          <w:p w14:paraId="793E166E">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50</w:t>
            </w:r>
          </w:p>
        </w:tc>
        <w:tc>
          <w:tcPr>
            <w:tcW w:w="454" w:type="pct"/>
            <w:tcBorders>
              <w:top w:val="single" w:color="000000" w:sz="6" w:space="0"/>
              <w:left w:val="single" w:color="000000" w:sz="6" w:space="0"/>
              <w:bottom w:val="single" w:color="000000" w:sz="6" w:space="0"/>
              <w:right w:val="single" w:color="000000" w:sz="6" w:space="0"/>
            </w:tcBorders>
            <w:vAlign w:val="center"/>
          </w:tcPr>
          <w:p w14:paraId="75C3BA0F">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45</w:t>
            </w:r>
          </w:p>
        </w:tc>
        <w:tc>
          <w:tcPr>
            <w:tcW w:w="455" w:type="pct"/>
            <w:tcBorders>
              <w:top w:val="single" w:color="000000" w:sz="6" w:space="0"/>
              <w:left w:val="single" w:color="000000" w:sz="6" w:space="0"/>
              <w:bottom w:val="single" w:color="000000" w:sz="6" w:space="0"/>
              <w:right w:val="single" w:color="000000" w:sz="6" w:space="0"/>
            </w:tcBorders>
            <w:vAlign w:val="center"/>
          </w:tcPr>
          <w:p w14:paraId="59FD28BE">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90</w:t>
            </w:r>
          </w:p>
        </w:tc>
        <w:tc>
          <w:tcPr>
            <w:tcW w:w="455" w:type="pct"/>
            <w:tcBorders>
              <w:top w:val="single" w:color="000000" w:sz="6" w:space="0"/>
              <w:left w:val="single" w:color="000000" w:sz="6" w:space="0"/>
              <w:bottom w:val="single" w:color="000000" w:sz="6" w:space="0"/>
              <w:right w:val="single" w:color="000000" w:sz="6" w:space="0"/>
            </w:tcBorders>
            <w:vAlign w:val="center"/>
          </w:tcPr>
          <w:p w14:paraId="2D795D1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135</w:t>
            </w:r>
          </w:p>
        </w:tc>
        <w:tc>
          <w:tcPr>
            <w:tcW w:w="455" w:type="pct"/>
            <w:tcBorders>
              <w:top w:val="single" w:color="000000" w:sz="6" w:space="0"/>
              <w:left w:val="single" w:color="000000" w:sz="6" w:space="0"/>
              <w:bottom w:val="single" w:color="000000" w:sz="6" w:space="0"/>
              <w:right w:val="single" w:color="000000" w:sz="6" w:space="0"/>
            </w:tcBorders>
            <w:vAlign w:val="center"/>
          </w:tcPr>
          <w:p w14:paraId="54801D9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33</w:t>
            </w:r>
          </w:p>
        </w:tc>
        <w:tc>
          <w:tcPr>
            <w:tcW w:w="454" w:type="pct"/>
            <w:tcBorders>
              <w:top w:val="single" w:color="000000" w:sz="6" w:space="0"/>
              <w:left w:val="single" w:color="000000" w:sz="6" w:space="0"/>
              <w:bottom w:val="single" w:color="000000" w:sz="6" w:space="0"/>
              <w:right w:val="single" w:color="000000" w:sz="6" w:space="0"/>
            </w:tcBorders>
            <w:vAlign w:val="center"/>
          </w:tcPr>
          <w:p w14:paraId="4132D2A8">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65</w:t>
            </w:r>
          </w:p>
        </w:tc>
        <w:tc>
          <w:tcPr>
            <w:tcW w:w="454" w:type="pct"/>
            <w:tcBorders>
              <w:top w:val="single" w:color="000000" w:sz="6" w:space="0"/>
              <w:left w:val="single" w:color="000000" w:sz="6" w:space="0"/>
              <w:bottom w:val="single" w:color="000000" w:sz="6" w:space="0"/>
              <w:right w:val="single" w:color="000000" w:sz="6" w:space="0"/>
            </w:tcBorders>
            <w:vAlign w:val="center"/>
          </w:tcPr>
          <w:p w14:paraId="30CADAA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97</w:t>
            </w:r>
          </w:p>
        </w:tc>
        <w:tc>
          <w:tcPr>
            <w:tcW w:w="455" w:type="pct"/>
            <w:tcBorders>
              <w:top w:val="single" w:color="000000" w:sz="6" w:space="0"/>
              <w:left w:val="single" w:color="000000" w:sz="6" w:space="0"/>
              <w:bottom w:val="single" w:color="000000" w:sz="6" w:space="0"/>
              <w:right w:val="single" w:color="000000" w:sz="6" w:space="0"/>
            </w:tcBorders>
            <w:vAlign w:val="center"/>
          </w:tcPr>
          <w:p w14:paraId="6D6B594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17</w:t>
            </w:r>
          </w:p>
        </w:tc>
        <w:tc>
          <w:tcPr>
            <w:tcW w:w="454" w:type="pct"/>
            <w:tcBorders>
              <w:top w:val="single" w:color="000000" w:sz="6" w:space="0"/>
              <w:left w:val="single" w:color="000000" w:sz="6" w:space="0"/>
              <w:bottom w:val="single" w:color="000000" w:sz="6" w:space="0"/>
              <w:right w:val="single" w:color="000000" w:sz="6" w:space="0"/>
            </w:tcBorders>
            <w:vAlign w:val="center"/>
          </w:tcPr>
          <w:p w14:paraId="174A528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34</w:t>
            </w:r>
          </w:p>
        </w:tc>
        <w:tc>
          <w:tcPr>
            <w:tcW w:w="452" w:type="pct"/>
            <w:tcBorders>
              <w:top w:val="single" w:color="000000" w:sz="6" w:space="0"/>
              <w:left w:val="single" w:color="000000" w:sz="6" w:space="0"/>
              <w:bottom w:val="single" w:color="000000" w:sz="6" w:space="0"/>
              <w:right w:val="single" w:color="000000" w:sz="12" w:space="0"/>
            </w:tcBorders>
            <w:vAlign w:val="center"/>
          </w:tcPr>
          <w:p w14:paraId="2B9F5E7D">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51</w:t>
            </w:r>
          </w:p>
        </w:tc>
      </w:tr>
      <w:tr w14:paraId="7A8B89F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continue"/>
            <w:tcBorders>
              <w:top w:val="single" w:color="000000" w:sz="6" w:space="0"/>
              <w:left w:val="single" w:color="000000" w:sz="12" w:space="0"/>
              <w:bottom w:val="single" w:color="000000" w:sz="12" w:space="0"/>
              <w:right w:val="single" w:color="000000" w:sz="6" w:space="0"/>
            </w:tcBorders>
            <w:vAlign w:val="center"/>
          </w:tcPr>
          <w:p w14:paraId="5DFE937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458" w:type="pct"/>
            <w:tcBorders>
              <w:top w:val="single" w:color="000000" w:sz="6" w:space="0"/>
              <w:left w:val="single" w:color="000000" w:sz="6" w:space="0"/>
              <w:bottom w:val="single" w:color="000000" w:sz="6" w:space="0"/>
              <w:right w:val="single" w:color="000000" w:sz="6" w:space="0"/>
            </w:tcBorders>
            <w:vAlign w:val="center"/>
          </w:tcPr>
          <w:p w14:paraId="0264AB41">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60</w:t>
            </w:r>
          </w:p>
        </w:tc>
        <w:tc>
          <w:tcPr>
            <w:tcW w:w="454" w:type="pct"/>
            <w:tcBorders>
              <w:top w:val="single" w:color="000000" w:sz="6" w:space="0"/>
              <w:left w:val="single" w:color="000000" w:sz="6" w:space="0"/>
              <w:bottom w:val="single" w:color="000000" w:sz="6" w:space="0"/>
              <w:right w:val="single" w:color="000000" w:sz="6" w:space="0"/>
            </w:tcBorders>
            <w:vAlign w:val="center"/>
          </w:tcPr>
          <w:p w14:paraId="300231BC">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64</w:t>
            </w:r>
          </w:p>
        </w:tc>
        <w:tc>
          <w:tcPr>
            <w:tcW w:w="455" w:type="pct"/>
            <w:tcBorders>
              <w:top w:val="single" w:color="000000" w:sz="6" w:space="0"/>
              <w:left w:val="single" w:color="000000" w:sz="6" w:space="0"/>
              <w:bottom w:val="single" w:color="000000" w:sz="6" w:space="0"/>
              <w:right w:val="single" w:color="000000" w:sz="6" w:space="0"/>
            </w:tcBorders>
            <w:vAlign w:val="center"/>
          </w:tcPr>
          <w:p w14:paraId="72C09ACC">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128</w:t>
            </w:r>
          </w:p>
        </w:tc>
        <w:tc>
          <w:tcPr>
            <w:tcW w:w="455" w:type="pct"/>
            <w:tcBorders>
              <w:top w:val="single" w:color="000000" w:sz="6" w:space="0"/>
              <w:left w:val="single" w:color="000000" w:sz="6" w:space="0"/>
              <w:bottom w:val="single" w:color="000000" w:sz="6" w:space="0"/>
              <w:right w:val="single" w:color="000000" w:sz="6" w:space="0"/>
            </w:tcBorders>
            <w:vAlign w:val="center"/>
          </w:tcPr>
          <w:p w14:paraId="64F5C53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192</w:t>
            </w:r>
          </w:p>
        </w:tc>
        <w:tc>
          <w:tcPr>
            <w:tcW w:w="455" w:type="pct"/>
            <w:tcBorders>
              <w:top w:val="single" w:color="000000" w:sz="6" w:space="0"/>
              <w:left w:val="single" w:color="000000" w:sz="6" w:space="0"/>
              <w:bottom w:val="single" w:color="000000" w:sz="6" w:space="0"/>
              <w:right w:val="single" w:color="000000" w:sz="6" w:space="0"/>
            </w:tcBorders>
            <w:vAlign w:val="center"/>
          </w:tcPr>
          <w:p w14:paraId="45DB93BE">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47</w:t>
            </w:r>
          </w:p>
        </w:tc>
        <w:tc>
          <w:tcPr>
            <w:tcW w:w="454" w:type="pct"/>
            <w:tcBorders>
              <w:top w:val="single" w:color="000000" w:sz="6" w:space="0"/>
              <w:left w:val="single" w:color="000000" w:sz="6" w:space="0"/>
              <w:bottom w:val="single" w:color="000000" w:sz="6" w:space="0"/>
              <w:right w:val="single" w:color="000000" w:sz="6" w:space="0"/>
            </w:tcBorders>
            <w:vAlign w:val="center"/>
          </w:tcPr>
          <w:p w14:paraId="7791B31F">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94</w:t>
            </w:r>
          </w:p>
        </w:tc>
        <w:tc>
          <w:tcPr>
            <w:tcW w:w="454" w:type="pct"/>
            <w:tcBorders>
              <w:top w:val="single" w:color="000000" w:sz="6" w:space="0"/>
              <w:left w:val="single" w:color="000000" w:sz="6" w:space="0"/>
              <w:bottom w:val="single" w:color="000000" w:sz="6" w:space="0"/>
              <w:right w:val="single" w:color="000000" w:sz="6" w:space="0"/>
            </w:tcBorders>
            <w:vAlign w:val="center"/>
          </w:tcPr>
          <w:p w14:paraId="27321703">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141</w:t>
            </w:r>
          </w:p>
        </w:tc>
        <w:tc>
          <w:tcPr>
            <w:tcW w:w="455" w:type="pct"/>
            <w:tcBorders>
              <w:top w:val="single" w:color="000000" w:sz="6" w:space="0"/>
              <w:left w:val="single" w:color="000000" w:sz="6" w:space="0"/>
              <w:bottom w:val="single" w:color="000000" w:sz="6" w:space="0"/>
              <w:right w:val="single" w:color="000000" w:sz="6" w:space="0"/>
            </w:tcBorders>
            <w:vAlign w:val="center"/>
          </w:tcPr>
          <w:p w14:paraId="59121FC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24</w:t>
            </w:r>
          </w:p>
        </w:tc>
        <w:tc>
          <w:tcPr>
            <w:tcW w:w="454" w:type="pct"/>
            <w:tcBorders>
              <w:top w:val="single" w:color="000000" w:sz="6" w:space="0"/>
              <w:left w:val="single" w:color="000000" w:sz="6" w:space="0"/>
              <w:bottom w:val="single" w:color="000000" w:sz="6" w:space="0"/>
              <w:right w:val="single" w:color="000000" w:sz="6" w:space="0"/>
            </w:tcBorders>
            <w:vAlign w:val="center"/>
          </w:tcPr>
          <w:p w14:paraId="3A5B0426">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48</w:t>
            </w:r>
          </w:p>
        </w:tc>
        <w:tc>
          <w:tcPr>
            <w:tcW w:w="452" w:type="pct"/>
            <w:tcBorders>
              <w:top w:val="single" w:color="000000" w:sz="6" w:space="0"/>
              <w:left w:val="single" w:color="000000" w:sz="6" w:space="0"/>
              <w:bottom w:val="single" w:color="000000" w:sz="6" w:space="0"/>
              <w:right w:val="single" w:color="000000" w:sz="12" w:space="0"/>
            </w:tcBorders>
            <w:vAlign w:val="center"/>
          </w:tcPr>
          <w:p w14:paraId="10981FA5">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72</w:t>
            </w:r>
          </w:p>
        </w:tc>
      </w:tr>
      <w:tr w14:paraId="36D7634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continue"/>
            <w:tcBorders>
              <w:top w:val="single" w:color="000000" w:sz="6" w:space="0"/>
              <w:left w:val="single" w:color="000000" w:sz="12" w:space="0"/>
              <w:bottom w:val="single" w:color="000000" w:sz="12" w:space="0"/>
              <w:right w:val="single" w:color="000000" w:sz="6" w:space="0"/>
            </w:tcBorders>
            <w:vAlign w:val="center"/>
          </w:tcPr>
          <w:p w14:paraId="5390269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458" w:type="pct"/>
            <w:tcBorders>
              <w:top w:val="single" w:color="000000" w:sz="6" w:space="0"/>
              <w:left w:val="single" w:color="000000" w:sz="6" w:space="0"/>
              <w:bottom w:val="single" w:color="000000" w:sz="6" w:space="0"/>
              <w:right w:val="single" w:color="000000" w:sz="6" w:space="0"/>
            </w:tcBorders>
            <w:vAlign w:val="center"/>
          </w:tcPr>
          <w:p w14:paraId="7FFD56AB">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70</w:t>
            </w:r>
          </w:p>
        </w:tc>
        <w:tc>
          <w:tcPr>
            <w:tcW w:w="454" w:type="pct"/>
            <w:tcBorders>
              <w:top w:val="single" w:color="000000" w:sz="6" w:space="0"/>
              <w:left w:val="single" w:color="000000" w:sz="6" w:space="0"/>
              <w:bottom w:val="single" w:color="000000" w:sz="6" w:space="0"/>
              <w:right w:val="single" w:color="000000" w:sz="6" w:space="0"/>
            </w:tcBorders>
            <w:vAlign w:val="center"/>
          </w:tcPr>
          <w:p w14:paraId="2338BD8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88</w:t>
            </w:r>
          </w:p>
        </w:tc>
        <w:tc>
          <w:tcPr>
            <w:tcW w:w="455" w:type="pct"/>
            <w:tcBorders>
              <w:top w:val="single" w:color="000000" w:sz="6" w:space="0"/>
              <w:left w:val="single" w:color="000000" w:sz="6" w:space="0"/>
              <w:bottom w:val="single" w:color="000000" w:sz="6" w:space="0"/>
              <w:right w:val="single" w:color="000000" w:sz="6" w:space="0"/>
            </w:tcBorders>
            <w:vAlign w:val="center"/>
          </w:tcPr>
          <w:p w14:paraId="24A3E68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176</w:t>
            </w:r>
          </w:p>
        </w:tc>
        <w:tc>
          <w:tcPr>
            <w:tcW w:w="455" w:type="pct"/>
            <w:tcBorders>
              <w:top w:val="single" w:color="000000" w:sz="6" w:space="0"/>
              <w:left w:val="single" w:color="000000" w:sz="6" w:space="0"/>
              <w:bottom w:val="single" w:color="000000" w:sz="6" w:space="0"/>
              <w:right w:val="single" w:color="000000" w:sz="6" w:space="0"/>
            </w:tcBorders>
            <w:vAlign w:val="center"/>
          </w:tcPr>
          <w:p w14:paraId="7831CB3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264</w:t>
            </w:r>
          </w:p>
        </w:tc>
        <w:tc>
          <w:tcPr>
            <w:tcW w:w="455" w:type="pct"/>
            <w:tcBorders>
              <w:top w:val="single" w:color="000000" w:sz="6" w:space="0"/>
              <w:left w:val="single" w:color="000000" w:sz="6" w:space="0"/>
              <w:bottom w:val="single" w:color="000000" w:sz="6" w:space="0"/>
              <w:right w:val="single" w:color="000000" w:sz="6" w:space="0"/>
            </w:tcBorders>
            <w:vAlign w:val="center"/>
          </w:tcPr>
          <w:p w14:paraId="763E8F35">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64</w:t>
            </w:r>
          </w:p>
        </w:tc>
        <w:tc>
          <w:tcPr>
            <w:tcW w:w="454" w:type="pct"/>
            <w:tcBorders>
              <w:top w:val="single" w:color="000000" w:sz="6" w:space="0"/>
              <w:left w:val="single" w:color="000000" w:sz="6" w:space="0"/>
              <w:bottom w:val="single" w:color="000000" w:sz="6" w:space="0"/>
              <w:right w:val="single" w:color="000000" w:sz="6" w:space="0"/>
            </w:tcBorders>
            <w:vAlign w:val="center"/>
          </w:tcPr>
          <w:p w14:paraId="15390FD1">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128</w:t>
            </w:r>
          </w:p>
        </w:tc>
        <w:tc>
          <w:tcPr>
            <w:tcW w:w="454" w:type="pct"/>
            <w:tcBorders>
              <w:top w:val="single" w:color="000000" w:sz="6" w:space="0"/>
              <w:left w:val="single" w:color="000000" w:sz="6" w:space="0"/>
              <w:bottom w:val="single" w:color="000000" w:sz="6" w:space="0"/>
              <w:right w:val="single" w:color="000000" w:sz="6" w:space="0"/>
            </w:tcBorders>
            <w:vAlign w:val="center"/>
          </w:tcPr>
          <w:p w14:paraId="5DDDD720">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192</w:t>
            </w:r>
          </w:p>
        </w:tc>
        <w:tc>
          <w:tcPr>
            <w:tcW w:w="455" w:type="pct"/>
            <w:tcBorders>
              <w:top w:val="single" w:color="000000" w:sz="6" w:space="0"/>
              <w:left w:val="single" w:color="000000" w:sz="6" w:space="0"/>
              <w:bottom w:val="single" w:color="000000" w:sz="6" w:space="0"/>
              <w:right w:val="single" w:color="000000" w:sz="6" w:space="0"/>
            </w:tcBorders>
            <w:vAlign w:val="center"/>
          </w:tcPr>
          <w:p w14:paraId="6CD0E5ED">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33</w:t>
            </w:r>
          </w:p>
        </w:tc>
        <w:tc>
          <w:tcPr>
            <w:tcW w:w="454" w:type="pct"/>
            <w:tcBorders>
              <w:top w:val="single" w:color="000000" w:sz="6" w:space="0"/>
              <w:left w:val="single" w:color="000000" w:sz="6" w:space="0"/>
              <w:bottom w:val="single" w:color="000000" w:sz="6" w:space="0"/>
              <w:right w:val="single" w:color="000000" w:sz="6" w:space="0"/>
            </w:tcBorders>
            <w:vAlign w:val="center"/>
          </w:tcPr>
          <w:p w14:paraId="424D4E75">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66</w:t>
            </w:r>
          </w:p>
        </w:tc>
        <w:tc>
          <w:tcPr>
            <w:tcW w:w="452" w:type="pct"/>
            <w:tcBorders>
              <w:top w:val="single" w:color="000000" w:sz="6" w:space="0"/>
              <w:left w:val="single" w:color="000000" w:sz="6" w:space="0"/>
              <w:bottom w:val="single" w:color="000000" w:sz="6" w:space="0"/>
              <w:right w:val="single" w:color="000000" w:sz="12" w:space="0"/>
            </w:tcBorders>
            <w:vAlign w:val="center"/>
          </w:tcPr>
          <w:p w14:paraId="0E1F714F">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99</w:t>
            </w:r>
          </w:p>
        </w:tc>
      </w:tr>
      <w:tr w14:paraId="76FD5E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continue"/>
            <w:tcBorders>
              <w:top w:val="single" w:color="000000" w:sz="6" w:space="0"/>
              <w:left w:val="single" w:color="000000" w:sz="12" w:space="0"/>
              <w:bottom w:val="single" w:color="000000" w:sz="12" w:space="0"/>
              <w:right w:val="single" w:color="000000" w:sz="6" w:space="0"/>
            </w:tcBorders>
            <w:vAlign w:val="center"/>
          </w:tcPr>
          <w:p w14:paraId="6EEB938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458" w:type="pct"/>
            <w:tcBorders>
              <w:top w:val="single" w:color="000000" w:sz="6" w:space="0"/>
              <w:left w:val="single" w:color="000000" w:sz="6" w:space="0"/>
              <w:bottom w:val="single" w:color="000000" w:sz="6" w:space="0"/>
              <w:right w:val="single" w:color="000000" w:sz="6" w:space="0"/>
            </w:tcBorders>
            <w:vAlign w:val="center"/>
          </w:tcPr>
          <w:p w14:paraId="61ED174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80</w:t>
            </w:r>
          </w:p>
        </w:tc>
        <w:tc>
          <w:tcPr>
            <w:tcW w:w="454" w:type="pct"/>
            <w:tcBorders>
              <w:top w:val="single" w:color="000000" w:sz="6" w:space="0"/>
              <w:left w:val="single" w:color="000000" w:sz="6" w:space="0"/>
              <w:bottom w:val="single" w:color="000000" w:sz="6" w:space="0"/>
              <w:right w:val="single" w:color="000000" w:sz="6" w:space="0"/>
            </w:tcBorders>
            <w:vAlign w:val="center"/>
          </w:tcPr>
          <w:p w14:paraId="45172EC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140</w:t>
            </w:r>
          </w:p>
        </w:tc>
        <w:tc>
          <w:tcPr>
            <w:tcW w:w="455" w:type="pct"/>
            <w:tcBorders>
              <w:top w:val="single" w:color="000000" w:sz="6" w:space="0"/>
              <w:left w:val="single" w:color="000000" w:sz="6" w:space="0"/>
              <w:bottom w:val="single" w:color="000000" w:sz="6" w:space="0"/>
              <w:right w:val="single" w:color="000000" w:sz="6" w:space="0"/>
            </w:tcBorders>
            <w:vAlign w:val="center"/>
          </w:tcPr>
          <w:p w14:paraId="7EC6AE34">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280</w:t>
            </w:r>
          </w:p>
        </w:tc>
        <w:tc>
          <w:tcPr>
            <w:tcW w:w="455" w:type="pct"/>
            <w:tcBorders>
              <w:top w:val="single" w:color="000000" w:sz="6" w:space="0"/>
              <w:left w:val="single" w:color="000000" w:sz="6" w:space="0"/>
              <w:bottom w:val="single" w:color="000000" w:sz="6" w:space="0"/>
              <w:right w:val="single" w:color="000000" w:sz="6" w:space="0"/>
            </w:tcBorders>
            <w:vAlign w:val="center"/>
          </w:tcPr>
          <w:p w14:paraId="028BB591">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420</w:t>
            </w:r>
          </w:p>
        </w:tc>
        <w:tc>
          <w:tcPr>
            <w:tcW w:w="455" w:type="pct"/>
            <w:tcBorders>
              <w:top w:val="single" w:color="000000" w:sz="6" w:space="0"/>
              <w:left w:val="single" w:color="000000" w:sz="6" w:space="0"/>
              <w:bottom w:val="single" w:color="000000" w:sz="6" w:space="0"/>
              <w:right w:val="single" w:color="000000" w:sz="6" w:space="0"/>
            </w:tcBorders>
            <w:vAlign w:val="center"/>
          </w:tcPr>
          <w:p w14:paraId="0D91403E">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100</w:t>
            </w:r>
          </w:p>
        </w:tc>
        <w:tc>
          <w:tcPr>
            <w:tcW w:w="454" w:type="pct"/>
            <w:tcBorders>
              <w:top w:val="single" w:color="000000" w:sz="6" w:space="0"/>
              <w:left w:val="single" w:color="000000" w:sz="6" w:space="0"/>
              <w:bottom w:val="single" w:color="000000" w:sz="6" w:space="0"/>
              <w:right w:val="single" w:color="000000" w:sz="6" w:space="0"/>
            </w:tcBorders>
            <w:vAlign w:val="center"/>
          </w:tcPr>
          <w:p w14:paraId="61A142D6">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200</w:t>
            </w:r>
          </w:p>
        </w:tc>
        <w:tc>
          <w:tcPr>
            <w:tcW w:w="454" w:type="pct"/>
            <w:tcBorders>
              <w:top w:val="single" w:color="000000" w:sz="6" w:space="0"/>
              <w:left w:val="single" w:color="000000" w:sz="6" w:space="0"/>
              <w:bottom w:val="single" w:color="000000" w:sz="6" w:space="0"/>
              <w:right w:val="single" w:color="000000" w:sz="6" w:space="0"/>
            </w:tcBorders>
            <w:vAlign w:val="center"/>
          </w:tcPr>
          <w:p w14:paraId="33E2CED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300</w:t>
            </w:r>
          </w:p>
        </w:tc>
        <w:tc>
          <w:tcPr>
            <w:tcW w:w="455" w:type="pct"/>
            <w:tcBorders>
              <w:top w:val="single" w:color="000000" w:sz="6" w:space="0"/>
              <w:left w:val="single" w:color="000000" w:sz="6" w:space="0"/>
              <w:bottom w:val="single" w:color="000000" w:sz="6" w:space="0"/>
              <w:right w:val="single" w:color="000000" w:sz="6" w:space="0"/>
            </w:tcBorders>
            <w:vAlign w:val="center"/>
          </w:tcPr>
          <w:p w14:paraId="3DB2BC6A">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68</w:t>
            </w:r>
          </w:p>
        </w:tc>
        <w:tc>
          <w:tcPr>
            <w:tcW w:w="454" w:type="pct"/>
            <w:tcBorders>
              <w:top w:val="single" w:color="000000" w:sz="6" w:space="0"/>
              <w:left w:val="single" w:color="000000" w:sz="6" w:space="0"/>
              <w:bottom w:val="single" w:color="000000" w:sz="6" w:space="0"/>
              <w:right w:val="single" w:color="000000" w:sz="6" w:space="0"/>
            </w:tcBorders>
            <w:vAlign w:val="center"/>
          </w:tcPr>
          <w:p w14:paraId="7405FC0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136</w:t>
            </w:r>
          </w:p>
        </w:tc>
        <w:tc>
          <w:tcPr>
            <w:tcW w:w="452" w:type="pct"/>
            <w:tcBorders>
              <w:top w:val="single" w:color="000000" w:sz="6" w:space="0"/>
              <w:left w:val="single" w:color="000000" w:sz="6" w:space="0"/>
              <w:bottom w:val="single" w:color="000000" w:sz="6" w:space="0"/>
              <w:right w:val="single" w:color="000000" w:sz="12" w:space="0"/>
            </w:tcBorders>
            <w:vAlign w:val="center"/>
          </w:tcPr>
          <w:p w14:paraId="5C84D8D1">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204</w:t>
            </w:r>
          </w:p>
        </w:tc>
      </w:tr>
      <w:tr w14:paraId="74A1943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continue"/>
            <w:tcBorders>
              <w:top w:val="single" w:color="000000" w:sz="6" w:space="0"/>
              <w:left w:val="single" w:color="000000" w:sz="12" w:space="0"/>
              <w:bottom w:val="single" w:color="000000" w:sz="12" w:space="0"/>
              <w:right w:val="single" w:color="000000" w:sz="6" w:space="0"/>
            </w:tcBorders>
            <w:vAlign w:val="center"/>
          </w:tcPr>
          <w:p w14:paraId="1A6C8EF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458" w:type="pct"/>
            <w:tcBorders>
              <w:top w:val="single" w:color="000000" w:sz="6" w:space="0"/>
              <w:left w:val="single" w:color="000000" w:sz="6" w:space="0"/>
              <w:bottom w:val="single" w:color="000000" w:sz="6" w:space="0"/>
              <w:right w:val="single" w:color="000000" w:sz="6" w:space="0"/>
            </w:tcBorders>
            <w:vAlign w:val="center"/>
          </w:tcPr>
          <w:p w14:paraId="27EA945B">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90</w:t>
            </w:r>
          </w:p>
        </w:tc>
        <w:tc>
          <w:tcPr>
            <w:tcW w:w="454" w:type="pct"/>
            <w:tcBorders>
              <w:top w:val="single" w:color="000000" w:sz="6" w:space="0"/>
              <w:left w:val="single" w:color="000000" w:sz="6" w:space="0"/>
              <w:bottom w:val="single" w:color="000000" w:sz="6" w:space="0"/>
              <w:right w:val="single" w:color="000000" w:sz="6" w:space="0"/>
            </w:tcBorders>
            <w:vAlign w:val="center"/>
          </w:tcPr>
          <w:p w14:paraId="7637A796">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177</w:t>
            </w:r>
          </w:p>
        </w:tc>
        <w:tc>
          <w:tcPr>
            <w:tcW w:w="455" w:type="pct"/>
            <w:tcBorders>
              <w:top w:val="single" w:color="000000" w:sz="6" w:space="0"/>
              <w:left w:val="single" w:color="000000" w:sz="6" w:space="0"/>
              <w:bottom w:val="single" w:color="000000" w:sz="6" w:space="0"/>
              <w:right w:val="single" w:color="000000" w:sz="6" w:space="0"/>
            </w:tcBorders>
            <w:vAlign w:val="center"/>
          </w:tcPr>
          <w:p w14:paraId="6880FF53">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354</w:t>
            </w:r>
          </w:p>
        </w:tc>
        <w:tc>
          <w:tcPr>
            <w:tcW w:w="455" w:type="pct"/>
            <w:tcBorders>
              <w:top w:val="single" w:color="000000" w:sz="6" w:space="0"/>
              <w:left w:val="single" w:color="000000" w:sz="6" w:space="0"/>
              <w:bottom w:val="single" w:color="000000" w:sz="6" w:space="0"/>
              <w:right w:val="single" w:color="000000" w:sz="6" w:space="0"/>
            </w:tcBorders>
            <w:vAlign w:val="center"/>
          </w:tcPr>
          <w:p w14:paraId="4FDB177B">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531</w:t>
            </w:r>
          </w:p>
        </w:tc>
        <w:tc>
          <w:tcPr>
            <w:tcW w:w="455" w:type="pct"/>
            <w:tcBorders>
              <w:top w:val="single" w:color="000000" w:sz="6" w:space="0"/>
              <w:left w:val="single" w:color="000000" w:sz="6" w:space="0"/>
              <w:bottom w:val="single" w:color="000000" w:sz="6" w:space="0"/>
              <w:right w:val="single" w:color="000000" w:sz="6" w:space="0"/>
            </w:tcBorders>
            <w:vAlign w:val="center"/>
          </w:tcPr>
          <w:p w14:paraId="2E21B05D">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128</w:t>
            </w:r>
          </w:p>
        </w:tc>
        <w:tc>
          <w:tcPr>
            <w:tcW w:w="454" w:type="pct"/>
            <w:tcBorders>
              <w:top w:val="single" w:color="000000" w:sz="6" w:space="0"/>
              <w:left w:val="single" w:color="000000" w:sz="6" w:space="0"/>
              <w:bottom w:val="single" w:color="000000" w:sz="6" w:space="0"/>
              <w:right w:val="single" w:color="000000" w:sz="6" w:space="0"/>
            </w:tcBorders>
            <w:vAlign w:val="center"/>
          </w:tcPr>
          <w:p w14:paraId="50EC75E4">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256</w:t>
            </w:r>
          </w:p>
        </w:tc>
        <w:tc>
          <w:tcPr>
            <w:tcW w:w="454" w:type="pct"/>
            <w:tcBorders>
              <w:top w:val="single" w:color="000000" w:sz="6" w:space="0"/>
              <w:left w:val="single" w:color="000000" w:sz="6" w:space="0"/>
              <w:bottom w:val="single" w:color="000000" w:sz="6" w:space="0"/>
              <w:right w:val="single" w:color="000000" w:sz="6" w:space="0"/>
            </w:tcBorders>
            <w:vAlign w:val="center"/>
          </w:tcPr>
          <w:p w14:paraId="525F13D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384</w:t>
            </w:r>
          </w:p>
        </w:tc>
        <w:tc>
          <w:tcPr>
            <w:tcW w:w="455" w:type="pct"/>
            <w:tcBorders>
              <w:top w:val="single" w:color="000000" w:sz="6" w:space="0"/>
              <w:left w:val="single" w:color="000000" w:sz="6" w:space="0"/>
              <w:bottom w:val="single" w:color="000000" w:sz="6" w:space="0"/>
              <w:right w:val="single" w:color="000000" w:sz="6" w:space="0"/>
            </w:tcBorders>
            <w:vAlign w:val="center"/>
          </w:tcPr>
          <w:p w14:paraId="5FFE83D6">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86</w:t>
            </w:r>
          </w:p>
        </w:tc>
        <w:tc>
          <w:tcPr>
            <w:tcW w:w="454" w:type="pct"/>
            <w:tcBorders>
              <w:top w:val="single" w:color="000000" w:sz="6" w:space="0"/>
              <w:left w:val="single" w:color="000000" w:sz="6" w:space="0"/>
              <w:bottom w:val="single" w:color="000000" w:sz="6" w:space="0"/>
              <w:right w:val="single" w:color="000000" w:sz="6" w:space="0"/>
            </w:tcBorders>
            <w:vAlign w:val="center"/>
          </w:tcPr>
          <w:p w14:paraId="317C6332">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172</w:t>
            </w:r>
          </w:p>
        </w:tc>
        <w:tc>
          <w:tcPr>
            <w:tcW w:w="452" w:type="pct"/>
            <w:tcBorders>
              <w:top w:val="single" w:color="000000" w:sz="6" w:space="0"/>
              <w:left w:val="single" w:color="000000" w:sz="6" w:space="0"/>
              <w:bottom w:val="single" w:color="000000" w:sz="6" w:space="0"/>
              <w:right w:val="single" w:color="000000" w:sz="12" w:space="0"/>
            </w:tcBorders>
            <w:vAlign w:val="center"/>
          </w:tcPr>
          <w:p w14:paraId="7D1377F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258</w:t>
            </w:r>
          </w:p>
        </w:tc>
      </w:tr>
      <w:tr w14:paraId="6AB5CF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8" w:hRule="atLeast"/>
          <w:jc w:val="center"/>
        </w:trPr>
        <w:tc>
          <w:tcPr>
            <w:tcW w:w="453" w:type="pct"/>
            <w:vMerge w:val="continue"/>
            <w:tcBorders>
              <w:top w:val="single" w:color="000000" w:sz="6" w:space="0"/>
              <w:left w:val="single" w:color="000000" w:sz="12" w:space="0"/>
              <w:bottom w:val="single" w:color="000000" w:sz="12" w:space="0"/>
              <w:right w:val="single" w:color="000000" w:sz="6" w:space="0"/>
            </w:tcBorders>
            <w:vAlign w:val="center"/>
          </w:tcPr>
          <w:p w14:paraId="68066B3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Cs w:val="21"/>
                <w:u w:val="single"/>
              </w:rPr>
            </w:pPr>
          </w:p>
        </w:tc>
        <w:tc>
          <w:tcPr>
            <w:tcW w:w="458" w:type="pct"/>
            <w:tcBorders>
              <w:top w:val="single" w:color="000000" w:sz="6" w:space="0"/>
              <w:left w:val="single" w:color="000000" w:sz="6" w:space="0"/>
              <w:bottom w:val="single" w:color="000000" w:sz="12" w:space="0"/>
              <w:right w:val="single" w:color="000000" w:sz="6" w:space="0"/>
            </w:tcBorders>
            <w:vAlign w:val="center"/>
          </w:tcPr>
          <w:p w14:paraId="4FE5A353">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100</w:t>
            </w:r>
          </w:p>
        </w:tc>
        <w:tc>
          <w:tcPr>
            <w:tcW w:w="454" w:type="pct"/>
            <w:tcBorders>
              <w:top w:val="single" w:color="000000" w:sz="6" w:space="0"/>
              <w:left w:val="single" w:color="000000" w:sz="6" w:space="0"/>
              <w:bottom w:val="single" w:color="000000" w:sz="12" w:space="0"/>
              <w:right w:val="single" w:color="000000" w:sz="6" w:space="0"/>
            </w:tcBorders>
            <w:vAlign w:val="center"/>
          </w:tcPr>
          <w:p w14:paraId="3547A64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218</w:t>
            </w:r>
          </w:p>
        </w:tc>
        <w:tc>
          <w:tcPr>
            <w:tcW w:w="455" w:type="pct"/>
            <w:tcBorders>
              <w:top w:val="single" w:color="000000" w:sz="6" w:space="0"/>
              <w:left w:val="single" w:color="000000" w:sz="6" w:space="0"/>
              <w:bottom w:val="single" w:color="000000" w:sz="12" w:space="0"/>
              <w:right w:val="single" w:color="000000" w:sz="6" w:space="0"/>
            </w:tcBorders>
            <w:vAlign w:val="center"/>
          </w:tcPr>
          <w:p w14:paraId="4DA6BE14">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436</w:t>
            </w:r>
          </w:p>
        </w:tc>
        <w:tc>
          <w:tcPr>
            <w:tcW w:w="455" w:type="pct"/>
            <w:tcBorders>
              <w:top w:val="single" w:color="000000" w:sz="6" w:space="0"/>
              <w:left w:val="single" w:color="000000" w:sz="6" w:space="0"/>
              <w:bottom w:val="single" w:color="000000" w:sz="12" w:space="0"/>
              <w:right w:val="single" w:color="000000" w:sz="6" w:space="0"/>
            </w:tcBorders>
            <w:vAlign w:val="center"/>
          </w:tcPr>
          <w:p w14:paraId="6D3BFB77">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654</w:t>
            </w:r>
          </w:p>
        </w:tc>
        <w:tc>
          <w:tcPr>
            <w:tcW w:w="455" w:type="pct"/>
            <w:tcBorders>
              <w:top w:val="single" w:color="000000" w:sz="6" w:space="0"/>
              <w:left w:val="single" w:color="000000" w:sz="6" w:space="0"/>
              <w:bottom w:val="single" w:color="000000" w:sz="12" w:space="0"/>
              <w:right w:val="single" w:color="000000" w:sz="6" w:space="0"/>
            </w:tcBorders>
            <w:vAlign w:val="center"/>
          </w:tcPr>
          <w:p w14:paraId="7846D54C">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158</w:t>
            </w:r>
          </w:p>
        </w:tc>
        <w:tc>
          <w:tcPr>
            <w:tcW w:w="454" w:type="pct"/>
            <w:tcBorders>
              <w:top w:val="single" w:color="000000" w:sz="6" w:space="0"/>
              <w:left w:val="single" w:color="000000" w:sz="6" w:space="0"/>
              <w:bottom w:val="single" w:color="000000" w:sz="12" w:space="0"/>
              <w:right w:val="single" w:color="000000" w:sz="6" w:space="0"/>
            </w:tcBorders>
            <w:vAlign w:val="center"/>
          </w:tcPr>
          <w:p w14:paraId="20C599B0">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316</w:t>
            </w:r>
          </w:p>
        </w:tc>
        <w:tc>
          <w:tcPr>
            <w:tcW w:w="454" w:type="pct"/>
            <w:tcBorders>
              <w:top w:val="single" w:color="000000" w:sz="6" w:space="0"/>
              <w:left w:val="single" w:color="000000" w:sz="6" w:space="0"/>
              <w:bottom w:val="single" w:color="000000" w:sz="12" w:space="0"/>
              <w:right w:val="single" w:color="000000" w:sz="6" w:space="0"/>
            </w:tcBorders>
            <w:vAlign w:val="center"/>
          </w:tcPr>
          <w:p w14:paraId="59E91EF0">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474</w:t>
            </w:r>
          </w:p>
        </w:tc>
        <w:tc>
          <w:tcPr>
            <w:tcW w:w="455" w:type="pct"/>
            <w:tcBorders>
              <w:top w:val="single" w:color="000000" w:sz="6" w:space="0"/>
              <w:left w:val="single" w:color="000000" w:sz="6" w:space="0"/>
              <w:bottom w:val="single" w:color="000000" w:sz="12" w:space="0"/>
              <w:right w:val="single" w:color="000000" w:sz="6" w:space="0"/>
            </w:tcBorders>
            <w:vAlign w:val="center"/>
          </w:tcPr>
          <w:p w14:paraId="345F29A0">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106</w:t>
            </w:r>
          </w:p>
        </w:tc>
        <w:tc>
          <w:tcPr>
            <w:tcW w:w="454" w:type="pct"/>
            <w:tcBorders>
              <w:top w:val="single" w:color="000000" w:sz="6" w:space="0"/>
              <w:left w:val="single" w:color="000000" w:sz="6" w:space="0"/>
              <w:bottom w:val="single" w:color="000000" w:sz="12" w:space="0"/>
              <w:right w:val="single" w:color="000000" w:sz="6" w:space="0"/>
            </w:tcBorders>
            <w:vAlign w:val="center"/>
          </w:tcPr>
          <w:p w14:paraId="3BA80EA6">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212</w:t>
            </w:r>
          </w:p>
        </w:tc>
        <w:tc>
          <w:tcPr>
            <w:tcW w:w="452" w:type="pct"/>
            <w:tcBorders>
              <w:top w:val="single" w:color="000000" w:sz="6" w:space="0"/>
              <w:left w:val="single" w:color="000000" w:sz="6" w:space="0"/>
              <w:bottom w:val="single" w:color="000000" w:sz="12" w:space="0"/>
              <w:right w:val="single" w:color="000000" w:sz="12" w:space="0"/>
            </w:tcBorders>
            <w:vAlign w:val="center"/>
          </w:tcPr>
          <w:p w14:paraId="51BD4E1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318</w:t>
            </w:r>
          </w:p>
        </w:tc>
      </w:tr>
    </w:tbl>
    <w:p w14:paraId="1C0A8C34">
      <w:pPr>
        <w:autoSpaceDE w:val="0"/>
        <w:autoSpaceDN w:val="0"/>
        <w:spacing w:line="360" w:lineRule="auto"/>
        <w:jc w:val="left"/>
        <w:rPr>
          <w:rFonts w:hint="default" w:ascii="Times New Roman" w:hAnsi="Times New Roman" w:eastAsia="宋体" w:cs="Times New Roman"/>
          <w:b/>
          <w:kern w:val="0"/>
          <w:szCs w:val="21"/>
          <w:u w:val="single"/>
        </w:rPr>
      </w:pPr>
      <w:r>
        <w:rPr>
          <w:rFonts w:hint="default" w:ascii="Times New Roman" w:hAnsi="Times New Roman" w:eastAsia="宋体" w:cs="Times New Roman"/>
          <w:b/>
          <w:kern w:val="0"/>
          <w:szCs w:val="21"/>
          <w:u w:val="single"/>
        </w:rPr>
        <w:t>*注：湖南省地区序号为5，项目所在地为二类区。</w:t>
      </w:r>
    </w:p>
    <w:p w14:paraId="102F346E">
      <w:pPr>
        <w:autoSpaceDE w:val="0"/>
        <w:autoSpaceDN w:val="0"/>
        <w:spacing w:line="360" w:lineRule="auto"/>
        <w:ind w:firstLine="480" w:firstLineChars="200"/>
        <w:jc w:val="left"/>
        <w:rPr>
          <w:rFonts w:hint="default" w:ascii="Times New Roman" w:hAnsi="Times New Roman" w:eastAsia="宋体" w:cs="Times New Roman"/>
          <w:kern w:val="0"/>
          <w:sz w:val="24"/>
          <w:u w:val="single"/>
        </w:rPr>
      </w:pPr>
      <w:r>
        <w:rPr>
          <w:rFonts w:hint="default" w:ascii="Times New Roman" w:hAnsi="Times New Roman" w:eastAsia="宋体" w:cs="Times New Roman"/>
          <w:kern w:val="0"/>
          <w:sz w:val="24"/>
          <w:u w:val="single"/>
        </w:rPr>
        <w:t>项目废气排气筒污染物排放系数R及其应达到的最低有效高度见表8.1-4。</w:t>
      </w:r>
    </w:p>
    <w:p w14:paraId="4BFE6EF7">
      <w:pPr>
        <w:pStyle w:val="54"/>
        <w:ind w:firstLine="0" w:firstLineChars="0"/>
        <w:jc w:val="center"/>
        <w:rPr>
          <w:rFonts w:hint="default" w:ascii="Times New Roman" w:hAnsi="Times New Roman" w:eastAsia="宋体" w:cs="Times New Roman"/>
          <w:b/>
          <w:sz w:val="21"/>
          <w:szCs w:val="21"/>
          <w:u w:val="single"/>
        </w:rPr>
      </w:pPr>
      <w:r>
        <w:rPr>
          <w:rFonts w:hint="default" w:ascii="Times New Roman" w:hAnsi="Times New Roman" w:eastAsia="宋体" w:cs="Times New Roman"/>
          <w:b/>
          <w:sz w:val="21"/>
          <w:szCs w:val="21"/>
          <w:u w:val="single"/>
        </w:rPr>
        <w:t>表8.1-4</w:t>
      </w:r>
      <w:r>
        <w:rPr>
          <w:rFonts w:hint="default" w:ascii="Times New Roman" w:hAnsi="Times New Roman" w:eastAsia="宋体" w:cs="Times New Roman"/>
          <w:b/>
          <w:sz w:val="21"/>
          <w:szCs w:val="21"/>
          <w:u w:val="single"/>
          <w:lang w:val="en-US"/>
        </w:rPr>
        <w:t xml:space="preserve"> </w:t>
      </w:r>
      <w:r>
        <w:rPr>
          <w:rFonts w:hint="default" w:ascii="Times New Roman" w:hAnsi="Times New Roman" w:eastAsia="宋体" w:cs="Times New Roman"/>
          <w:b/>
          <w:sz w:val="21"/>
          <w:szCs w:val="21"/>
          <w:u w:val="single"/>
        </w:rPr>
        <w:t xml:space="preserve"> 排放系数法校核排气筒结果</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28" w:type="dxa"/>
          <w:bottom w:w="0" w:type="dxa"/>
          <w:right w:w="28" w:type="dxa"/>
        </w:tblCellMar>
      </w:tblPr>
      <w:tblGrid>
        <w:gridCol w:w="1179"/>
        <w:gridCol w:w="1175"/>
        <w:gridCol w:w="1175"/>
        <w:gridCol w:w="1051"/>
        <w:gridCol w:w="1371"/>
        <w:gridCol w:w="1172"/>
        <w:gridCol w:w="1245"/>
      </w:tblGrid>
      <w:tr w14:paraId="0091C7B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275" w:hRule="atLeast"/>
        </w:trPr>
        <w:tc>
          <w:tcPr>
            <w:tcW w:w="705" w:type="pct"/>
            <w:vMerge w:val="restart"/>
            <w:vAlign w:val="center"/>
          </w:tcPr>
          <w:p w14:paraId="62933A59">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废气污染源</w:t>
            </w:r>
          </w:p>
        </w:tc>
        <w:tc>
          <w:tcPr>
            <w:tcW w:w="702" w:type="pct"/>
            <w:vMerge w:val="restart"/>
            <w:vAlign w:val="center"/>
          </w:tcPr>
          <w:p w14:paraId="6E144ECF">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污染物</w:t>
            </w:r>
          </w:p>
        </w:tc>
        <w:tc>
          <w:tcPr>
            <w:tcW w:w="702" w:type="pct"/>
            <w:vMerge w:val="restart"/>
            <w:vAlign w:val="center"/>
          </w:tcPr>
          <w:p w14:paraId="32560D9C">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排放速率</w:t>
            </w:r>
          </w:p>
          <w:p w14:paraId="598F116E">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（kg/h）</w:t>
            </w:r>
          </w:p>
        </w:tc>
        <w:tc>
          <w:tcPr>
            <w:tcW w:w="628" w:type="pct"/>
            <w:vMerge w:val="restart"/>
            <w:vAlign w:val="center"/>
          </w:tcPr>
          <w:p w14:paraId="70B93B16">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几何高度</w:t>
            </w:r>
          </w:p>
          <w:p w14:paraId="16E49DFA">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（m）</w:t>
            </w:r>
          </w:p>
        </w:tc>
        <w:tc>
          <w:tcPr>
            <w:tcW w:w="819" w:type="pct"/>
            <w:vMerge w:val="restart"/>
            <w:vAlign w:val="center"/>
          </w:tcPr>
          <w:p w14:paraId="39265001">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Cm值</w:t>
            </w:r>
          </w:p>
          <w:p w14:paraId="2C19EEB4">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（mg/m</w:t>
            </w:r>
            <w:r>
              <w:rPr>
                <w:rFonts w:hint="default" w:ascii="Times New Roman" w:hAnsi="Times New Roman" w:eastAsia="宋体" w:cs="Times New Roman"/>
                <w:b/>
                <w:color w:val="auto"/>
                <w:sz w:val="21"/>
                <w:szCs w:val="21"/>
                <w:u w:val="single"/>
                <w:vertAlign w:val="superscript"/>
              </w:rPr>
              <w:t>3</w:t>
            </w:r>
            <w:r>
              <w:rPr>
                <w:rFonts w:hint="default" w:ascii="Times New Roman" w:hAnsi="Times New Roman" w:eastAsia="宋体" w:cs="Times New Roman"/>
                <w:b/>
                <w:color w:val="auto"/>
                <w:sz w:val="21"/>
                <w:szCs w:val="21"/>
                <w:u w:val="single"/>
              </w:rPr>
              <w:t>）</w:t>
            </w:r>
          </w:p>
        </w:tc>
        <w:tc>
          <w:tcPr>
            <w:tcW w:w="1443" w:type="pct"/>
            <w:gridSpan w:val="2"/>
            <w:vAlign w:val="center"/>
          </w:tcPr>
          <w:p w14:paraId="15CE3976">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校核高度</w:t>
            </w:r>
          </w:p>
        </w:tc>
      </w:tr>
      <w:tr w14:paraId="24F8085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578" w:hRule="atLeast"/>
        </w:trPr>
        <w:tc>
          <w:tcPr>
            <w:tcW w:w="705" w:type="pct"/>
            <w:vMerge w:val="continue"/>
            <w:vAlign w:val="center"/>
          </w:tcPr>
          <w:p w14:paraId="1F6B042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szCs w:val="21"/>
                <w:u w:val="single"/>
              </w:rPr>
            </w:pPr>
          </w:p>
        </w:tc>
        <w:tc>
          <w:tcPr>
            <w:tcW w:w="702" w:type="pct"/>
            <w:vMerge w:val="continue"/>
            <w:vAlign w:val="center"/>
          </w:tcPr>
          <w:p w14:paraId="77EEC41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szCs w:val="21"/>
                <w:u w:val="single"/>
              </w:rPr>
            </w:pPr>
          </w:p>
        </w:tc>
        <w:tc>
          <w:tcPr>
            <w:tcW w:w="702" w:type="pct"/>
            <w:vMerge w:val="continue"/>
            <w:vAlign w:val="center"/>
          </w:tcPr>
          <w:p w14:paraId="75DE0B6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szCs w:val="21"/>
                <w:u w:val="single"/>
              </w:rPr>
            </w:pPr>
          </w:p>
        </w:tc>
        <w:tc>
          <w:tcPr>
            <w:tcW w:w="628" w:type="pct"/>
            <w:vMerge w:val="continue"/>
            <w:vAlign w:val="center"/>
          </w:tcPr>
          <w:p w14:paraId="5DC3CE4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szCs w:val="21"/>
                <w:u w:val="single"/>
              </w:rPr>
            </w:pPr>
          </w:p>
        </w:tc>
        <w:tc>
          <w:tcPr>
            <w:tcW w:w="819" w:type="pct"/>
            <w:vMerge w:val="continue"/>
            <w:vAlign w:val="center"/>
          </w:tcPr>
          <w:p w14:paraId="72801C5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
                <w:szCs w:val="21"/>
                <w:u w:val="single"/>
              </w:rPr>
            </w:pPr>
          </w:p>
        </w:tc>
        <w:tc>
          <w:tcPr>
            <w:tcW w:w="700" w:type="pct"/>
            <w:vAlign w:val="center"/>
          </w:tcPr>
          <w:p w14:paraId="34E3AAC0">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排放系数R</w:t>
            </w:r>
          </w:p>
        </w:tc>
        <w:tc>
          <w:tcPr>
            <w:tcW w:w="744" w:type="pct"/>
            <w:vAlign w:val="center"/>
          </w:tcPr>
          <w:p w14:paraId="00E9D0F2">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single"/>
              </w:rPr>
            </w:pPr>
            <w:r>
              <w:rPr>
                <w:rFonts w:hint="default" w:ascii="Times New Roman" w:hAnsi="Times New Roman" w:eastAsia="宋体" w:cs="Times New Roman"/>
                <w:b/>
                <w:color w:val="auto"/>
                <w:sz w:val="21"/>
                <w:szCs w:val="21"/>
                <w:u w:val="single"/>
              </w:rPr>
              <w:t>要求最低有效高度</w:t>
            </w:r>
          </w:p>
        </w:tc>
      </w:tr>
      <w:tr w14:paraId="73D8579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c>
          <w:tcPr>
            <w:tcW w:w="705" w:type="pct"/>
            <w:vMerge w:val="restart"/>
            <w:vAlign w:val="center"/>
          </w:tcPr>
          <w:p w14:paraId="4463F3AD">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lang w:eastAsia="zh-CN"/>
              </w:rPr>
              <w:t>危险废物综合处置车间</w:t>
            </w:r>
            <w:r>
              <w:rPr>
                <w:rFonts w:hint="default" w:ascii="Times New Roman" w:hAnsi="Times New Roman" w:eastAsia="宋体" w:cs="Times New Roman"/>
                <w:bCs/>
                <w:color w:val="auto"/>
                <w:sz w:val="21"/>
                <w:szCs w:val="21"/>
                <w:u w:val="single"/>
              </w:rPr>
              <w:t>排气筒DA001</w:t>
            </w:r>
          </w:p>
        </w:tc>
        <w:tc>
          <w:tcPr>
            <w:tcW w:w="702" w:type="pct"/>
            <w:vAlign w:val="center"/>
          </w:tcPr>
          <w:p w14:paraId="39DC4E6A">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VOCs</w:t>
            </w:r>
          </w:p>
        </w:tc>
        <w:tc>
          <w:tcPr>
            <w:tcW w:w="702" w:type="pct"/>
            <w:vAlign w:val="center"/>
          </w:tcPr>
          <w:p w14:paraId="7A9C60B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0.29</w:t>
            </w:r>
          </w:p>
        </w:tc>
        <w:tc>
          <w:tcPr>
            <w:tcW w:w="628" w:type="pct"/>
            <w:vMerge w:val="restart"/>
            <w:vAlign w:val="center"/>
          </w:tcPr>
          <w:p w14:paraId="5E898AF0">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15</w:t>
            </w:r>
          </w:p>
        </w:tc>
        <w:tc>
          <w:tcPr>
            <w:tcW w:w="819" w:type="pct"/>
            <w:vAlign w:val="center"/>
          </w:tcPr>
          <w:p w14:paraId="786D5BF7">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1.8</w:t>
            </w:r>
          </w:p>
        </w:tc>
        <w:tc>
          <w:tcPr>
            <w:tcW w:w="700" w:type="pct"/>
            <w:vAlign w:val="center"/>
          </w:tcPr>
          <w:p w14:paraId="0C38E8A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0.16</w:t>
            </w:r>
          </w:p>
        </w:tc>
        <w:tc>
          <w:tcPr>
            <w:tcW w:w="744" w:type="pct"/>
            <w:vAlign w:val="center"/>
          </w:tcPr>
          <w:p w14:paraId="492C725D">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15</w:t>
            </w:r>
          </w:p>
        </w:tc>
      </w:tr>
      <w:tr w14:paraId="42392B8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c>
          <w:tcPr>
            <w:tcW w:w="705" w:type="pct"/>
            <w:vMerge w:val="continue"/>
            <w:vAlign w:val="center"/>
          </w:tcPr>
          <w:p w14:paraId="4AF40D18">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p>
        </w:tc>
        <w:tc>
          <w:tcPr>
            <w:tcW w:w="702" w:type="pct"/>
            <w:vAlign w:val="center"/>
          </w:tcPr>
          <w:p w14:paraId="5C64DF07">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苯</w:t>
            </w:r>
          </w:p>
        </w:tc>
        <w:tc>
          <w:tcPr>
            <w:tcW w:w="702" w:type="pct"/>
            <w:vAlign w:val="center"/>
          </w:tcPr>
          <w:p w14:paraId="3811FD8D">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0.0087</w:t>
            </w:r>
          </w:p>
        </w:tc>
        <w:tc>
          <w:tcPr>
            <w:tcW w:w="628" w:type="pct"/>
            <w:vMerge w:val="continue"/>
            <w:vAlign w:val="center"/>
          </w:tcPr>
          <w:p w14:paraId="4700C24D">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p>
        </w:tc>
        <w:tc>
          <w:tcPr>
            <w:tcW w:w="819" w:type="pct"/>
            <w:vAlign w:val="center"/>
          </w:tcPr>
          <w:p w14:paraId="04F8367E">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0.11</w:t>
            </w:r>
          </w:p>
        </w:tc>
        <w:tc>
          <w:tcPr>
            <w:tcW w:w="700" w:type="pct"/>
            <w:vAlign w:val="center"/>
          </w:tcPr>
          <w:p w14:paraId="24A003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0.079</w:t>
            </w:r>
          </w:p>
        </w:tc>
        <w:tc>
          <w:tcPr>
            <w:tcW w:w="744" w:type="pct"/>
            <w:vAlign w:val="center"/>
          </w:tcPr>
          <w:p w14:paraId="31140A7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15</w:t>
            </w:r>
          </w:p>
        </w:tc>
      </w:tr>
      <w:tr w14:paraId="69AB91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c>
          <w:tcPr>
            <w:tcW w:w="705" w:type="pct"/>
            <w:vMerge w:val="continue"/>
            <w:vAlign w:val="center"/>
          </w:tcPr>
          <w:p w14:paraId="7C989B5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szCs w:val="21"/>
                <w:u w:val="single"/>
              </w:rPr>
            </w:pPr>
          </w:p>
        </w:tc>
        <w:tc>
          <w:tcPr>
            <w:tcW w:w="702" w:type="pct"/>
            <w:vAlign w:val="center"/>
          </w:tcPr>
          <w:p w14:paraId="52255145">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甲苯</w:t>
            </w:r>
          </w:p>
        </w:tc>
        <w:tc>
          <w:tcPr>
            <w:tcW w:w="702" w:type="pct"/>
            <w:vAlign w:val="center"/>
          </w:tcPr>
          <w:p w14:paraId="5DBD54F4">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sz w:val="21"/>
                <w:szCs w:val="21"/>
                <w:u w:val="single"/>
              </w:rPr>
              <w:t>0.0087</w:t>
            </w:r>
          </w:p>
        </w:tc>
        <w:tc>
          <w:tcPr>
            <w:tcW w:w="628" w:type="pct"/>
            <w:vMerge w:val="continue"/>
            <w:vAlign w:val="center"/>
          </w:tcPr>
          <w:p w14:paraId="62F9D7C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FF0000"/>
                <w:szCs w:val="21"/>
                <w:u w:val="single"/>
              </w:rPr>
            </w:pPr>
          </w:p>
        </w:tc>
        <w:tc>
          <w:tcPr>
            <w:tcW w:w="819" w:type="pct"/>
            <w:vAlign w:val="center"/>
          </w:tcPr>
          <w:p w14:paraId="18FA7434">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0.2</w:t>
            </w:r>
          </w:p>
        </w:tc>
        <w:tc>
          <w:tcPr>
            <w:tcW w:w="700" w:type="pct"/>
            <w:vAlign w:val="center"/>
          </w:tcPr>
          <w:p w14:paraId="1C801E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0.044</w:t>
            </w:r>
          </w:p>
        </w:tc>
        <w:tc>
          <w:tcPr>
            <w:tcW w:w="744" w:type="pct"/>
            <w:vAlign w:val="center"/>
          </w:tcPr>
          <w:p w14:paraId="449D1FEB">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15</w:t>
            </w:r>
          </w:p>
        </w:tc>
      </w:tr>
      <w:tr w14:paraId="1F1AF9E7">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c>
          <w:tcPr>
            <w:tcW w:w="705" w:type="pct"/>
            <w:vMerge w:val="continue"/>
            <w:vAlign w:val="center"/>
          </w:tcPr>
          <w:p w14:paraId="001500E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szCs w:val="21"/>
                <w:u w:val="single"/>
              </w:rPr>
            </w:pPr>
          </w:p>
        </w:tc>
        <w:tc>
          <w:tcPr>
            <w:tcW w:w="702" w:type="pct"/>
            <w:vAlign w:val="center"/>
          </w:tcPr>
          <w:p w14:paraId="30A4A0FF">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二甲苯</w:t>
            </w:r>
          </w:p>
        </w:tc>
        <w:tc>
          <w:tcPr>
            <w:tcW w:w="702" w:type="pct"/>
            <w:vAlign w:val="center"/>
          </w:tcPr>
          <w:p w14:paraId="4233043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szCs w:val="21"/>
                <w:u w:val="single"/>
              </w:rPr>
            </w:pPr>
            <w:r>
              <w:rPr>
                <w:rFonts w:hint="default" w:ascii="Times New Roman" w:hAnsi="Times New Roman" w:eastAsia="宋体" w:cs="Times New Roman"/>
                <w:szCs w:val="21"/>
                <w:u w:val="single"/>
              </w:rPr>
              <w:t>0.0087</w:t>
            </w:r>
          </w:p>
        </w:tc>
        <w:tc>
          <w:tcPr>
            <w:tcW w:w="628" w:type="pct"/>
            <w:vMerge w:val="continue"/>
            <w:vAlign w:val="center"/>
          </w:tcPr>
          <w:p w14:paraId="3AA4477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bCs/>
                <w:color w:val="FF0000"/>
                <w:szCs w:val="21"/>
                <w:u w:val="single"/>
              </w:rPr>
            </w:pPr>
          </w:p>
        </w:tc>
        <w:tc>
          <w:tcPr>
            <w:tcW w:w="819" w:type="pct"/>
            <w:vAlign w:val="center"/>
          </w:tcPr>
          <w:p w14:paraId="7A5E62E2">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0.2</w:t>
            </w:r>
          </w:p>
        </w:tc>
        <w:tc>
          <w:tcPr>
            <w:tcW w:w="700" w:type="pct"/>
            <w:vAlign w:val="center"/>
          </w:tcPr>
          <w:p w14:paraId="32EC90B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0.044</w:t>
            </w:r>
          </w:p>
        </w:tc>
        <w:tc>
          <w:tcPr>
            <w:tcW w:w="744" w:type="pct"/>
            <w:vAlign w:val="center"/>
          </w:tcPr>
          <w:p w14:paraId="5C3E72F1">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15</w:t>
            </w:r>
          </w:p>
        </w:tc>
      </w:tr>
      <w:tr w14:paraId="76B002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420" w:hRule="atLeast"/>
        </w:trPr>
        <w:tc>
          <w:tcPr>
            <w:tcW w:w="705" w:type="pct"/>
            <w:vMerge w:val="restart"/>
            <w:vAlign w:val="center"/>
          </w:tcPr>
          <w:p w14:paraId="5555E0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zCs w:val="21"/>
                <w:u w:val="single"/>
              </w:rPr>
            </w:pPr>
            <w:r>
              <w:rPr>
                <w:rFonts w:hint="default" w:ascii="Times New Roman" w:hAnsi="Times New Roman" w:eastAsia="宋体" w:cs="Times New Roman"/>
                <w:bCs/>
                <w:szCs w:val="21"/>
                <w:u w:val="single"/>
              </w:rPr>
              <w:t>危废贮存库排气筒DA002</w:t>
            </w:r>
          </w:p>
        </w:tc>
        <w:tc>
          <w:tcPr>
            <w:tcW w:w="702" w:type="pct"/>
            <w:tcBorders>
              <w:bottom w:val="single" w:color="auto" w:sz="4" w:space="0"/>
            </w:tcBorders>
            <w:vAlign w:val="center"/>
          </w:tcPr>
          <w:p w14:paraId="63007890">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NH</w:t>
            </w:r>
            <w:r>
              <w:rPr>
                <w:rFonts w:hint="default" w:ascii="Times New Roman" w:hAnsi="Times New Roman" w:eastAsia="宋体" w:cs="Times New Roman"/>
                <w:bCs/>
                <w:color w:val="auto"/>
                <w:sz w:val="21"/>
                <w:szCs w:val="21"/>
                <w:u w:val="single"/>
                <w:vertAlign w:val="subscript"/>
              </w:rPr>
              <w:t>3</w:t>
            </w:r>
          </w:p>
        </w:tc>
        <w:tc>
          <w:tcPr>
            <w:tcW w:w="702" w:type="pct"/>
            <w:tcBorders>
              <w:bottom w:val="single" w:color="auto" w:sz="4" w:space="0"/>
            </w:tcBorders>
            <w:vAlign w:val="center"/>
          </w:tcPr>
          <w:p w14:paraId="12EE5656">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0.000038</w:t>
            </w:r>
          </w:p>
        </w:tc>
        <w:tc>
          <w:tcPr>
            <w:tcW w:w="628" w:type="pct"/>
            <w:vMerge w:val="restart"/>
            <w:vAlign w:val="center"/>
          </w:tcPr>
          <w:p w14:paraId="6D5656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zCs w:val="21"/>
                <w:u w:val="single"/>
              </w:rPr>
            </w:pPr>
            <w:r>
              <w:rPr>
                <w:rFonts w:hint="default" w:ascii="Times New Roman" w:hAnsi="Times New Roman" w:eastAsia="宋体" w:cs="Times New Roman"/>
                <w:bCs/>
                <w:szCs w:val="21"/>
                <w:u w:val="single"/>
              </w:rPr>
              <w:t>15</w:t>
            </w:r>
          </w:p>
        </w:tc>
        <w:tc>
          <w:tcPr>
            <w:tcW w:w="819" w:type="pct"/>
            <w:tcBorders>
              <w:bottom w:val="single" w:color="auto" w:sz="4" w:space="0"/>
            </w:tcBorders>
            <w:vAlign w:val="center"/>
          </w:tcPr>
          <w:p w14:paraId="2DF2F775">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0.2</w:t>
            </w:r>
          </w:p>
        </w:tc>
        <w:tc>
          <w:tcPr>
            <w:tcW w:w="700" w:type="pct"/>
            <w:tcBorders>
              <w:bottom w:val="single" w:color="auto" w:sz="4" w:space="0"/>
            </w:tcBorders>
            <w:vAlign w:val="center"/>
          </w:tcPr>
          <w:p w14:paraId="4F66860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0.09</w:t>
            </w:r>
          </w:p>
        </w:tc>
        <w:tc>
          <w:tcPr>
            <w:tcW w:w="744" w:type="pct"/>
            <w:tcBorders>
              <w:bottom w:val="single" w:color="auto" w:sz="4" w:space="0"/>
            </w:tcBorders>
            <w:vAlign w:val="center"/>
          </w:tcPr>
          <w:p w14:paraId="5226E619">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15</w:t>
            </w:r>
          </w:p>
        </w:tc>
      </w:tr>
      <w:tr w14:paraId="2B5B45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28" w:type="dxa"/>
            <w:bottom w:w="0" w:type="dxa"/>
            <w:right w:w="28" w:type="dxa"/>
          </w:tblCellMar>
        </w:tblPrEx>
        <w:trPr>
          <w:trHeight w:val="552" w:hRule="atLeast"/>
        </w:trPr>
        <w:tc>
          <w:tcPr>
            <w:tcW w:w="705" w:type="pct"/>
            <w:vMerge w:val="continue"/>
            <w:vAlign w:val="center"/>
          </w:tcPr>
          <w:p w14:paraId="76C44AB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zCs w:val="21"/>
                <w:u w:val="single"/>
              </w:rPr>
            </w:pPr>
          </w:p>
        </w:tc>
        <w:tc>
          <w:tcPr>
            <w:tcW w:w="702" w:type="pct"/>
            <w:tcBorders>
              <w:top w:val="single" w:color="auto" w:sz="4" w:space="0"/>
            </w:tcBorders>
            <w:vAlign w:val="center"/>
          </w:tcPr>
          <w:p w14:paraId="16AFC2E0">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H</w:t>
            </w:r>
            <w:r>
              <w:rPr>
                <w:rFonts w:hint="default" w:ascii="Times New Roman" w:hAnsi="Times New Roman" w:eastAsia="宋体" w:cs="Times New Roman"/>
                <w:bCs/>
                <w:color w:val="auto"/>
                <w:sz w:val="21"/>
                <w:szCs w:val="21"/>
                <w:u w:val="single"/>
                <w:vertAlign w:val="subscript"/>
              </w:rPr>
              <w:t>2</w:t>
            </w:r>
            <w:r>
              <w:rPr>
                <w:rFonts w:hint="default" w:ascii="Times New Roman" w:hAnsi="Times New Roman" w:eastAsia="宋体" w:cs="Times New Roman"/>
                <w:bCs/>
                <w:color w:val="auto"/>
                <w:sz w:val="21"/>
                <w:szCs w:val="21"/>
                <w:u w:val="single"/>
              </w:rPr>
              <w:t>S</w:t>
            </w:r>
          </w:p>
        </w:tc>
        <w:tc>
          <w:tcPr>
            <w:tcW w:w="702" w:type="pct"/>
            <w:tcBorders>
              <w:top w:val="single" w:color="auto" w:sz="4" w:space="0"/>
            </w:tcBorders>
            <w:vAlign w:val="center"/>
          </w:tcPr>
          <w:p w14:paraId="14186FC1">
            <w:pPr>
              <w:keepNext w:val="0"/>
              <w:keepLines w:val="0"/>
              <w:suppressLineNumbers w:val="0"/>
              <w:spacing w:before="0" w:beforeAutospacing="0" w:after="0" w:afterAutospacing="0"/>
              <w:ind w:left="0" w:right="0"/>
              <w:jc w:val="center"/>
              <w:rPr>
                <w:rFonts w:hint="default" w:ascii="Times New Roman" w:hAnsi="Times New Roman" w:eastAsia="宋体" w:cs="Times New Roman"/>
                <w:u w:val="single"/>
              </w:rPr>
            </w:pPr>
            <w:r>
              <w:rPr>
                <w:rFonts w:hint="default" w:ascii="Times New Roman" w:hAnsi="Times New Roman" w:eastAsia="宋体" w:cs="Times New Roman"/>
                <w:u w:val="single"/>
              </w:rPr>
              <w:t>0.00011</w:t>
            </w:r>
          </w:p>
        </w:tc>
        <w:tc>
          <w:tcPr>
            <w:tcW w:w="628" w:type="pct"/>
            <w:vMerge w:val="continue"/>
            <w:vAlign w:val="center"/>
          </w:tcPr>
          <w:p w14:paraId="553527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Cs/>
                <w:szCs w:val="21"/>
                <w:u w:val="single"/>
              </w:rPr>
            </w:pPr>
          </w:p>
        </w:tc>
        <w:tc>
          <w:tcPr>
            <w:tcW w:w="819" w:type="pct"/>
            <w:tcBorders>
              <w:top w:val="single" w:color="auto" w:sz="4" w:space="0"/>
            </w:tcBorders>
            <w:vAlign w:val="center"/>
          </w:tcPr>
          <w:p w14:paraId="2FABA04B">
            <w:pPr>
              <w:pStyle w:val="12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bCs/>
                <w:color w:val="auto"/>
                <w:sz w:val="21"/>
                <w:szCs w:val="21"/>
                <w:u w:val="single"/>
              </w:rPr>
            </w:pPr>
            <w:r>
              <w:rPr>
                <w:rFonts w:hint="default" w:ascii="Times New Roman" w:hAnsi="Times New Roman" w:eastAsia="宋体" w:cs="Times New Roman"/>
                <w:bCs/>
                <w:color w:val="auto"/>
                <w:sz w:val="21"/>
                <w:szCs w:val="21"/>
                <w:u w:val="single"/>
              </w:rPr>
              <w:t>0.01</w:t>
            </w:r>
          </w:p>
        </w:tc>
        <w:tc>
          <w:tcPr>
            <w:tcW w:w="700" w:type="pct"/>
            <w:tcBorders>
              <w:top w:val="single" w:color="auto" w:sz="4" w:space="0"/>
            </w:tcBorders>
            <w:vAlign w:val="center"/>
          </w:tcPr>
          <w:p w14:paraId="3E16206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0.092</w:t>
            </w:r>
          </w:p>
        </w:tc>
        <w:tc>
          <w:tcPr>
            <w:tcW w:w="744" w:type="pct"/>
            <w:tcBorders>
              <w:top w:val="single" w:color="auto" w:sz="4" w:space="0"/>
            </w:tcBorders>
            <w:vAlign w:val="center"/>
          </w:tcPr>
          <w:p w14:paraId="50ADC7A5">
            <w:pPr>
              <w:pStyle w:val="125"/>
              <w:keepNext w:val="0"/>
              <w:keepLines w:val="0"/>
              <w:suppressLineNumbers w:val="0"/>
              <w:spacing w:before="0" w:beforeAutospacing="0" w:after="0" w:afterAutospacing="0" w:line="320" w:lineRule="exact"/>
              <w:ind w:left="0" w:right="0" w:firstLine="0" w:firstLineChars="0"/>
              <w:jc w:val="center"/>
              <w:rPr>
                <w:rFonts w:hint="default" w:ascii="Times New Roman" w:hAnsi="Times New Roman" w:eastAsia="宋体" w:cs="Times New Roman"/>
                <w:color w:val="auto"/>
                <w:sz w:val="21"/>
                <w:szCs w:val="21"/>
                <w:u w:val="single"/>
              </w:rPr>
            </w:pPr>
            <w:r>
              <w:rPr>
                <w:rFonts w:hint="default" w:ascii="Times New Roman" w:hAnsi="Times New Roman" w:eastAsia="宋体" w:cs="Times New Roman"/>
                <w:color w:val="auto"/>
                <w:sz w:val="21"/>
                <w:szCs w:val="21"/>
                <w:u w:val="single"/>
              </w:rPr>
              <w:t>15</w:t>
            </w:r>
          </w:p>
        </w:tc>
      </w:tr>
    </w:tbl>
    <w:p w14:paraId="4BBB2EF8">
      <w:pPr>
        <w:spacing w:line="360" w:lineRule="auto"/>
        <w:ind w:firstLine="480" w:firstLineChars="200"/>
        <w:rPr>
          <w:rFonts w:hint="default" w:ascii="Times New Roman" w:hAnsi="Times New Roman" w:eastAsia="宋体" w:cs="Times New Roman"/>
          <w:kern w:val="0"/>
          <w:sz w:val="24"/>
          <w:szCs w:val="28"/>
          <w:u w:val="single"/>
        </w:rPr>
      </w:pPr>
      <w:r>
        <w:rPr>
          <w:rFonts w:hint="default" w:ascii="Times New Roman" w:hAnsi="Times New Roman" w:eastAsia="宋体" w:cs="Times New Roman"/>
          <w:kern w:val="0"/>
          <w:sz w:val="24"/>
          <w:szCs w:val="28"/>
          <w:u w:val="single"/>
        </w:rPr>
        <w:t>由上表可知，本项目的排气筒高度均能达到所需有效高度要求。另外，本排放DA001排气筒排放的苯、甲苯、二甲苯均执行《大气污染物综合排放标准》（GB8978-1996），因此DA001排气筒的高度应高于周围200m半径范围内的建筑5m以上，通过对项目周边的调查，现阶段项目拟设排气筒</w:t>
      </w:r>
      <w:r>
        <w:rPr>
          <w:rFonts w:hint="default" w:ascii="Times New Roman" w:hAnsi="Times New Roman" w:eastAsia="宋体" w:cs="Times New Roman"/>
          <w:kern w:val="0"/>
          <w:sz w:val="24"/>
          <w:szCs w:val="28"/>
          <w:u w:val="single"/>
          <w:lang w:val="en-US" w:eastAsia="zh-CN"/>
        </w:rPr>
        <w:t>高度</w:t>
      </w:r>
      <w:r>
        <w:rPr>
          <w:rFonts w:hint="default" w:ascii="Times New Roman" w:hAnsi="Times New Roman" w:eastAsia="宋体" w:cs="Times New Roman"/>
          <w:kern w:val="0"/>
          <w:sz w:val="24"/>
          <w:szCs w:val="28"/>
          <w:u w:val="single"/>
        </w:rPr>
        <w:t>的</w:t>
      </w:r>
      <w:r>
        <w:rPr>
          <w:rFonts w:hint="default" w:ascii="Times New Roman" w:hAnsi="Times New Roman" w:eastAsia="宋体" w:cs="Times New Roman"/>
          <w:kern w:val="0"/>
          <w:sz w:val="24"/>
          <w:szCs w:val="28"/>
          <w:u w:val="single"/>
          <w:lang w:val="en-US" w:eastAsia="zh-CN"/>
        </w:rPr>
        <w:t>可满足以上条件</w:t>
      </w:r>
      <w:r>
        <w:rPr>
          <w:rFonts w:hint="default" w:ascii="Times New Roman" w:hAnsi="Times New Roman" w:eastAsia="宋体" w:cs="Times New Roman"/>
          <w:kern w:val="0"/>
          <w:sz w:val="24"/>
          <w:szCs w:val="28"/>
          <w:u w:val="single"/>
        </w:rPr>
        <w:t>。</w:t>
      </w:r>
    </w:p>
    <w:p w14:paraId="57EA6A4D">
      <w:pPr>
        <w:spacing w:line="360" w:lineRule="auto"/>
        <w:ind w:firstLine="480" w:firstLineChars="200"/>
        <w:rPr>
          <w:rFonts w:hint="default" w:ascii="Times New Roman" w:hAnsi="Times New Roman" w:eastAsia="宋体" w:cs="Times New Roman"/>
          <w:u w:val="single"/>
        </w:rPr>
      </w:pPr>
      <w:r>
        <w:rPr>
          <w:rFonts w:hint="default" w:ascii="Times New Roman" w:hAnsi="Times New Roman" w:eastAsia="宋体" w:cs="Times New Roman"/>
          <w:kern w:val="0"/>
          <w:sz w:val="24"/>
          <w:szCs w:val="28"/>
          <w:u w:val="single"/>
        </w:rPr>
        <w:t>综上，本项目排气筒的设置高度是可行的。</w:t>
      </w:r>
    </w:p>
    <w:p w14:paraId="420B151A">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8.1.4无组织废气治理措施</w:t>
      </w:r>
    </w:p>
    <w:p w14:paraId="091C5F8F">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废气无组织排放主要来源于生产及储运过程物料挥发逸散以及密封失效点物料的跑冒滴漏</w:t>
      </w:r>
      <w:r>
        <w:rPr>
          <w:rFonts w:hint="default" w:ascii="Times New Roman" w:hAnsi="Times New Roman" w:eastAsia="宋体" w:cs="Times New Roman"/>
          <w:sz w:val="24"/>
          <w:szCs w:val="21"/>
          <w:lang w:val="en-US" w:eastAsia="zh-CN"/>
        </w:rPr>
        <w:t>以及污水处理站产生的少量恶臭气体（NH</w:t>
      </w:r>
      <w:r>
        <w:rPr>
          <w:rFonts w:hint="default" w:ascii="Times New Roman" w:hAnsi="Times New Roman" w:eastAsia="宋体" w:cs="Times New Roman"/>
          <w:sz w:val="24"/>
          <w:szCs w:val="21"/>
          <w:vertAlign w:val="subscript"/>
          <w:lang w:val="en-US" w:eastAsia="zh-CN"/>
        </w:rPr>
        <w:t>3</w:t>
      </w:r>
      <w:r>
        <w:rPr>
          <w:rFonts w:hint="default" w:ascii="Times New Roman" w:hAnsi="Times New Roman" w:eastAsia="宋体" w:cs="Times New Roman"/>
          <w:sz w:val="24"/>
          <w:szCs w:val="21"/>
          <w:lang w:val="en-US" w:eastAsia="zh-CN"/>
        </w:rPr>
        <w:t>、H</w:t>
      </w:r>
      <w:r>
        <w:rPr>
          <w:rFonts w:hint="default" w:ascii="Times New Roman" w:hAnsi="Times New Roman" w:eastAsia="宋体" w:cs="Times New Roman"/>
          <w:sz w:val="24"/>
          <w:szCs w:val="21"/>
          <w:vertAlign w:val="subscript"/>
          <w:lang w:val="en-US" w:eastAsia="zh-CN"/>
        </w:rPr>
        <w:t>2</w:t>
      </w:r>
      <w:r>
        <w:rPr>
          <w:rFonts w:hint="default" w:ascii="Times New Roman" w:hAnsi="Times New Roman" w:eastAsia="宋体" w:cs="Times New Roman"/>
          <w:sz w:val="24"/>
          <w:szCs w:val="21"/>
          <w:lang w:val="en-US" w:eastAsia="zh-CN"/>
        </w:rPr>
        <w:t>S、臭气浓度）</w:t>
      </w:r>
      <w:r>
        <w:rPr>
          <w:rFonts w:hint="default" w:ascii="Times New Roman" w:hAnsi="Times New Roman" w:eastAsia="宋体" w:cs="Times New Roman"/>
          <w:sz w:val="24"/>
          <w:szCs w:val="21"/>
        </w:rPr>
        <w:t>，为减少全厂的废气无组织排放，拟建项目拟采取如下无组织排放控制措施。</w:t>
      </w:r>
    </w:p>
    <w:p w14:paraId="0A44597A">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（1）加强生产管理和车间通风，生产车间设置全面排风系统，排风设备为屋顶防爆离心或轴流通风机，通过门、窗等缝隙的自然进出风，保证车间换气次数达到《工作场所有害因素职业接触限值 化学有害因素》（GBZ2.1-2007）中的要求。</w:t>
      </w:r>
    </w:p>
    <w:p w14:paraId="3195C7DC">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（2）在生产车间周围</w:t>
      </w:r>
      <w:r>
        <w:rPr>
          <w:rFonts w:hint="default" w:ascii="Times New Roman" w:hAnsi="Times New Roman" w:eastAsia="宋体" w:cs="Times New Roman"/>
          <w:sz w:val="24"/>
          <w:szCs w:val="21"/>
          <w:lang w:eastAsia="zh-CN"/>
        </w:rPr>
        <w:t>、</w:t>
      </w:r>
      <w:r>
        <w:rPr>
          <w:rFonts w:hint="default" w:ascii="Times New Roman" w:hAnsi="Times New Roman" w:eastAsia="宋体" w:cs="Times New Roman"/>
          <w:sz w:val="24"/>
          <w:szCs w:val="21"/>
          <w:lang w:val="en-US" w:eastAsia="zh-CN"/>
        </w:rPr>
        <w:t>污水处理站周围</w:t>
      </w:r>
      <w:r>
        <w:rPr>
          <w:rFonts w:hint="default" w:ascii="Times New Roman" w:hAnsi="Times New Roman" w:eastAsia="宋体" w:cs="Times New Roman"/>
          <w:sz w:val="24"/>
          <w:szCs w:val="21"/>
        </w:rPr>
        <w:t>及厂区四周进行植被绿化等措施。</w:t>
      </w:r>
    </w:p>
    <w:p w14:paraId="3A151D70">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（3）在生产中加强对无组织排放废气的控制监管，尽量减少无组织废气的排放， 建设单位拟成立专业设备管理部门，匹配专业设备管理员，建立相对完善和严格管理制度，确保设备完好率达到100％，杜绝跑冒滴漏发生。</w:t>
      </w:r>
    </w:p>
    <w:p w14:paraId="4B8838B7">
      <w:pPr>
        <w:pStyle w:val="3"/>
        <w:spacing w:before="0" w:after="0" w:line="360" w:lineRule="auto"/>
        <w:rPr>
          <w:rFonts w:hint="default" w:ascii="Times New Roman" w:hAnsi="Times New Roman" w:eastAsia="宋体" w:cs="Times New Roman"/>
        </w:rPr>
      </w:pPr>
      <w:bookmarkStart w:id="368" w:name="_Toc13216"/>
      <w:bookmarkStart w:id="369" w:name="_Toc119413806"/>
      <w:r>
        <w:rPr>
          <w:rFonts w:hint="default" w:ascii="Times New Roman" w:hAnsi="Times New Roman" w:eastAsia="宋体" w:cs="Times New Roman"/>
        </w:rPr>
        <w:t>8.2废水治理措施可行性</w:t>
      </w:r>
      <w:bookmarkEnd w:id="368"/>
      <w:bookmarkEnd w:id="369"/>
    </w:p>
    <w:p w14:paraId="719A8033">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产生的废水包括生产废水和员工生活污水，生产废水主要来源于废包装桶整形翻新过程产生的清洗废水、废金属包装容器破碎清洗过程清洗废水、废塑料包装物破碎清洗过程清洗废水。各生产线废水统一通过厂区内的排水管道汇入项目自建的污水处理站，经处理达标后</w:t>
      </w:r>
      <w:r>
        <w:rPr>
          <w:rFonts w:hint="default" w:ascii="Times New Roman" w:hAnsi="Times New Roman" w:eastAsia="宋体" w:cs="Times New Roman"/>
          <w:sz w:val="24"/>
          <w:szCs w:val="21"/>
          <w:lang w:val="en-US" w:eastAsia="zh-CN"/>
        </w:rPr>
        <w:t>优先回用于生产</w:t>
      </w:r>
      <w:r>
        <w:rPr>
          <w:rFonts w:hint="default" w:ascii="Times New Roman" w:hAnsi="Times New Roman" w:eastAsia="宋体" w:cs="Times New Roman"/>
          <w:sz w:val="24"/>
          <w:szCs w:val="21"/>
        </w:rPr>
        <w:t>。</w:t>
      </w:r>
      <w:r>
        <w:rPr>
          <w:rFonts w:hint="default" w:ascii="Times New Roman" w:hAnsi="Times New Roman" w:eastAsia="宋体" w:cs="Times New Roman"/>
          <w:sz w:val="24"/>
          <w:szCs w:val="21"/>
          <w:lang w:val="en-US" w:eastAsia="zh-CN"/>
        </w:rPr>
        <w:t>根据建设单位的回用计划，拟回用一次后再次进入污水处理站，处理达到</w:t>
      </w:r>
      <w:r>
        <w:rPr>
          <w:rFonts w:hint="default" w:ascii="Times New Roman" w:hAnsi="Times New Roman" w:eastAsia="宋体" w:cs="Times New Roman"/>
          <w:sz w:val="24"/>
          <w:szCs w:val="21"/>
        </w:rPr>
        <w:t>经处理达</w:t>
      </w:r>
      <w:r>
        <w:rPr>
          <w:rFonts w:hint="default" w:ascii="Times New Roman" w:hAnsi="Times New Roman" w:eastAsia="宋体" w:cs="Times New Roman"/>
          <w:sz w:val="24"/>
          <w:szCs w:val="21"/>
          <w:lang w:val="en-US" w:eastAsia="zh-CN"/>
        </w:rPr>
        <w:t>到</w:t>
      </w:r>
      <w:r>
        <w:rPr>
          <w:rFonts w:hint="default" w:ascii="Times New Roman" w:hAnsi="Times New Roman" w:eastAsia="宋体" w:cs="Times New Roman"/>
          <w:sz w:val="24"/>
          <w:szCs w:val="21"/>
        </w:rPr>
        <w:t>《污水综合排放标准》（GB8978-1996）表4三级标准，</w:t>
      </w:r>
      <w:r>
        <w:rPr>
          <w:rFonts w:hint="default" w:ascii="Times New Roman" w:hAnsi="Times New Roman" w:eastAsia="宋体" w:cs="Times New Roman"/>
          <w:sz w:val="24"/>
          <w:szCs w:val="21"/>
          <w:lang w:val="en-US" w:eastAsia="zh-CN"/>
        </w:rPr>
        <w:t>且</w:t>
      </w:r>
      <w:r>
        <w:rPr>
          <w:rFonts w:hint="default" w:ascii="Times New Roman" w:hAnsi="Times New Roman" w:eastAsia="宋体" w:cs="Times New Roman"/>
          <w:sz w:val="24"/>
          <w:szCs w:val="21"/>
        </w:rPr>
        <w:t>同时满足松木污水处理厂进水水质要求后排入园区污水管网。</w:t>
      </w:r>
    </w:p>
    <w:p w14:paraId="3D46AE16">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8.2.1生产废水治理措施</w:t>
      </w:r>
      <w:r>
        <w:rPr>
          <w:rFonts w:hint="default" w:ascii="Times New Roman" w:hAnsi="Times New Roman" w:eastAsia="宋体" w:cs="Times New Roman"/>
          <w:sz w:val="24"/>
          <w:u w:val="single"/>
          <w:lang w:val="en-US" w:eastAsia="zh-CN"/>
        </w:rPr>
        <w:t>及回用</w:t>
      </w:r>
      <w:r>
        <w:rPr>
          <w:rFonts w:hint="default" w:ascii="Times New Roman" w:hAnsi="Times New Roman" w:eastAsia="宋体" w:cs="Times New Roman"/>
          <w:sz w:val="24"/>
          <w:u w:val="single"/>
        </w:rPr>
        <w:t>可行性</w:t>
      </w:r>
    </w:p>
    <w:p w14:paraId="6F2D35A0">
      <w:pPr>
        <w:spacing w:line="360" w:lineRule="auto"/>
        <w:ind w:firstLine="480" w:firstLineChars="200"/>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1"/>
          <w:u w:val="single"/>
        </w:rPr>
        <w:t>项目各生产线废水统一通过厂区内的排水管道汇入项目自建的污水处理站，经处理达标后</w:t>
      </w:r>
      <w:r>
        <w:rPr>
          <w:rFonts w:hint="default" w:ascii="Times New Roman" w:hAnsi="Times New Roman" w:eastAsia="宋体" w:cs="Times New Roman"/>
          <w:sz w:val="24"/>
          <w:szCs w:val="21"/>
          <w:u w:val="single"/>
          <w:lang w:val="en-US" w:eastAsia="zh-CN"/>
        </w:rPr>
        <w:t>通过预设管道转存至危险废物综合处置车间配套的蓄水池（50m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），之后回用于危险废物的再生清洗工序</w:t>
      </w:r>
      <w:r>
        <w:rPr>
          <w:rFonts w:hint="default" w:ascii="Times New Roman" w:hAnsi="Times New Roman" w:eastAsia="宋体" w:cs="Times New Roman"/>
          <w:sz w:val="24"/>
          <w:szCs w:val="21"/>
          <w:u w:val="single"/>
          <w:lang w:eastAsia="zh-CN"/>
        </w:rPr>
        <w:t>。</w:t>
      </w:r>
    </w:p>
    <w:p w14:paraId="3F66B6D9">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项目生产废水产生量为</w:t>
      </w:r>
      <w:r>
        <w:rPr>
          <w:rFonts w:hint="default" w:ascii="Times New Roman" w:hAnsi="Times New Roman" w:eastAsia="宋体" w:cs="Times New Roman"/>
          <w:sz w:val="24"/>
          <w:szCs w:val="21"/>
          <w:u w:val="single"/>
          <w:lang w:val="en-US" w:eastAsia="zh-CN"/>
        </w:rPr>
        <w:t>22.4</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/d（</w:t>
      </w:r>
      <w:r>
        <w:rPr>
          <w:rFonts w:hint="default" w:ascii="Times New Roman" w:hAnsi="Times New Roman" w:eastAsia="宋体" w:cs="Times New Roman"/>
          <w:sz w:val="24"/>
          <w:szCs w:val="21"/>
          <w:u w:val="single"/>
          <w:lang w:val="en-US" w:eastAsia="zh-CN"/>
        </w:rPr>
        <w:t>7392</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3</w:t>
      </w:r>
      <w:r>
        <w:rPr>
          <w:rFonts w:hint="default" w:ascii="Times New Roman" w:hAnsi="Times New Roman" w:eastAsia="宋体" w:cs="Times New Roman"/>
          <w:sz w:val="24"/>
          <w:szCs w:val="21"/>
          <w:u w:val="single"/>
        </w:rPr>
        <w:t>/a）</w:t>
      </w:r>
      <w:r>
        <w:rPr>
          <w:rFonts w:hint="default" w:ascii="Times New Roman" w:hAnsi="Times New Roman" w:eastAsia="宋体" w:cs="Times New Roman"/>
          <w:sz w:val="24"/>
          <w:szCs w:val="24"/>
          <w:u w:val="single"/>
        </w:rPr>
        <w:t>，废水中主要含pH、苯、甲苯、CODcr、BOD</w:t>
      </w:r>
      <w:r>
        <w:rPr>
          <w:rFonts w:hint="default" w:ascii="Times New Roman" w:hAnsi="Times New Roman" w:eastAsia="宋体" w:cs="Times New Roman"/>
          <w:sz w:val="24"/>
          <w:szCs w:val="24"/>
          <w:u w:val="single"/>
          <w:vertAlign w:val="subscript"/>
        </w:rPr>
        <w:t>5</w:t>
      </w:r>
      <w:r>
        <w:rPr>
          <w:rFonts w:hint="default" w:ascii="Times New Roman" w:hAnsi="Times New Roman" w:eastAsia="宋体" w:cs="Times New Roman"/>
          <w:sz w:val="24"/>
          <w:szCs w:val="24"/>
          <w:u w:val="single"/>
        </w:rPr>
        <w:t>、SS、石油类和LAS等污染物，本项目拟采用“</w:t>
      </w:r>
      <w:r>
        <w:rPr>
          <w:rFonts w:hint="default" w:ascii="Times New Roman" w:hAnsi="Times New Roman" w:eastAsia="宋体" w:cs="Times New Roman"/>
          <w:sz w:val="24"/>
          <w:szCs w:val="24"/>
          <w:u w:val="single"/>
          <w:lang w:eastAsia="zh-CN"/>
        </w:rPr>
        <w:t>pH调节+絮凝+气浮+芬顿氧化+水解酸化+AO处理+沉淀</w:t>
      </w:r>
      <w:r>
        <w:rPr>
          <w:rFonts w:hint="default" w:ascii="Times New Roman" w:hAnsi="Times New Roman" w:eastAsia="宋体" w:cs="Times New Roman"/>
          <w:sz w:val="24"/>
          <w:szCs w:val="24"/>
          <w:u w:val="single"/>
        </w:rPr>
        <w:t>”工艺对综合废水进行处理，污水处理站拟设计处理能力为</w:t>
      </w:r>
      <w:r>
        <w:rPr>
          <w:rFonts w:hint="default" w:ascii="Times New Roman" w:hAnsi="Times New Roman" w:eastAsia="宋体" w:cs="Times New Roman"/>
          <w:sz w:val="24"/>
          <w:szCs w:val="24"/>
          <w:u w:val="single"/>
          <w:lang w:val="en-US" w:eastAsia="zh-CN"/>
        </w:rPr>
        <w:t>3</w:t>
      </w:r>
      <w:r>
        <w:rPr>
          <w:rFonts w:hint="default" w:ascii="Times New Roman" w:hAnsi="Times New Roman" w:eastAsia="宋体" w:cs="Times New Roman"/>
          <w:sz w:val="24"/>
          <w:szCs w:val="24"/>
          <w:u w:val="single"/>
        </w:rPr>
        <w:t>0t/</w:t>
      </w:r>
      <w:r>
        <w:rPr>
          <w:rFonts w:hint="default" w:ascii="Times New Roman" w:hAnsi="Times New Roman" w:eastAsia="宋体" w:cs="Times New Roman"/>
          <w:sz w:val="24"/>
          <w:szCs w:val="24"/>
          <w:u w:val="single"/>
          <w:lang w:val="en-US" w:eastAsia="zh-CN"/>
        </w:rPr>
        <w:t>d</w:t>
      </w:r>
      <w:r>
        <w:rPr>
          <w:rFonts w:hint="default" w:ascii="Times New Roman" w:hAnsi="Times New Roman" w:eastAsia="宋体" w:cs="Times New Roman"/>
          <w:sz w:val="24"/>
          <w:szCs w:val="24"/>
          <w:u w:val="single"/>
        </w:rPr>
        <w:t>，能够处理本项目综合废水中含有的水污染物，不会超过其处理能力，处理后的废水能够稳定达标排放，满足依托的可行性要求。</w:t>
      </w:r>
    </w:p>
    <w:p w14:paraId="65476424">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本项目拟采用“</w:t>
      </w:r>
      <w:r>
        <w:rPr>
          <w:rFonts w:hint="default" w:ascii="Times New Roman" w:hAnsi="Times New Roman" w:eastAsia="宋体" w:cs="Times New Roman"/>
          <w:sz w:val="24"/>
          <w:szCs w:val="24"/>
          <w:u w:val="single"/>
          <w:lang w:eastAsia="zh-CN"/>
        </w:rPr>
        <w:t>pH调节+絮凝+气浮+芬顿氧化+水解酸化+AO处理+沉淀</w:t>
      </w:r>
      <w:r>
        <w:rPr>
          <w:rFonts w:hint="default" w:ascii="Times New Roman" w:hAnsi="Times New Roman" w:eastAsia="宋体" w:cs="Times New Roman"/>
          <w:sz w:val="24"/>
          <w:szCs w:val="24"/>
          <w:u w:val="single"/>
        </w:rPr>
        <w:t>”对综合废水进行处理，污水处理站的设计处理能力为</w:t>
      </w:r>
      <w:r>
        <w:rPr>
          <w:rFonts w:hint="default" w:ascii="Times New Roman" w:hAnsi="Times New Roman" w:eastAsia="宋体" w:cs="Times New Roman"/>
          <w:sz w:val="24"/>
          <w:szCs w:val="24"/>
          <w:u w:val="single"/>
          <w:lang w:val="en-US" w:eastAsia="zh-CN"/>
        </w:rPr>
        <w:t>30t/d</w:t>
      </w:r>
      <w:r>
        <w:rPr>
          <w:rFonts w:hint="default" w:ascii="Times New Roman" w:hAnsi="Times New Roman" w:eastAsia="宋体" w:cs="Times New Roman"/>
          <w:sz w:val="24"/>
          <w:szCs w:val="24"/>
          <w:u w:val="single"/>
        </w:rPr>
        <w:t>，综合废水实际产生量约为</w:t>
      </w:r>
      <w:r>
        <w:rPr>
          <w:rFonts w:hint="default" w:ascii="Times New Roman" w:hAnsi="Times New Roman" w:eastAsia="宋体" w:cs="Times New Roman"/>
          <w:sz w:val="24"/>
          <w:szCs w:val="24"/>
          <w:u w:val="single"/>
          <w:lang w:val="en-US" w:eastAsia="zh-CN"/>
        </w:rPr>
        <w:t>22.4</w:t>
      </w:r>
      <w:r>
        <w:rPr>
          <w:rFonts w:hint="default" w:ascii="Times New Roman" w:hAnsi="Times New Roman" w:eastAsia="宋体" w:cs="Times New Roman"/>
          <w:sz w:val="24"/>
          <w:szCs w:val="24"/>
          <w:u w:val="single"/>
        </w:rPr>
        <w:t>t/d，有充足的富余处理能力，可承受一定程度的冲击负荷，根据前文分析可知，综合废水经污水处理站处理后污染物排放浓度均能达到《污水综合排放标准》（GB 8978-1996）中表4的三级标准</w:t>
      </w:r>
      <w:r>
        <w:rPr>
          <w:rFonts w:hint="default" w:ascii="Times New Roman" w:hAnsi="Times New Roman" w:eastAsia="宋体" w:cs="Times New Roman"/>
          <w:sz w:val="24"/>
          <w:szCs w:val="24"/>
          <w:u w:val="single"/>
          <w:lang w:val="en-US" w:eastAsia="zh-CN"/>
        </w:rPr>
        <w:t>以及</w:t>
      </w:r>
      <w:r>
        <w:rPr>
          <w:rFonts w:hint="default" w:ascii="Times New Roman" w:hAnsi="Times New Roman" w:eastAsia="宋体" w:cs="Times New Roman"/>
          <w:sz w:val="24"/>
          <w:szCs w:val="21"/>
          <w:u w:val="single"/>
        </w:rPr>
        <w:t>松木污水处理厂进水水质</w:t>
      </w:r>
      <w:r>
        <w:rPr>
          <w:rFonts w:hint="default" w:ascii="Times New Roman" w:hAnsi="Times New Roman" w:eastAsia="宋体" w:cs="Times New Roman"/>
          <w:sz w:val="24"/>
          <w:szCs w:val="24"/>
          <w:u w:val="single"/>
        </w:rPr>
        <w:t>，因此污水处理站有能力处理项目产生的生产废水</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此外，项目所设置的危险废物清洗生产线对用水水质无特殊要求，项目污水经自建污水处理站处理后的出水可满足回用水质要求</w:t>
      </w:r>
      <w:r>
        <w:rPr>
          <w:rFonts w:hint="default" w:ascii="Times New Roman" w:hAnsi="Times New Roman" w:eastAsia="宋体" w:cs="Times New Roman"/>
          <w:sz w:val="24"/>
          <w:szCs w:val="24"/>
          <w:u w:val="single"/>
        </w:rPr>
        <w:t>。</w:t>
      </w:r>
    </w:p>
    <w:p w14:paraId="0FAB3CCE">
      <w:pPr>
        <w:spacing w:line="360" w:lineRule="auto"/>
        <w:ind w:firstLine="480" w:firstLineChars="200"/>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另外，对照《排污许可证申请与核发技术规范 工业固体废物和危险废物治理》（HJ 1033—2019）中“D.2 危险废物（不含医疗废物）利用排污单位废水治理可行技术参考表”给出的间接排放可行技术为“预处理（pH调节、沉淀等）+生化处理（活性污泥法、生物膜法、厌氧生物处理等）+深度处理（絮凝沉淀法、砂滤法、活性炭法等）”，而本项目拟采用的</w:t>
      </w:r>
      <w:r>
        <w:rPr>
          <w:rFonts w:hint="default" w:ascii="Times New Roman" w:hAnsi="Times New Roman" w:eastAsia="宋体" w:cs="Times New Roman"/>
          <w:sz w:val="24"/>
          <w:szCs w:val="24"/>
          <w:u w:val="single"/>
        </w:rPr>
        <w:t>“</w:t>
      </w:r>
      <w:r>
        <w:rPr>
          <w:rFonts w:hint="default" w:ascii="Times New Roman" w:hAnsi="Times New Roman" w:eastAsia="宋体" w:cs="Times New Roman"/>
          <w:sz w:val="24"/>
          <w:szCs w:val="24"/>
          <w:u w:val="single"/>
          <w:lang w:eastAsia="zh-CN"/>
        </w:rPr>
        <w:t>pH调节+絮凝+气浮+芬顿氧化+水解酸化+AO处理+沉淀</w:t>
      </w:r>
      <w:r>
        <w:rPr>
          <w:rFonts w:hint="default" w:ascii="Times New Roman" w:hAnsi="Times New Roman" w:eastAsia="宋体" w:cs="Times New Roman"/>
          <w:sz w:val="24"/>
          <w:szCs w:val="24"/>
          <w:u w:val="single"/>
        </w:rPr>
        <w:t>”优于</w:t>
      </w:r>
      <w:r>
        <w:rPr>
          <w:rFonts w:hint="default" w:ascii="Times New Roman" w:hAnsi="Times New Roman" w:eastAsia="宋体" w:cs="Times New Roman"/>
          <w:sz w:val="24"/>
          <w:szCs w:val="21"/>
          <w:u w:val="single"/>
        </w:rPr>
        <w:t>HJ 1033-2019给出的可行技术。</w:t>
      </w:r>
    </w:p>
    <w:p w14:paraId="5E3C9529">
      <w:pPr>
        <w:spacing w:line="360" w:lineRule="auto"/>
        <w:ind w:firstLine="480" w:firstLineChars="200"/>
        <w:rPr>
          <w:rFonts w:hint="default" w:ascii="Times New Roman" w:hAnsi="Times New Roman" w:cs="Times New Roman"/>
          <w:sz w:val="24"/>
          <w:szCs w:val="21"/>
          <w:u w:val="single"/>
          <w:lang w:val="en-US" w:eastAsia="zh-CN"/>
        </w:rPr>
      </w:pPr>
      <w:r>
        <w:rPr>
          <w:rFonts w:hint="default" w:ascii="Times New Roman" w:hAnsi="Times New Roman" w:cs="Times New Roman"/>
          <w:sz w:val="24"/>
          <w:szCs w:val="21"/>
          <w:u w:val="single"/>
          <w:lang w:val="en-US" w:eastAsia="zh-CN"/>
        </w:rPr>
        <w:t>此外，通过类比</w:t>
      </w:r>
      <w:r>
        <w:rPr>
          <w:rFonts w:hint="default" w:ascii="Times New Roman" w:hAnsi="Times New Roman" w:eastAsia="宋体" w:cs="Times New Roman"/>
          <w:sz w:val="24"/>
          <w:szCs w:val="21"/>
          <w:u w:val="single"/>
        </w:rPr>
        <w:t>《湖南腾旺环保科技有限公司钢桶循环再制造及包装桶生产项目竣工环境保护阶段性验收报告》</w:t>
      </w:r>
      <w:r>
        <w:rPr>
          <w:rFonts w:hint="default" w:ascii="Times New Roman" w:hAnsi="Times New Roman" w:cs="Times New Roman"/>
          <w:sz w:val="24"/>
          <w:szCs w:val="21"/>
          <w:u w:val="single"/>
          <w:lang w:eastAsia="zh-CN"/>
        </w:rPr>
        <w:t>，</w:t>
      </w:r>
      <w:r>
        <w:rPr>
          <w:rFonts w:hint="default" w:ascii="Times New Roman" w:hAnsi="Times New Roman" w:eastAsia="宋体" w:cs="Times New Roman"/>
          <w:sz w:val="24"/>
          <w:szCs w:val="21"/>
          <w:u w:val="single"/>
        </w:rPr>
        <w:t>湖南腾旺环保科技有限公司钢桶循环再制造及包装桶生产项目</w:t>
      </w:r>
      <w:r>
        <w:rPr>
          <w:rFonts w:hint="default" w:ascii="Times New Roman" w:hAnsi="Times New Roman" w:cs="Times New Roman"/>
          <w:sz w:val="24"/>
          <w:szCs w:val="21"/>
          <w:u w:val="single"/>
          <w:lang w:val="en-US" w:eastAsia="zh-CN"/>
        </w:rPr>
        <w:t>所处理的危险废物种类与本项目类似，其污水处理工艺采用的“格栅+隔油+破乳+气浮+高级氧化+沉淀+过滤”，本次评价收集了其阶段性验收报告的污水处理站监测数据，数据如下：</w:t>
      </w:r>
    </w:p>
    <w:p w14:paraId="55962C03">
      <w:pPr>
        <w:spacing w:line="360" w:lineRule="auto"/>
        <w:rPr>
          <w:rFonts w:hint="default" w:ascii="Times New Roman" w:hAnsi="Times New Roman" w:cs="Times New Roman"/>
          <w:sz w:val="24"/>
          <w:szCs w:val="21"/>
          <w:u w:val="single"/>
          <w:lang w:val="en-US" w:eastAsia="zh-CN"/>
        </w:rPr>
      </w:pPr>
      <w:r>
        <w:rPr>
          <w:rFonts w:hint="default" w:ascii="Times New Roman" w:hAnsi="Times New Roman" w:cs="Times New Roman"/>
        </w:rPr>
        <w:drawing>
          <wp:inline distT="0" distB="0" distL="114300" distR="114300">
            <wp:extent cx="5276850" cy="3418840"/>
            <wp:effectExtent l="0" t="0" r="11430" b="1016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64"/>
                    <a:stretch>
                      <a:fillRect/>
                    </a:stretch>
                  </pic:blipFill>
                  <pic:spPr>
                    <a:xfrm>
                      <a:off x="0" y="0"/>
                      <a:ext cx="5276850" cy="3418840"/>
                    </a:xfrm>
                    <a:prstGeom prst="rect">
                      <a:avLst/>
                    </a:prstGeom>
                    <a:noFill/>
                    <a:ln>
                      <a:noFill/>
                    </a:ln>
                  </pic:spPr>
                </pic:pic>
              </a:graphicData>
            </a:graphic>
          </wp:inline>
        </w:drawing>
      </w:r>
    </w:p>
    <w:p w14:paraId="4B15C6A5">
      <w:pPr>
        <w:spacing w:line="360" w:lineRule="auto"/>
        <w:ind w:firstLine="480" w:firstLineChars="200"/>
        <w:rPr>
          <w:rFonts w:hint="default" w:ascii="Times New Roman" w:hAnsi="Times New Roman" w:eastAsia="宋体" w:cs="Times New Roman"/>
          <w:sz w:val="24"/>
          <w:szCs w:val="21"/>
          <w:u w:val="single"/>
          <w:lang w:val="en-US" w:eastAsia="zh-CN"/>
        </w:rPr>
      </w:pPr>
      <w:r>
        <w:rPr>
          <w:rFonts w:hint="default" w:ascii="Times New Roman" w:hAnsi="Times New Roman" w:eastAsia="宋体" w:cs="Times New Roman"/>
          <w:sz w:val="24"/>
          <w:szCs w:val="21"/>
          <w:u w:val="single"/>
        </w:rPr>
        <w:t>根据</w:t>
      </w:r>
      <w:r>
        <w:rPr>
          <w:rFonts w:hint="default" w:ascii="Times New Roman" w:hAnsi="Times New Roman" w:cs="Times New Roman"/>
          <w:sz w:val="24"/>
          <w:szCs w:val="21"/>
          <w:u w:val="single"/>
          <w:lang w:val="en-US" w:eastAsia="zh-CN"/>
        </w:rPr>
        <w:t>以上数据可知，类比项目</w:t>
      </w:r>
      <w:r>
        <w:rPr>
          <w:rFonts w:hint="default" w:ascii="Times New Roman" w:hAnsi="Times New Roman" w:eastAsia="宋体" w:cs="Times New Roman"/>
          <w:sz w:val="24"/>
          <w:szCs w:val="21"/>
          <w:u w:val="single"/>
        </w:rPr>
        <w:t>腾旺公司现有厂区废水总排口中pH值的监测值在7.08~7.21之间、CODcr的监测值在408~437mg/L之间，SS的监测值在48~61mg/L之间，BOD5的监测值在102.2~107.9mg/L之间，动植物油的监测值在4.12~4.41mg/L之间，石油类的监测值在0.26~0.38mg/L之间，均达到了《污水综合排放标准》（GB8978-1996）表4中三级标准要求；而本项目拟采用的</w:t>
      </w:r>
      <w:r>
        <w:rPr>
          <w:rFonts w:hint="default" w:ascii="Times New Roman" w:hAnsi="Times New Roman" w:eastAsia="宋体" w:cs="Times New Roman"/>
          <w:sz w:val="24"/>
          <w:szCs w:val="24"/>
          <w:u w:val="single"/>
        </w:rPr>
        <w:t>“</w:t>
      </w:r>
      <w:r>
        <w:rPr>
          <w:rFonts w:hint="default" w:ascii="Times New Roman" w:hAnsi="Times New Roman" w:eastAsia="宋体" w:cs="Times New Roman"/>
          <w:sz w:val="24"/>
          <w:szCs w:val="24"/>
          <w:u w:val="single"/>
          <w:lang w:eastAsia="zh-CN"/>
        </w:rPr>
        <w:t>pH调节+絮凝+气浮+芬顿氧化+水解酸化+AO处理+沉淀</w:t>
      </w:r>
      <w:r>
        <w:rPr>
          <w:rFonts w:hint="default" w:ascii="Times New Roman" w:hAnsi="Times New Roman" w:eastAsia="宋体" w:cs="Times New Roman"/>
          <w:sz w:val="24"/>
          <w:szCs w:val="24"/>
          <w:u w:val="single"/>
        </w:rPr>
        <w:t>”</w:t>
      </w:r>
      <w:r>
        <w:rPr>
          <w:rFonts w:hint="default" w:ascii="Times New Roman" w:hAnsi="Times New Roman" w:cs="Times New Roman"/>
          <w:sz w:val="24"/>
          <w:szCs w:val="24"/>
          <w:u w:val="single"/>
          <w:lang w:val="en-US" w:eastAsia="zh-CN"/>
        </w:rPr>
        <w:t>优于腾旺公司所采用的</w:t>
      </w:r>
      <w:r>
        <w:rPr>
          <w:rFonts w:hint="default" w:ascii="Times New Roman" w:hAnsi="Times New Roman" w:cs="Times New Roman"/>
          <w:sz w:val="24"/>
          <w:szCs w:val="21"/>
          <w:u w:val="single"/>
          <w:lang w:val="en-US" w:eastAsia="zh-CN"/>
        </w:rPr>
        <w:t>“格栅+隔油+破乳+气浮+高级氧化+沉淀+过滤”，可保证污水处理站出水的达标排放。</w:t>
      </w:r>
    </w:p>
    <w:p w14:paraId="4F5DB7CA">
      <w:pPr>
        <w:spacing w:line="360" w:lineRule="auto"/>
        <w:ind w:firstLine="480" w:firstLineChars="200"/>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生产用水主要为生产工艺清洗用水，厂内废水经收集提升，经过pH调节+微电解预处理后进入高级氧化池，高级氧化采用“fenton”法，在反应器中投加硫酸亚铁、双氧水，经过充分反应后，降低废水中含有的有机污染物浓度，实现排水中COD等指标的降低。高级氧化出水进入终沉池，回用水进入全自动过滤器进一步降低SS，处理达到《污水综合排放标准》（GB8978-1996）表4中三级标准后</w:t>
      </w:r>
      <w:r>
        <w:rPr>
          <w:rFonts w:hint="default" w:ascii="Times New Roman" w:hAnsi="Times New Roman" w:eastAsia="宋体" w:cs="Times New Roman"/>
          <w:sz w:val="24"/>
          <w:szCs w:val="21"/>
          <w:u w:val="single"/>
          <w:lang w:val="en-US" w:eastAsia="zh-CN"/>
        </w:rPr>
        <w:t>通过预设管道转存至危险废物综合处置车间配套的蓄水池（50m</w:t>
      </w:r>
      <w:r>
        <w:rPr>
          <w:rFonts w:hint="default" w:ascii="Times New Roman" w:hAnsi="Times New Roman" w:eastAsia="宋体" w:cs="Times New Roman"/>
          <w:sz w:val="24"/>
          <w:szCs w:val="21"/>
          <w:u w:val="single"/>
          <w:vertAlign w:val="superscript"/>
          <w:lang w:val="en-US" w:eastAsia="zh-CN"/>
        </w:rPr>
        <w:t>3</w:t>
      </w:r>
      <w:r>
        <w:rPr>
          <w:rFonts w:hint="default" w:ascii="Times New Roman" w:hAnsi="Times New Roman" w:eastAsia="宋体" w:cs="Times New Roman"/>
          <w:sz w:val="24"/>
          <w:szCs w:val="21"/>
          <w:u w:val="single"/>
          <w:lang w:val="en-US" w:eastAsia="zh-CN"/>
        </w:rPr>
        <w:t>），再利用水泵抽取并</w:t>
      </w:r>
      <w:r>
        <w:rPr>
          <w:rFonts w:hint="default" w:ascii="Times New Roman" w:hAnsi="Times New Roman" w:eastAsia="宋体" w:cs="Times New Roman"/>
          <w:sz w:val="24"/>
          <w:szCs w:val="21"/>
          <w:u w:val="single"/>
        </w:rPr>
        <w:t>用于生产清洗用水。</w:t>
      </w:r>
    </w:p>
    <w:p w14:paraId="3329EC54">
      <w:pPr>
        <w:spacing w:line="360" w:lineRule="auto"/>
        <w:ind w:firstLine="480" w:firstLineChars="200"/>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根据项目设备方提供的设备运行参数</w:t>
      </w:r>
      <w:r>
        <w:rPr>
          <w:rFonts w:hint="default" w:ascii="Times New Roman" w:hAnsi="Times New Roman" w:eastAsia="宋体" w:cs="Times New Roman"/>
          <w:sz w:val="24"/>
          <w:szCs w:val="21"/>
          <w:u w:val="single"/>
          <w:lang w:val="en-US" w:eastAsia="zh-CN"/>
        </w:rPr>
        <w:t>以及同类型项目废水回用的效果，项目清洗工艺（特别是第一道清洗工序）对水质要求不高，主要污染因子SS≤500mg/L、石油类≤50mg/L即可回用于各清洗工序，而本</w:t>
      </w:r>
      <w:r>
        <w:rPr>
          <w:rFonts w:hint="eastAsia" w:ascii="Times New Roman" w:hAnsi="Times New Roman" w:cs="Times New Roman"/>
          <w:sz w:val="24"/>
          <w:szCs w:val="21"/>
          <w:u w:val="single"/>
          <w:lang w:val="en-US" w:eastAsia="zh-CN"/>
        </w:rPr>
        <w:t>项目</w:t>
      </w:r>
      <w:r>
        <w:rPr>
          <w:rFonts w:hint="default" w:ascii="Times New Roman" w:hAnsi="Times New Roman" w:eastAsia="宋体" w:cs="Times New Roman"/>
          <w:sz w:val="24"/>
          <w:szCs w:val="21"/>
          <w:u w:val="single"/>
        </w:rPr>
        <w:t>生产废水经厂区污水处理站处理后，</w:t>
      </w:r>
      <w:r>
        <w:rPr>
          <w:rFonts w:hint="default" w:ascii="Times New Roman" w:hAnsi="Times New Roman" w:eastAsia="宋体" w:cs="Times New Roman"/>
          <w:sz w:val="24"/>
          <w:szCs w:val="21"/>
          <w:u w:val="single"/>
          <w:lang w:val="en-US" w:eastAsia="zh-CN"/>
        </w:rPr>
        <w:t>其出水水质</w:t>
      </w:r>
      <w:r>
        <w:rPr>
          <w:rFonts w:hint="default" w:ascii="Times New Roman" w:hAnsi="Times New Roman" w:eastAsia="宋体" w:cs="Times New Roman"/>
          <w:sz w:val="24"/>
          <w:szCs w:val="21"/>
          <w:u w:val="single"/>
        </w:rPr>
        <w:t>达到《污水综合排放标准》（GB8978-1996）表4中三级标准</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rPr>
        <w:t>完全能够满足厂区生产工艺清洗用水的水质要求，因此，项目生产废水经处理后回用于生产工艺清洗用水，回用一次后再次进入污水处理站，处理达到经处理达到《污水综合排放标准》（GB8978-1996）表4三级标准，且同时满足松木污水处理厂进水水质要求后排入园区污水管网。</w:t>
      </w:r>
    </w:p>
    <w:p w14:paraId="7524ACAA">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综上所述，本项目生产废水采用自建的污水处理站（</w:t>
      </w:r>
      <w:r>
        <w:rPr>
          <w:rFonts w:hint="default" w:ascii="Times New Roman" w:hAnsi="Times New Roman" w:eastAsia="宋体" w:cs="Times New Roman"/>
          <w:sz w:val="24"/>
          <w:szCs w:val="21"/>
          <w:u w:val="single"/>
          <w:lang w:eastAsia="zh-CN"/>
        </w:rPr>
        <w:t>pH调节+絮凝+气浮+芬顿氧化+水解酸化+AO处理+沉淀</w:t>
      </w:r>
      <w:r>
        <w:rPr>
          <w:rFonts w:hint="default" w:ascii="Times New Roman" w:hAnsi="Times New Roman" w:eastAsia="宋体" w:cs="Times New Roman"/>
          <w:sz w:val="24"/>
          <w:szCs w:val="21"/>
          <w:u w:val="single"/>
        </w:rPr>
        <w:t>，处理能力</w:t>
      </w:r>
      <w:r>
        <w:rPr>
          <w:rFonts w:hint="default" w:ascii="Times New Roman" w:hAnsi="Times New Roman" w:eastAsia="宋体" w:cs="Times New Roman"/>
          <w:sz w:val="24"/>
          <w:szCs w:val="21"/>
          <w:u w:val="single"/>
          <w:lang w:val="en-US" w:eastAsia="zh-CN"/>
        </w:rPr>
        <w:t>30t/d</w:t>
      </w:r>
      <w:r>
        <w:rPr>
          <w:rFonts w:hint="default" w:ascii="Times New Roman" w:hAnsi="Times New Roman" w:eastAsia="宋体" w:cs="Times New Roman"/>
          <w:sz w:val="24"/>
          <w:szCs w:val="21"/>
          <w:u w:val="single"/>
        </w:rPr>
        <w:t>）处理是可行的。</w:t>
      </w:r>
    </w:p>
    <w:p w14:paraId="6F22AF03">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8.2.2生活污水治理措施可行性</w:t>
      </w:r>
    </w:p>
    <w:p w14:paraId="1EC55BD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本项目生活污水产生量为1.6t/d，含有BOD</w:t>
      </w:r>
      <w:r>
        <w:rPr>
          <w:rFonts w:hint="default" w:ascii="Times New Roman" w:hAnsi="Times New Roman" w:eastAsia="宋体" w:cs="Times New Roman"/>
          <w:sz w:val="24"/>
          <w:szCs w:val="24"/>
          <w:vertAlign w:val="subscript"/>
        </w:rPr>
        <w:t>5</w:t>
      </w:r>
      <w:r>
        <w:rPr>
          <w:rFonts w:hint="default" w:ascii="Times New Roman" w:hAnsi="Times New Roman" w:eastAsia="宋体" w:cs="Times New Roman"/>
          <w:sz w:val="24"/>
          <w:szCs w:val="24"/>
        </w:rPr>
        <w:t>、CODcr、SS、动植物油和NH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 等水污染物。项目拟采用化粪池进行处理，化粪池的设计处理能力约为10t/d，能够处理本项目生活污水中含有的水污染物，不会超过其处理能力，满足依托的环境可行性要求。</w:t>
      </w:r>
    </w:p>
    <w:p w14:paraId="1E297B34">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8.2.</w:t>
      </w:r>
      <w:r>
        <w:rPr>
          <w:rFonts w:hint="default" w:ascii="Times New Roman" w:hAnsi="Times New Roman" w:eastAsia="宋体" w:cs="Times New Roman"/>
          <w:sz w:val="24"/>
          <w:u w:val="single"/>
          <w:lang w:val="en-US" w:eastAsia="zh-CN"/>
        </w:rPr>
        <w:t>3初期雨水</w:t>
      </w:r>
      <w:r>
        <w:rPr>
          <w:rFonts w:hint="default" w:ascii="Times New Roman" w:hAnsi="Times New Roman" w:eastAsia="宋体" w:cs="Times New Roman"/>
          <w:sz w:val="24"/>
          <w:u w:val="single"/>
        </w:rPr>
        <w:t>治理措施可行性</w:t>
      </w:r>
      <w:bookmarkStart w:id="549" w:name="_GoBack"/>
      <w:bookmarkEnd w:id="549"/>
    </w:p>
    <w:p w14:paraId="0FB423C1">
      <w:pPr>
        <w:pStyle w:val="12"/>
        <w:spacing w:after="0" w:line="360" w:lineRule="auto"/>
        <w:ind w:firstLine="482"/>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厂区设置初期雨水收集池容积为</w:t>
      </w:r>
      <w:r>
        <w:rPr>
          <w:rFonts w:hint="eastAsia" w:ascii="Times New Roman" w:hAnsi="Times New Roman" w:cs="Times New Roman"/>
          <w:sz w:val="24"/>
          <w:szCs w:val="24"/>
          <w:u w:val="single"/>
          <w:lang w:val="en-US" w:eastAsia="zh-CN"/>
        </w:rPr>
        <w:t>5</w:t>
      </w:r>
      <w:r>
        <w:rPr>
          <w:rFonts w:hint="default" w:ascii="Times New Roman" w:hAnsi="Times New Roman" w:eastAsia="宋体" w:cs="Times New Roman"/>
          <w:sz w:val="24"/>
          <w:szCs w:val="24"/>
          <w:u w:val="single"/>
        </w:rPr>
        <w:t>0m</w:t>
      </w:r>
      <w:r>
        <w:rPr>
          <w:rFonts w:hint="default" w:ascii="Times New Roman" w:hAnsi="Times New Roman" w:eastAsia="宋体" w:cs="Times New Roman"/>
          <w:sz w:val="24"/>
          <w:szCs w:val="24"/>
          <w:u w:val="single"/>
          <w:vertAlign w:val="superscript"/>
        </w:rPr>
        <w:t>3</w:t>
      </w:r>
      <w:r>
        <w:rPr>
          <w:rFonts w:hint="default" w:ascii="Times New Roman" w:hAnsi="Times New Roman" w:eastAsia="宋体" w:cs="Times New Roman"/>
          <w:sz w:val="24"/>
          <w:szCs w:val="24"/>
          <w:u w:val="single"/>
        </w:rPr>
        <w:t>，雨水收集池拟布置在</w:t>
      </w:r>
      <w:r>
        <w:rPr>
          <w:rFonts w:hint="default" w:ascii="Times New Roman" w:hAnsi="Times New Roman" w:eastAsia="宋体" w:cs="Times New Roman"/>
          <w:sz w:val="24"/>
          <w:szCs w:val="24"/>
          <w:u w:val="single"/>
          <w:lang w:val="en-US" w:eastAsia="zh-CN"/>
        </w:rPr>
        <w:t>B栋车间外东南侧</w:t>
      </w:r>
      <w:r>
        <w:rPr>
          <w:rFonts w:hint="default" w:ascii="Times New Roman" w:hAnsi="Times New Roman" w:eastAsia="宋体" w:cs="Times New Roman"/>
          <w:sz w:val="24"/>
          <w:szCs w:val="24"/>
          <w:u w:val="single"/>
        </w:rPr>
        <w:t>地下，完全能够容纳全厂区初期雨水35</w:t>
      </w:r>
      <w:r>
        <w:rPr>
          <w:rFonts w:hint="default" w:ascii="Times New Roman" w:hAnsi="Times New Roman" w:eastAsia="宋体" w:cs="Times New Roman"/>
          <w:sz w:val="24"/>
          <w:szCs w:val="24"/>
          <w:u w:val="single"/>
          <w:lang w:val="en-US" w:eastAsia="zh-CN"/>
        </w:rPr>
        <w:t>.</w:t>
      </w:r>
      <w:r>
        <w:rPr>
          <w:rFonts w:hint="default" w:ascii="Times New Roman" w:hAnsi="Times New Roman" w:eastAsia="宋体" w:cs="Times New Roman"/>
          <w:sz w:val="24"/>
          <w:szCs w:val="24"/>
          <w:u w:val="single"/>
        </w:rPr>
        <w:t>8m</w:t>
      </w:r>
      <w:r>
        <w:rPr>
          <w:rFonts w:hint="default" w:ascii="Times New Roman" w:hAnsi="Times New Roman" w:eastAsia="宋体" w:cs="Times New Roman"/>
          <w:sz w:val="24"/>
          <w:szCs w:val="24"/>
          <w:u w:val="single"/>
          <w:vertAlign w:val="superscript"/>
        </w:rPr>
        <w:t>3</w:t>
      </w:r>
      <w:r>
        <w:rPr>
          <w:rFonts w:hint="default" w:ascii="Times New Roman" w:hAnsi="Times New Roman" w:eastAsia="宋体" w:cs="Times New Roman"/>
          <w:sz w:val="24"/>
          <w:szCs w:val="24"/>
          <w:u w:val="single"/>
        </w:rPr>
        <w:t>/次。初期雨水由初期雨水池收集</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初期雨水中主要污染因子为石油类和SS</w:t>
      </w:r>
      <w:r>
        <w:rPr>
          <w:rFonts w:hint="default" w:ascii="Times New Roman" w:hAnsi="Times New Roman" w:eastAsia="宋体" w:cs="Times New Roman"/>
          <w:sz w:val="24"/>
          <w:szCs w:val="24"/>
          <w:u w:val="single"/>
        </w:rPr>
        <w:t>，经絮凝-沉淀</w:t>
      </w:r>
      <w:r>
        <w:rPr>
          <w:rFonts w:hint="default" w:ascii="Times New Roman" w:hAnsi="Times New Roman" w:eastAsia="宋体" w:cs="Times New Roman"/>
          <w:sz w:val="24"/>
          <w:szCs w:val="24"/>
          <w:u w:val="single"/>
          <w:lang w:val="en-US" w:eastAsia="zh-CN"/>
        </w:rPr>
        <w:t>/撇渣</w:t>
      </w:r>
      <w:r>
        <w:rPr>
          <w:rFonts w:hint="default" w:ascii="Times New Roman" w:hAnsi="Times New Roman" w:eastAsia="宋体" w:cs="Times New Roman"/>
          <w:sz w:val="24"/>
          <w:szCs w:val="24"/>
          <w:u w:val="single"/>
        </w:rPr>
        <w:t>预处理</w:t>
      </w:r>
      <w:r>
        <w:rPr>
          <w:rFonts w:hint="default" w:ascii="Times New Roman" w:hAnsi="Times New Roman" w:eastAsia="宋体" w:cs="Times New Roman"/>
          <w:sz w:val="24"/>
          <w:szCs w:val="24"/>
          <w:u w:val="single"/>
          <w:lang w:val="en-US" w:eastAsia="zh-CN"/>
        </w:rPr>
        <w:t>后，初期雨水中的</w:t>
      </w:r>
      <w:r>
        <w:rPr>
          <w:rFonts w:hint="default" w:ascii="Times New Roman" w:hAnsi="Times New Roman" w:eastAsia="宋体" w:cs="Times New Roman"/>
          <w:sz w:val="24"/>
          <w:szCs w:val="21"/>
          <w:u w:val="single"/>
          <w:lang w:val="en-US" w:eastAsia="zh-CN"/>
        </w:rPr>
        <w:t>主要污染因子远低于项目回用水质要求（SS≤500mg/L、石油类≤50mg/L），可</w:t>
      </w:r>
      <w:r>
        <w:rPr>
          <w:rFonts w:hint="default" w:ascii="Times New Roman" w:hAnsi="Times New Roman" w:eastAsia="宋体" w:cs="Times New Roman"/>
          <w:sz w:val="24"/>
          <w:szCs w:val="24"/>
          <w:u w:val="single"/>
        </w:rPr>
        <w:t>作为新水送至</w:t>
      </w:r>
      <w:r>
        <w:rPr>
          <w:rFonts w:hint="default" w:ascii="Times New Roman" w:hAnsi="Times New Roman" w:eastAsia="宋体" w:cs="Times New Roman"/>
          <w:sz w:val="24"/>
          <w:szCs w:val="24"/>
          <w:u w:val="single"/>
          <w:lang w:val="en-US" w:eastAsia="zh-CN"/>
        </w:rPr>
        <w:t>危废再生利用各生产线的清洗工序</w:t>
      </w:r>
      <w:r>
        <w:rPr>
          <w:rFonts w:hint="default" w:ascii="Times New Roman" w:hAnsi="Times New Roman" w:eastAsia="宋体" w:cs="Times New Roman"/>
          <w:sz w:val="24"/>
          <w:szCs w:val="24"/>
          <w:u w:val="single"/>
        </w:rPr>
        <w:t>（项目</w:t>
      </w:r>
      <w:r>
        <w:rPr>
          <w:rFonts w:hint="default" w:ascii="Times New Roman" w:hAnsi="Times New Roman" w:eastAsia="宋体" w:cs="Times New Roman"/>
          <w:sz w:val="24"/>
          <w:szCs w:val="24"/>
          <w:u w:val="single"/>
          <w:lang w:val="en-US" w:eastAsia="zh-CN"/>
        </w:rPr>
        <w:t>各生产线清洗工序</w:t>
      </w:r>
      <w:r>
        <w:rPr>
          <w:rFonts w:hint="default" w:ascii="Times New Roman" w:hAnsi="Times New Roman" w:eastAsia="宋体" w:cs="Times New Roman"/>
          <w:sz w:val="24"/>
          <w:szCs w:val="24"/>
          <w:u w:val="single"/>
        </w:rPr>
        <w:t>对水质要求较低，初期雨水经</w:t>
      </w:r>
      <w:r>
        <w:rPr>
          <w:rFonts w:hint="default" w:ascii="Times New Roman" w:hAnsi="Times New Roman" w:eastAsia="宋体" w:cs="Times New Roman"/>
          <w:sz w:val="24"/>
          <w:szCs w:val="24"/>
          <w:u w:val="single"/>
          <w:lang w:val="en-US" w:eastAsia="zh-CN"/>
        </w:rPr>
        <w:t>絮凝</w:t>
      </w:r>
      <w:r>
        <w:rPr>
          <w:rFonts w:hint="default" w:ascii="Times New Roman" w:hAnsi="Times New Roman" w:eastAsia="宋体" w:cs="Times New Roman"/>
          <w:sz w:val="24"/>
          <w:szCs w:val="24"/>
          <w:u w:val="single"/>
        </w:rPr>
        <w:t>沉淀</w:t>
      </w:r>
      <w:r>
        <w:rPr>
          <w:rFonts w:hint="default" w:ascii="Times New Roman" w:hAnsi="Times New Roman" w:eastAsia="宋体" w:cs="Times New Roman"/>
          <w:sz w:val="24"/>
          <w:szCs w:val="24"/>
          <w:u w:val="single"/>
          <w:lang w:val="en-US" w:eastAsia="zh-CN"/>
        </w:rPr>
        <w:t>/撇渣</w:t>
      </w:r>
      <w:r>
        <w:rPr>
          <w:rFonts w:hint="default" w:ascii="Times New Roman" w:hAnsi="Times New Roman" w:eastAsia="宋体" w:cs="Times New Roman"/>
          <w:sz w:val="24"/>
          <w:szCs w:val="24"/>
          <w:u w:val="single"/>
        </w:rPr>
        <w:t>预处理后作为</w:t>
      </w:r>
      <w:r>
        <w:rPr>
          <w:rFonts w:hint="default" w:ascii="Times New Roman" w:hAnsi="Times New Roman" w:eastAsia="宋体" w:cs="Times New Roman"/>
          <w:sz w:val="24"/>
          <w:szCs w:val="24"/>
          <w:u w:val="single"/>
          <w:lang w:val="en-US" w:eastAsia="zh-CN"/>
        </w:rPr>
        <w:t>回用清洗用水</w:t>
      </w:r>
      <w:r>
        <w:rPr>
          <w:rFonts w:hint="default" w:ascii="Times New Roman" w:hAnsi="Times New Roman" w:eastAsia="宋体" w:cs="Times New Roman"/>
          <w:sz w:val="24"/>
          <w:szCs w:val="24"/>
          <w:u w:val="single"/>
        </w:rPr>
        <w:t>可行），此部分水</w:t>
      </w:r>
      <w:r>
        <w:rPr>
          <w:rFonts w:hint="default" w:ascii="Times New Roman" w:hAnsi="Times New Roman" w:eastAsia="宋体" w:cs="Times New Roman"/>
          <w:sz w:val="24"/>
          <w:szCs w:val="24"/>
          <w:u w:val="single"/>
          <w:lang w:val="en-US" w:eastAsia="zh-CN"/>
        </w:rPr>
        <w:t>可</w:t>
      </w:r>
      <w:r>
        <w:rPr>
          <w:rFonts w:hint="default" w:ascii="Times New Roman" w:hAnsi="Times New Roman" w:eastAsia="宋体" w:cs="Times New Roman"/>
          <w:sz w:val="24"/>
          <w:szCs w:val="24"/>
          <w:u w:val="single"/>
        </w:rPr>
        <w:t>全部作为备用水源。</w:t>
      </w:r>
    </w:p>
    <w:p w14:paraId="6265ED1E">
      <w:pPr>
        <w:spacing w:line="360" w:lineRule="auto"/>
        <w:ind w:firstLine="480" w:firstLineChars="200"/>
        <w:rPr>
          <w:rFonts w:hint="default" w:ascii="Times New Roman" w:hAnsi="Times New Roman" w:eastAsia="宋体" w:cs="Times New Roman"/>
          <w:sz w:val="24"/>
          <w:szCs w:val="24"/>
          <w:u w:val="none"/>
        </w:rPr>
      </w:pPr>
      <w:r>
        <w:rPr>
          <w:rFonts w:hint="default" w:ascii="Times New Roman" w:hAnsi="Times New Roman" w:eastAsia="宋体" w:cs="Times New Roman"/>
          <w:sz w:val="24"/>
          <w:szCs w:val="24"/>
          <w:u w:val="none"/>
        </w:rPr>
        <w:t>项目初期雨水进行絮凝沉淀</w:t>
      </w:r>
      <w:r>
        <w:rPr>
          <w:rFonts w:hint="default" w:ascii="Times New Roman" w:hAnsi="Times New Roman" w:eastAsia="宋体" w:cs="Times New Roman"/>
          <w:sz w:val="24"/>
          <w:szCs w:val="24"/>
          <w:u w:val="none"/>
          <w:lang w:val="en-US" w:eastAsia="zh-CN"/>
        </w:rPr>
        <w:t>/撇渣</w:t>
      </w:r>
      <w:r>
        <w:rPr>
          <w:rFonts w:hint="default" w:ascii="Times New Roman" w:hAnsi="Times New Roman" w:eastAsia="宋体" w:cs="Times New Roman"/>
          <w:sz w:val="24"/>
          <w:szCs w:val="24"/>
          <w:u w:val="none"/>
        </w:rPr>
        <w:t>并回用的方式为：根据初期雨水池的水量，定期投加絮凝剂（如PAC/PAM），在初期雨水池内沉淀</w:t>
      </w:r>
      <w:r>
        <w:rPr>
          <w:rFonts w:hint="default" w:ascii="Times New Roman" w:hAnsi="Times New Roman" w:eastAsia="宋体" w:cs="Times New Roman"/>
          <w:sz w:val="24"/>
          <w:szCs w:val="24"/>
          <w:u w:val="none"/>
          <w:lang w:val="en-US" w:eastAsia="zh-CN"/>
        </w:rPr>
        <w:t>/撇渣</w:t>
      </w:r>
      <w:r>
        <w:rPr>
          <w:rFonts w:hint="default" w:ascii="Times New Roman" w:hAnsi="Times New Roman" w:eastAsia="宋体" w:cs="Times New Roman"/>
          <w:sz w:val="24"/>
          <w:szCs w:val="24"/>
          <w:u w:val="none"/>
        </w:rPr>
        <w:t>后利用泵机抽至</w:t>
      </w:r>
      <w:r>
        <w:rPr>
          <w:rFonts w:hint="default" w:ascii="Times New Roman" w:hAnsi="Times New Roman" w:eastAsia="宋体" w:cs="Times New Roman"/>
          <w:sz w:val="24"/>
          <w:szCs w:val="24"/>
          <w:u w:val="none"/>
          <w:lang w:val="en-US" w:eastAsia="zh-CN"/>
        </w:rPr>
        <w:t>危废再生车间的蓄水池进入生产线</w:t>
      </w:r>
      <w:r>
        <w:rPr>
          <w:rFonts w:hint="default" w:ascii="Times New Roman" w:hAnsi="Times New Roman" w:eastAsia="宋体" w:cs="Times New Roman"/>
          <w:sz w:val="24"/>
          <w:szCs w:val="24"/>
          <w:u w:val="none"/>
        </w:rPr>
        <w:t>。</w:t>
      </w:r>
    </w:p>
    <w:p w14:paraId="4D43ACD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u w:val="none"/>
        </w:rPr>
        <w:t>为了保证在设计初期雨水进入雨水收集池，后续雨水排水厂区雨水管网，在初期雨水池设置设阀门对雨水流向进行自动切换。在初期雨水池设计液位控制器，当水位达到高水位时，开启雨水排放阀，关闭雨水收集阀，使未被污染的雨水直接排入雨水管网。</w:t>
      </w:r>
    </w:p>
    <w:p w14:paraId="43D8F4BC">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8.2.3</w:t>
      </w:r>
      <w:r>
        <w:rPr>
          <w:rFonts w:hint="default" w:ascii="Times New Roman" w:hAnsi="Times New Roman" w:eastAsia="宋体" w:cs="Times New Roman"/>
          <w:sz w:val="24"/>
          <w:szCs w:val="24"/>
        </w:rPr>
        <w:t>废水进入松木污水处理厂的可行性分析</w:t>
      </w:r>
    </w:p>
    <w:p w14:paraId="580A07BD">
      <w:pPr>
        <w:widowControl/>
        <w:spacing w:line="360" w:lineRule="auto"/>
        <w:ind w:firstLine="480"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8.2.3.1园区污水处理厂介绍</w:t>
      </w:r>
    </w:p>
    <w:p w14:paraId="40EEF210">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松木污水处理厂位于石鼓区新安村，本项目东北约3.8km处占地54.4 亩，在 2013年进行二期扩建工程，设计处理规模达到3万m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/d；采用强化A/O工艺处理工艺处理废水，服务范围为107国道以东、湘江以西、内环线以北、南岳高速公路以南，面积为18.3km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，本项目在其纳污范围内。目前实际处理规模为1万m</w:t>
      </w:r>
      <w:r>
        <w:rPr>
          <w:rFonts w:hint="default" w:ascii="Times New Roman" w:hAnsi="Times New Roman" w:eastAsia="宋体" w:cs="Times New Roman"/>
          <w:sz w:val="24"/>
          <w:szCs w:val="24"/>
          <w:vertAlign w:val="superscript"/>
        </w:rPr>
        <w:t>3</w:t>
      </w:r>
      <w:r>
        <w:rPr>
          <w:rFonts w:hint="default" w:ascii="Times New Roman" w:hAnsi="Times New Roman" w:eastAsia="宋体" w:cs="Times New Roman"/>
          <w:sz w:val="24"/>
          <w:szCs w:val="24"/>
        </w:rPr>
        <w:t>/d。松木污水处理厂于2007年10月23日以“湘环评表[2007]158号”获得湖南省环境保护厅的批复。2009年9月开工，2012年5月开始试运行，并通过了“三同时”环保竣工验收。</w:t>
      </w:r>
    </w:p>
    <w:p w14:paraId="2658CB69">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松木污水处理厂主要处理松木经济开发区的企业生产废水、综合生活污水。服务区内的工业企业排放一类污染物的，须单独治理，做到车间排口达标；排放高浓度废水的，须先经过预处理，达到《污水综合排放标准》（GB9078-1996）表4三级标准，方可进入污水处理厂进行深度处理，保证污水处理厂进水水质稳定。污水经处理达到《城镇污水处理厂污染物排放标准》（GB18918-2002）一级A标准后排入湘江。</w:t>
      </w:r>
    </w:p>
    <w:p w14:paraId="2BB06EC1">
      <w:pPr>
        <w:widowControl/>
        <w:spacing w:line="360" w:lineRule="auto"/>
        <w:ind w:firstLine="480"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8.2.3.2废水接纳可行性分析</w:t>
      </w:r>
    </w:p>
    <w:p w14:paraId="3C2776CE">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（1）处理规模的可行性</w:t>
      </w:r>
    </w:p>
    <w:p w14:paraId="1B77E359">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根据《湖南衡阳松木经济开发区生态环境管理2022年度自评估报告》松木污水处理厂设计规模为1万吨/日，接纳废水为松木经济开发区的企业生产废水、综合生活污水，</w:t>
      </w:r>
      <w:r>
        <w:rPr>
          <w:rFonts w:hint="default" w:ascii="Times New Roman" w:hAnsi="Times New Roman" w:eastAsia="宋体" w:cs="Times New Roman"/>
          <w:color w:val="000000" w:themeColor="text1"/>
          <w:sz w:val="24"/>
          <w:szCs w:val="24"/>
          <w14:textFill>
            <w14:solidFill>
              <w14:schemeClr w14:val="tx1"/>
            </w14:solidFill>
          </w14:textFill>
        </w:rPr>
        <w:t>处理工艺为“格栅+均化调节+重金属预处理+混凝絮凝初沉+水解酸化+A/O+二沉+混凝絮凝气浮+消毒”，出水排放执行《城镇污水处理厂污染物排放标准》（GB18918-2002）一级标准的A标准，在线监测达标率100%。</w:t>
      </w:r>
      <w:r>
        <w:rPr>
          <w:rFonts w:hint="default" w:ascii="Times New Roman" w:hAnsi="Times New Roman" w:eastAsia="宋体" w:cs="Times New Roman"/>
          <w:sz w:val="24"/>
          <w:szCs w:val="24"/>
        </w:rPr>
        <w:t>；园区目前处理量为5000~6000吨/日，仍有余量4000吨/日的处理能力。本项目接管</w:t>
      </w:r>
      <w:r>
        <w:rPr>
          <w:rFonts w:hint="default" w:ascii="Times New Roman" w:hAnsi="Times New Roman" w:eastAsia="宋体" w:cs="Times New Roman"/>
          <w:sz w:val="24"/>
          <w:szCs w:val="24"/>
          <w:lang w:val="en-US" w:eastAsia="zh-CN"/>
        </w:rPr>
        <w:t>生产废水和</w:t>
      </w:r>
      <w:r>
        <w:rPr>
          <w:rFonts w:hint="default" w:ascii="Times New Roman" w:hAnsi="Times New Roman" w:eastAsia="宋体" w:cs="Times New Roman"/>
          <w:sz w:val="24"/>
          <w:szCs w:val="24"/>
        </w:rPr>
        <w:t>生活污水总量</w:t>
      </w:r>
      <w:r>
        <w:rPr>
          <w:rFonts w:hint="default" w:ascii="Times New Roman" w:hAnsi="Times New Roman" w:eastAsia="宋体" w:cs="Times New Roman"/>
          <w:sz w:val="24"/>
          <w:szCs w:val="24"/>
          <w:lang w:val="en-US" w:eastAsia="zh-CN"/>
        </w:rPr>
        <w:t>约24</w:t>
      </w:r>
      <w:r>
        <w:rPr>
          <w:rFonts w:hint="default" w:ascii="Times New Roman" w:hAnsi="Times New Roman" w:eastAsia="宋体" w:cs="Times New Roman"/>
          <w:sz w:val="24"/>
          <w:szCs w:val="24"/>
        </w:rPr>
        <w:t>t/d，约占污水处理厂剩余处理能力的</w:t>
      </w:r>
      <w:r>
        <w:rPr>
          <w:rFonts w:hint="default" w:ascii="Times New Roman" w:hAnsi="Times New Roman" w:eastAsia="宋体" w:cs="Times New Roman"/>
          <w:sz w:val="24"/>
          <w:szCs w:val="24"/>
          <w:lang w:val="en-US" w:eastAsia="zh-CN"/>
        </w:rPr>
        <w:t>0.6</w:t>
      </w:r>
      <w:r>
        <w:rPr>
          <w:rFonts w:hint="default" w:ascii="Times New Roman" w:hAnsi="Times New Roman" w:eastAsia="宋体" w:cs="Times New Roman"/>
          <w:sz w:val="24"/>
          <w:szCs w:val="24"/>
        </w:rPr>
        <w:t>%，从废水量来看，废水量占比较小，不会对其正常运行造成冲击负荷，松木污水处理厂完全有能力接纳本项目的废水。因此，本项目建成后产生的污水量接管松木污水处理厂是可行的。</w:t>
      </w:r>
    </w:p>
    <w:p w14:paraId="0EAF0EBE">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（2）管道敷设及服务范围</w:t>
      </w:r>
    </w:p>
    <w:p w14:paraId="6042C77A">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本项目位于松木经济开发区，处在松木污水处理厂的接纳范围之内，项目所在地污水管网已铺设到位，因此项目污水接入松木污水处理厂是可行的。</w:t>
      </w:r>
    </w:p>
    <w:p w14:paraId="28089059">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 xml:space="preserve">（3）工艺及接管标准上的可行性分析 </w:t>
      </w:r>
    </w:p>
    <w:p w14:paraId="054343AD">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本项目排放的生产废水和生活污水经厂内预处理后，水质中各项污染物指标均能满足污水处理厂的设计进水水质要求，废水中污染因子主要为COD、BOD、SS、</w:t>
      </w:r>
      <w:r>
        <w:rPr>
          <w:rFonts w:hint="default" w:ascii="Times New Roman" w:hAnsi="Times New Roman" w:eastAsia="宋体" w:cs="Times New Roman"/>
          <w:sz w:val="24"/>
          <w:szCs w:val="24"/>
          <w:lang w:val="en-US" w:eastAsia="zh-CN"/>
        </w:rPr>
        <w:t>氨氮</w:t>
      </w:r>
      <w:r>
        <w:rPr>
          <w:rFonts w:hint="default" w:ascii="Times New Roman" w:hAnsi="Times New Roman" w:eastAsia="宋体" w:cs="Times New Roman"/>
          <w:sz w:val="24"/>
          <w:szCs w:val="24"/>
        </w:rPr>
        <w:t>等，根据</w:t>
      </w:r>
      <w:r>
        <w:rPr>
          <w:rFonts w:hint="eastAsia" w:ascii="Times New Roman" w:hAnsi="Times New Roman" w:cs="Times New Roman"/>
          <w:sz w:val="24"/>
          <w:szCs w:val="24"/>
          <w:lang w:eastAsia="zh-CN"/>
        </w:rPr>
        <w:t>污水处理厂</w:t>
      </w:r>
      <w:r>
        <w:rPr>
          <w:rFonts w:hint="default" w:ascii="Times New Roman" w:hAnsi="Times New Roman" w:eastAsia="宋体" w:cs="Times New Roman"/>
          <w:sz w:val="24"/>
          <w:szCs w:val="24"/>
        </w:rPr>
        <w:t>现有工艺和实际运行情况，污水处理厂正常运行时，出水水质可达到《城镇污水处理厂污染物排放标》（GB18918-2002）一级A标准，能够处理本项目外排废水并确保达标排放。本项目废水排放不会对污水处理厂的正常运营造成冲击。</w:t>
      </w:r>
    </w:p>
    <w:p w14:paraId="14C3EEA7">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综上所述，松木污水处理厂有能力接纳本项目废水，污水处理工艺能够实现本项目废水</w:t>
      </w:r>
      <w:r>
        <w:rPr>
          <w:rFonts w:hint="default" w:ascii="Times New Roman" w:hAnsi="Times New Roman" w:eastAsia="宋体" w:cs="Times New Roman"/>
          <w:sz w:val="24"/>
          <w:szCs w:val="24"/>
          <w:lang w:val="en-US" w:eastAsia="zh-CN"/>
        </w:rPr>
        <w:t>的最终</w:t>
      </w:r>
      <w:r>
        <w:rPr>
          <w:rFonts w:hint="default" w:ascii="Times New Roman" w:hAnsi="Times New Roman" w:eastAsia="宋体" w:cs="Times New Roman"/>
          <w:sz w:val="24"/>
          <w:szCs w:val="24"/>
        </w:rPr>
        <w:t>达标排放，该污水接管方案可行。</w:t>
      </w:r>
    </w:p>
    <w:p w14:paraId="4C9ECFD6">
      <w:pPr>
        <w:pStyle w:val="3"/>
        <w:spacing w:before="0" w:after="0" w:line="360" w:lineRule="auto"/>
        <w:rPr>
          <w:rFonts w:hint="default" w:ascii="Times New Roman" w:hAnsi="Times New Roman" w:eastAsia="宋体" w:cs="Times New Roman"/>
        </w:rPr>
      </w:pPr>
      <w:bookmarkStart w:id="370" w:name="_Toc3827"/>
      <w:bookmarkStart w:id="371" w:name="_Toc119413807"/>
      <w:r>
        <w:rPr>
          <w:rFonts w:hint="default" w:ascii="Times New Roman" w:hAnsi="Times New Roman" w:eastAsia="宋体" w:cs="Times New Roman"/>
        </w:rPr>
        <w:t>8.3噪声治理措施可行性</w:t>
      </w:r>
      <w:bookmarkEnd w:id="370"/>
      <w:bookmarkEnd w:id="371"/>
    </w:p>
    <w:p w14:paraId="12DDD93A">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本项目主要噪声源源强为60-85dB（A）。建议建设单位采取如下措施：</w:t>
      </w:r>
    </w:p>
    <w:p w14:paraId="32F146CC">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1、选用低噪声设备</w:t>
      </w:r>
    </w:p>
    <w:p w14:paraId="515284BA">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（1）优先选用振动小、噪声低的设备；强烈振动的设备、管道与基础、支架、建筑物及其它设备之间采用柔性连接或支撑等。</w:t>
      </w:r>
    </w:p>
    <w:p w14:paraId="701D7E67">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（2）采用操作机械化和运行自动化的设备工艺，实现远距离的监视操作。</w:t>
      </w:r>
    </w:p>
    <w:p w14:paraId="5BED90C7">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2、优化噪声源的平面布置</w:t>
      </w:r>
    </w:p>
    <w:p w14:paraId="6D0B90DA">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（1）主要强噪声源应相对集中，宜低位布置、充分利用地形隔挡噪声。</w:t>
      </w:r>
    </w:p>
    <w:p w14:paraId="45CA935A">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（2）必要时，与噪声敏感区、低噪声区之间需保持防护间距。</w:t>
      </w:r>
    </w:p>
    <w:p w14:paraId="48A7BDC9">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（3）做好厂区及周边的绿化，形成噪声控制隔离带，使边界噪声达到规定的要求。</w:t>
      </w:r>
    </w:p>
    <w:p w14:paraId="45F21F87">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3、隔声、消声、吸声</w:t>
      </w:r>
    </w:p>
    <w:p w14:paraId="17604051">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（1）隔声</w:t>
      </w:r>
    </w:p>
    <w:p w14:paraId="515F240E">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①可采用带阻尼层、吸声层的隔声罩对高噪声源进行隔声处理；</w:t>
      </w:r>
    </w:p>
    <w:p w14:paraId="54EF2AE2">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②加强生产车间门、窗的密闭性，以增加对生产设备产生噪声的隔声作用；</w:t>
      </w:r>
    </w:p>
    <w:p w14:paraId="057086AE">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③强噪声源比较分散的大车间，可设置隔声屏障或带有生产工艺孔的隔墙，将车间分成几个不同强度的噪声区域。</w:t>
      </w:r>
    </w:p>
    <w:p w14:paraId="3A51411E">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（2）消声</w:t>
      </w:r>
    </w:p>
    <w:p w14:paraId="7E799AFE">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对风机产生的空气动力性噪声，若出现厂界噪声值超标，可采用消声器进行消声处理。</w:t>
      </w:r>
    </w:p>
    <w:p w14:paraId="0E6A1A2E">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（3）吸声</w:t>
      </w:r>
    </w:p>
    <w:p w14:paraId="38C04164">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对吸声较少、混响声较强的车间厂房，可采取吸声降噪处理；根据所需的吸声降噪量，确定吸声材料、吸声体的类型、结构、数量和安装方式。</w:t>
      </w:r>
    </w:p>
    <w:p w14:paraId="6DD117CC">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本项目噪声污染防治工作应执行“三同时”制度。对设备应进行定期检查、维修，对不符合要求的应及时更换，防止机械噪声的升高。</w:t>
      </w:r>
    </w:p>
    <w:p w14:paraId="2ABA451B">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经预测分析，在采取以上措施后，本项目建成后厂界噪声可满足《工业企业厂界环境噪声排放标准》（GB12348-2008）3类标准，可实现达标排放，噪声治理措施可行。</w:t>
      </w:r>
    </w:p>
    <w:p w14:paraId="63EA003A">
      <w:pPr>
        <w:pStyle w:val="3"/>
        <w:spacing w:before="0" w:after="0" w:line="360" w:lineRule="auto"/>
        <w:rPr>
          <w:rFonts w:hint="default" w:ascii="Times New Roman" w:hAnsi="Times New Roman" w:eastAsia="宋体" w:cs="Times New Roman"/>
        </w:rPr>
      </w:pPr>
      <w:bookmarkStart w:id="372" w:name="_Toc119413808"/>
      <w:bookmarkStart w:id="373" w:name="_Toc16107"/>
      <w:r>
        <w:rPr>
          <w:rFonts w:hint="default" w:ascii="Times New Roman" w:hAnsi="Times New Roman" w:eastAsia="宋体" w:cs="Times New Roman"/>
        </w:rPr>
        <w:t>8.4固废治理措施可行性</w:t>
      </w:r>
      <w:bookmarkEnd w:id="372"/>
      <w:bookmarkEnd w:id="373"/>
    </w:p>
    <w:p w14:paraId="3427C950">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8.4.1危险废物</w:t>
      </w:r>
    </w:p>
    <w:p w14:paraId="6123CC5D">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本项目产生的危险废物主要包括：废包装容器及废金属机油滤芯综合利用过程产生的固废主要有废残液、废铅蓄电池泄漏</w:t>
      </w:r>
      <w:r>
        <w:rPr>
          <w:rFonts w:hint="default" w:ascii="Times New Roman" w:hAnsi="Times New Roman" w:eastAsia="宋体" w:cs="Times New Roman"/>
          <w:sz w:val="24"/>
          <w:szCs w:val="21"/>
          <w:u w:val="single"/>
          <w:lang w:val="en-US" w:eastAsia="zh-CN"/>
        </w:rPr>
        <w:t>的</w:t>
      </w:r>
      <w:r>
        <w:rPr>
          <w:rFonts w:hint="default" w:ascii="Times New Roman" w:hAnsi="Times New Roman" w:eastAsia="宋体" w:cs="Times New Roman"/>
          <w:sz w:val="24"/>
          <w:szCs w:val="21"/>
          <w:u w:val="single"/>
        </w:rPr>
        <w:t>电解液</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rPr>
        <w:t>废滤纸、废渣、废活性炭、废矿物油、废油桶、废弃的含油抹布和劳保用品。</w:t>
      </w:r>
    </w:p>
    <w:p w14:paraId="77F77492">
      <w:pPr>
        <w:pStyle w:val="48"/>
        <w:spacing w:before="0" w:line="360" w:lineRule="auto"/>
        <w:rPr>
          <w:rFonts w:hint="default" w:ascii="Times New Roman" w:hAnsi="Times New Roman" w:eastAsia="宋体" w:cs="Times New Roman"/>
          <w:sz w:val="24"/>
          <w:szCs w:val="21"/>
          <w:u w:val="single"/>
        </w:rPr>
      </w:pPr>
      <w:r>
        <w:rPr>
          <w:rFonts w:hint="default" w:ascii="Times New Roman" w:hAnsi="Times New Roman" w:eastAsia="宋体" w:cs="Times New Roman"/>
          <w:sz w:val="24"/>
          <w:szCs w:val="21"/>
          <w:u w:val="single"/>
        </w:rPr>
        <w:t>本项目生产过程中产生的危险废物为废残液、废铅蓄电池泄漏</w:t>
      </w:r>
      <w:r>
        <w:rPr>
          <w:rFonts w:hint="default" w:ascii="Times New Roman" w:hAnsi="Times New Roman" w:eastAsia="宋体" w:cs="Times New Roman"/>
          <w:sz w:val="24"/>
          <w:szCs w:val="21"/>
          <w:u w:val="single"/>
          <w:lang w:val="en-US" w:eastAsia="zh-CN"/>
        </w:rPr>
        <w:t>的</w:t>
      </w:r>
      <w:r>
        <w:rPr>
          <w:rFonts w:hint="default" w:ascii="Times New Roman" w:hAnsi="Times New Roman" w:eastAsia="宋体" w:cs="Times New Roman"/>
          <w:sz w:val="24"/>
          <w:szCs w:val="21"/>
          <w:u w:val="single"/>
        </w:rPr>
        <w:t>电解液</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rPr>
        <w:t>废滤纸、废渣、废活性炭、废矿物油、废油桶、废弃的含油抹布和劳保用品，拟用专用包装容器/包装袋收集后，分类暂存于</w:t>
      </w:r>
      <w:r>
        <w:rPr>
          <w:rFonts w:hint="default" w:ascii="Times New Roman" w:hAnsi="Times New Roman" w:eastAsia="宋体" w:cs="Times New Roman"/>
          <w:sz w:val="24"/>
          <w:szCs w:val="21"/>
          <w:u w:val="single"/>
          <w:lang w:val="en-US" w:eastAsia="zh-CN"/>
        </w:rPr>
        <w:t>项目建设的</w:t>
      </w:r>
      <w:r>
        <w:rPr>
          <w:rFonts w:hint="default" w:ascii="Times New Roman" w:hAnsi="Times New Roman" w:eastAsia="宋体" w:cs="Times New Roman"/>
          <w:sz w:val="24"/>
          <w:szCs w:val="21"/>
          <w:u w:val="single"/>
        </w:rPr>
        <w:t>专用危险废物贮存库</w:t>
      </w:r>
      <w:r>
        <w:rPr>
          <w:rFonts w:hint="default" w:ascii="Times New Roman" w:hAnsi="Times New Roman" w:eastAsia="宋体" w:cs="Times New Roman"/>
          <w:sz w:val="24"/>
          <w:szCs w:val="21"/>
          <w:u w:val="single"/>
          <w:lang w:eastAsia="zh-CN"/>
        </w:rPr>
        <w:t>，</w:t>
      </w:r>
      <w:r>
        <w:rPr>
          <w:rFonts w:hint="default" w:ascii="Times New Roman" w:hAnsi="Times New Roman" w:eastAsia="宋体" w:cs="Times New Roman"/>
          <w:sz w:val="24"/>
          <w:szCs w:val="21"/>
          <w:u w:val="single"/>
        </w:rPr>
        <w:t>废油桶</w:t>
      </w:r>
      <w:r>
        <w:rPr>
          <w:rFonts w:hint="default" w:ascii="Times New Roman" w:hAnsi="Times New Roman" w:eastAsia="宋体" w:cs="Times New Roman"/>
          <w:sz w:val="24"/>
          <w:szCs w:val="21"/>
          <w:u w:val="single"/>
          <w:lang w:eastAsia="zh-CN"/>
        </w:rPr>
        <w:t>暂存至危废贮存库后作为项目废包装容器原料进行再生利用</w:t>
      </w:r>
      <w:r>
        <w:rPr>
          <w:rFonts w:hint="default" w:ascii="Times New Roman" w:hAnsi="Times New Roman" w:eastAsia="宋体" w:cs="Times New Roman"/>
          <w:sz w:val="24"/>
          <w:szCs w:val="21"/>
          <w:u w:val="single"/>
        </w:rPr>
        <w:t>，</w:t>
      </w:r>
      <w:r>
        <w:rPr>
          <w:rFonts w:hint="default" w:ascii="Times New Roman" w:hAnsi="Times New Roman" w:eastAsia="宋体" w:cs="Times New Roman"/>
          <w:sz w:val="24"/>
          <w:szCs w:val="21"/>
          <w:u w:val="single"/>
          <w:lang w:val="en-US" w:eastAsia="zh-CN"/>
        </w:rPr>
        <w:t>其他类型的危险废物</w:t>
      </w:r>
      <w:r>
        <w:rPr>
          <w:rFonts w:hint="default" w:ascii="Times New Roman" w:hAnsi="Times New Roman" w:eastAsia="宋体" w:cs="Times New Roman"/>
          <w:sz w:val="24"/>
          <w:szCs w:val="21"/>
          <w:u w:val="single"/>
        </w:rPr>
        <w:t>并定期交由有下游危废资质单位处置。项目拟建的危废贮存库面积</w:t>
      </w:r>
      <w:r>
        <w:rPr>
          <w:rFonts w:hint="default" w:ascii="Times New Roman" w:hAnsi="Times New Roman" w:eastAsia="宋体" w:cs="Times New Roman"/>
          <w:sz w:val="24"/>
          <w:szCs w:val="21"/>
          <w:u w:val="single"/>
          <w:lang w:eastAsia="zh-CN"/>
        </w:rPr>
        <w:t>5051.44</w:t>
      </w:r>
      <w:r>
        <w:rPr>
          <w:rFonts w:hint="default" w:ascii="Times New Roman" w:hAnsi="Times New Roman" w:eastAsia="宋体" w:cs="Times New Roman"/>
          <w:sz w:val="24"/>
          <w:szCs w:val="21"/>
          <w:u w:val="single"/>
        </w:rPr>
        <w:t>m</w:t>
      </w:r>
      <w:r>
        <w:rPr>
          <w:rFonts w:hint="default" w:ascii="Times New Roman" w:hAnsi="Times New Roman" w:eastAsia="宋体" w:cs="Times New Roman"/>
          <w:sz w:val="24"/>
          <w:szCs w:val="21"/>
          <w:u w:val="single"/>
          <w:vertAlign w:val="superscript"/>
        </w:rPr>
        <w:t>2</w:t>
      </w:r>
      <w:r>
        <w:rPr>
          <w:rFonts w:hint="default" w:ascii="Times New Roman" w:hAnsi="Times New Roman" w:eastAsia="宋体" w:cs="Times New Roman"/>
          <w:sz w:val="24"/>
          <w:szCs w:val="21"/>
          <w:u w:val="single"/>
        </w:rPr>
        <w:t>，建设单位将按照《危险废物贮存污染控制标准》（GB18597-2023）相关要求进行设计、建设危废暂存库，做到防渗、防风、防雨、防晒要求。危险废物拟委托有资质单位处置，严格按照《危险废物转移联单管理办法》填写危险废物转移联单。</w:t>
      </w:r>
    </w:p>
    <w:p w14:paraId="1716E8F3">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项目本身进行的危险废物的收集、贮存、利用，对于项目收集的危废原料贮存、自身产的危废贮存</w:t>
      </w:r>
      <w:r>
        <w:rPr>
          <w:rFonts w:hint="eastAsia" w:ascii="Times New Roman" w:hAnsi="Times New Roman" w:eastAsia="宋体" w:cs="Times New Roman"/>
          <w:sz w:val="24"/>
          <w:szCs w:val="21"/>
          <w:lang w:eastAsia="zh-CN"/>
        </w:rPr>
        <w:t>以及</w:t>
      </w:r>
      <w:r>
        <w:rPr>
          <w:rFonts w:hint="default" w:ascii="Times New Roman" w:hAnsi="Times New Roman" w:eastAsia="宋体" w:cs="Times New Roman"/>
          <w:sz w:val="24"/>
          <w:szCs w:val="21"/>
        </w:rPr>
        <w:t>产品中尚未鉴别认定为一般固废的产品暂存区，均需按照危险废物的暂存要求进行建设和管理，均按照《危险废物污染防治技术政策》、《危险废物贮存污染控制标准》（GB18597-2023）要求进行设计建造，危险废物的收集、存放及转运应严格遵守《危险废物转移管理办法》（生态环境部、公安部、交通运输部令第23号，自2022年1月1日起施行）和《关于进一步规范我省固体（危险）废物转移管理的通知》（湘环发〔2014〕22号）、《危险废物收集贮存 运输技术规范》（HJ2025- 2012）执行。具体情况如下：</w:t>
      </w:r>
    </w:p>
    <w:p w14:paraId="3D3F8850">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A.必须将危险废物装入容器内。</w:t>
      </w:r>
    </w:p>
    <w:p w14:paraId="73A00957">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B.危险废物要根据其成分，用符合国家标准的专门容器分类收集；盛装危险废物的容器上必须粘贴符合本标准的标签；应当使用符合标准的容器盛装危险废物；装载危险废物的容器及材质要满足相应的强度要求；装载危险废物的容器必须完好无损；盛装危险废物的容器材质和衬里要与危险废物相容（不相互反应）。</w:t>
      </w:r>
    </w:p>
    <w:p w14:paraId="159D60AB">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C.地面与裙脚要用坚固、防渗的材料建造，建筑材料必须与危险废物相容。应建有堵截泄漏的裙脚，地面与裙脚要用坚固防渗的材料建造。应有隔离设施、报警装置和防风、防晒、防雨设施；基础防渗层为粘土层的，其厚度应在1m以上，渗透系数应小于1.0×10</w:t>
      </w:r>
      <w:r>
        <w:rPr>
          <w:rFonts w:hint="default" w:ascii="Times New Roman" w:hAnsi="Times New Roman" w:eastAsia="宋体" w:cs="Times New Roman"/>
          <w:sz w:val="24"/>
          <w:szCs w:val="21"/>
          <w:vertAlign w:val="superscript"/>
        </w:rPr>
        <w:t>-7</w:t>
      </w:r>
      <w:r>
        <w:rPr>
          <w:rFonts w:hint="default" w:ascii="Times New Roman" w:hAnsi="Times New Roman" w:eastAsia="宋体" w:cs="Times New Roman"/>
          <w:sz w:val="24"/>
          <w:szCs w:val="21"/>
        </w:rPr>
        <w:t>cm/s；基础防渗层也可用厚度在2mm以上的高密度聚乙烯或其他人工防渗材料组成，渗透系数应小于1.0×10</w:t>
      </w:r>
      <w:r>
        <w:rPr>
          <w:rFonts w:hint="default" w:ascii="Times New Roman" w:hAnsi="Times New Roman" w:eastAsia="宋体" w:cs="Times New Roman"/>
          <w:sz w:val="24"/>
          <w:szCs w:val="21"/>
          <w:vertAlign w:val="superscript"/>
        </w:rPr>
        <w:t>-10</w:t>
      </w:r>
      <w:r>
        <w:rPr>
          <w:rFonts w:hint="default" w:ascii="Times New Roman" w:hAnsi="Times New Roman" w:eastAsia="宋体" w:cs="Times New Roman"/>
          <w:sz w:val="24"/>
          <w:szCs w:val="21"/>
        </w:rPr>
        <w:t>cm/s；用于存放液体危险废物的地方，还须有耐腐蚀的硬化地面，地面无裂隙；衬层上需建有渗滤液收集清除系统、径流疏导系统、雨水收集池。</w:t>
      </w:r>
    </w:p>
    <w:p w14:paraId="35F39C35">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D.危险废物贮存设施内清理出来的泄漏物，一律按危险废物处理。</w:t>
      </w:r>
    </w:p>
    <w:p w14:paraId="28E2D9A8">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E.危险废物贮存设施周围应设置围墙或其它防护栅栏；危险废物贮存设施都必须按GB15562.2的规定设置警示标志；泄漏液必须符合GB8978的要求方可排放，必须定期对所贮存的危险废物包装容器及贮存设施进行检查，发现破损，应及时采取措施清理更换。</w:t>
      </w:r>
    </w:p>
    <w:p w14:paraId="5D889C50">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F.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p w14:paraId="1836631B">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G.危险废物贮存设施应配备通讯设备、照明设施和消防设施。</w:t>
      </w:r>
    </w:p>
    <w:p w14:paraId="5B5E2942">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H.贮存危险废物时应按危险废物的种类和特性进行分区贮存，每个贮存区域之间宜 设置挡墙间隔，并应设置防雨、防火、防雷、防扬尘装置。</w:t>
      </w:r>
    </w:p>
    <w:p w14:paraId="193102D0">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I.贮存易燃易爆危险废物应配置有机气体报警、火灾报警装置和导出静电的接地装置。</w:t>
      </w:r>
    </w:p>
    <w:p w14:paraId="62BA37C5">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8.4.2生活垃圾</w:t>
      </w:r>
    </w:p>
    <w:p w14:paraId="2F4D7518">
      <w:pPr>
        <w:pStyle w:val="48"/>
        <w:spacing w:before="0" w:line="360" w:lineRule="auto"/>
        <w:rPr>
          <w:rFonts w:hint="default" w:ascii="Times New Roman" w:hAnsi="Times New Roman" w:eastAsia="宋体" w:cs="Times New Roman"/>
          <w:sz w:val="24"/>
          <w:szCs w:val="21"/>
        </w:rPr>
      </w:pPr>
      <w:r>
        <w:rPr>
          <w:rFonts w:hint="default" w:ascii="Times New Roman" w:hAnsi="Times New Roman" w:eastAsia="宋体" w:cs="Times New Roman"/>
          <w:sz w:val="24"/>
          <w:szCs w:val="21"/>
        </w:rPr>
        <w:t>本项目在办公楼门口设置生活垃圾收集点，收集点放置大垃圾桶，用于收集日常生活垃圾。</w:t>
      </w:r>
    </w:p>
    <w:p w14:paraId="0E1FDFBF">
      <w:pPr>
        <w:pStyle w:val="4"/>
        <w:spacing w:before="0" w:after="0" w:line="360" w:lineRule="auto"/>
        <w:jc w:val="left"/>
        <w:rPr>
          <w:rFonts w:hint="default" w:ascii="Times New Roman" w:hAnsi="Times New Roman" w:eastAsia="宋体" w:cs="Times New Roman"/>
          <w:sz w:val="24"/>
          <w:u w:val="single"/>
        </w:rPr>
      </w:pPr>
      <w:r>
        <w:rPr>
          <w:rFonts w:hint="default" w:ascii="Times New Roman" w:hAnsi="Times New Roman" w:eastAsia="宋体" w:cs="Times New Roman"/>
          <w:sz w:val="24"/>
          <w:u w:val="single"/>
        </w:rPr>
        <w:t>8.4.3运输过程的污染防治措施</w:t>
      </w:r>
    </w:p>
    <w:p w14:paraId="3BF6406E">
      <w:pPr>
        <w:widowControl/>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外委处置的危险废物在转移时，应遵照《危险废物转移管理办法》（生态环境部、公安部、交通运输部令第23号，自2022年1月1日起施行），《湖南省危险废物经营许可证管理办法》中的规定执行，在转移前必须向</w:t>
      </w:r>
      <w:r>
        <w:rPr>
          <w:rFonts w:hint="eastAsia" w:ascii="Times New Roman" w:hAnsi="Times New Roman" w:cs="Times New Roman"/>
          <w:sz w:val="24"/>
          <w:szCs w:val="24"/>
          <w:u w:val="single"/>
          <w:lang w:eastAsia="zh-CN"/>
        </w:rPr>
        <w:t>生态环境部</w:t>
      </w:r>
      <w:r>
        <w:rPr>
          <w:rFonts w:hint="default" w:ascii="Times New Roman" w:hAnsi="Times New Roman" w:eastAsia="宋体" w:cs="Times New Roman"/>
          <w:sz w:val="24"/>
          <w:szCs w:val="24"/>
          <w:u w:val="single"/>
        </w:rPr>
        <w:t>门提供利用方的危险废物经营许可证，并办理危险废物转移联单手续。禁止在转移过程中将危险废物随处倾倒而严重污染环境。</w:t>
      </w:r>
    </w:p>
    <w:p w14:paraId="46E69D02">
      <w:pPr>
        <w:widowControl/>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在项目各类固体废物外委运输过程中应采取防雨、防渗、防漏等措施，防止废物洒漏造成污染。对危险废物的运输应按照《汽车危险品货物运输规则》（JTJ 3130- 88）、《道路危险货物运输管理规定》（2005年第9号）、《汽车运输、装卸危险货物作业规程》（JT 618）、《道路运输危险货物车辆标志》（GB 13392-2005）中的有关规定执行。</w:t>
      </w:r>
    </w:p>
    <w:p w14:paraId="5C0DA5D6">
      <w:pPr>
        <w:widowControl/>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①将危险废弃物委托给有资质的危险废物处理单位处理时，应遵照《危险废物转移联单管理办法》中的规定执行，在转移前必须向</w:t>
      </w:r>
      <w:r>
        <w:rPr>
          <w:rFonts w:hint="eastAsia" w:ascii="Times New Roman" w:hAnsi="Times New Roman" w:cs="Times New Roman"/>
          <w:sz w:val="24"/>
          <w:szCs w:val="24"/>
          <w:u w:val="single"/>
          <w:lang w:eastAsia="zh-CN"/>
        </w:rPr>
        <w:t>生态环境部</w:t>
      </w:r>
      <w:r>
        <w:rPr>
          <w:rFonts w:hint="default" w:ascii="Times New Roman" w:hAnsi="Times New Roman" w:eastAsia="宋体" w:cs="Times New Roman"/>
          <w:sz w:val="24"/>
          <w:szCs w:val="24"/>
          <w:u w:val="single"/>
        </w:rPr>
        <w:t>门 提供利用方的危险废物经营许可证，并办理危险废物转移联单手续。禁止在转移过程中将危险废物随处倾倒而严重污染环境。</w:t>
      </w:r>
    </w:p>
    <w:p w14:paraId="63E5EC76">
      <w:pPr>
        <w:widowControl/>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②公司要建立危险废弃物管理制度和分类管理档案，对危险废弃物的处理和 收运都应由指定的专业人员负责，做好宣传教育工作，严禁任何人随意排放固体废弃物。</w:t>
      </w:r>
    </w:p>
    <w:p w14:paraId="3DFD7FB4">
      <w:pPr>
        <w:widowControl/>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项目运营过程中产生的固体采取上述无害化治理措施后，该项目产生的固体废物不会对环境产生明显污染影响</w:t>
      </w:r>
    </w:p>
    <w:p w14:paraId="2840C244">
      <w:pPr>
        <w:pStyle w:val="4"/>
        <w:spacing w:before="0" w:after="0" w:line="360" w:lineRule="auto"/>
        <w:jc w:val="left"/>
        <w:rPr>
          <w:rFonts w:hint="default" w:ascii="Times New Roman" w:hAnsi="Times New Roman" w:eastAsia="宋体" w:cs="Times New Roman"/>
          <w:sz w:val="24"/>
          <w:u w:val="single"/>
          <w:lang w:eastAsia="zh-CN"/>
        </w:rPr>
      </w:pPr>
      <w:r>
        <w:rPr>
          <w:rFonts w:hint="default" w:ascii="Times New Roman" w:hAnsi="Times New Roman" w:eastAsia="宋体" w:cs="Times New Roman"/>
          <w:sz w:val="24"/>
          <w:u w:val="single"/>
        </w:rPr>
        <w:t>8.4.4</w:t>
      </w:r>
      <w:r>
        <w:rPr>
          <w:rFonts w:hint="default" w:ascii="Times New Roman" w:hAnsi="Times New Roman" w:eastAsia="宋体" w:cs="Times New Roman"/>
          <w:sz w:val="24"/>
          <w:u w:val="single"/>
          <w:lang w:val="en-US" w:eastAsia="zh-CN"/>
        </w:rPr>
        <w:t>管理</w:t>
      </w:r>
    </w:p>
    <w:p w14:paraId="7AF34ED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（1）必须按照国家有关规定制定危险废物管理计划，并向所在地环境保护行政主管部门申报危险废物的种类、产生量、流向、贮存、处置等有关资料。</w:t>
      </w:r>
    </w:p>
    <w:p w14:paraId="736B7FF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2）管理计划应当包括减少危险废物产生量和危害性的措施以及危险废物贮存、利用、处置措施。危险废物管理计划应当报产生危险废物的单位所在地生态环境保护行政主管部门备案。管理计划内容有重大改变的，应当及时申报。</w:t>
      </w:r>
    </w:p>
    <w:p w14:paraId="7F7289A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（3）禁止将危险废物提供或者委托给无经营许可证的单位从事收集、贮存、利用、处置的经营活动。</w:t>
      </w:r>
    </w:p>
    <w:p w14:paraId="5A13099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（4）必须按照国家有关规定填写危险废物转移联单，并向危险废物移出地设区的市级以上地方人民政府生态环境保护行政主管部门提出申请。移出地设区的市级以上生态环境保护行 政主管部门应当经接受地设区的市级以上生态环境保护行政主管部门同意后，方可批准转移该危险废物。未经批准的，不得转移。</w:t>
      </w:r>
    </w:p>
    <w:p w14:paraId="75C6512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（5）转移危险废物途经移出地、接受地以外行政区域的，危险废物移出地设区的市级以上生态环境保护行政主管部门应当及时通知沿途经过的设区的市级以上生态环境保护行政主管部门。</w:t>
      </w:r>
    </w:p>
    <w:p w14:paraId="3F8CF7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lang w:eastAsia="zh-CN"/>
        </w:rPr>
      </w:pPr>
      <w:r>
        <w:rPr>
          <w:rFonts w:hint="default" w:ascii="Times New Roman" w:hAnsi="Times New Roman" w:eastAsia="宋体" w:cs="Times New Roman"/>
          <w:sz w:val="24"/>
          <w:szCs w:val="28"/>
          <w:u w:val="single"/>
        </w:rPr>
        <w:t>（6）运输危险废物，必须采取防止污染环境的措施，并遵守国家有关危险货物运输管理的规定。禁止将危险废物与旅客在同一运输工具上载运</w:t>
      </w:r>
      <w:r>
        <w:rPr>
          <w:rFonts w:hint="default" w:ascii="Times New Roman" w:hAnsi="Times New Roman" w:eastAsia="宋体" w:cs="Times New Roman"/>
          <w:sz w:val="24"/>
          <w:szCs w:val="28"/>
          <w:u w:val="single"/>
          <w:lang w:eastAsia="zh-CN"/>
        </w:rPr>
        <w:t>。</w:t>
      </w:r>
    </w:p>
    <w:p w14:paraId="349DD9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lang w:eastAsia="zh-CN"/>
        </w:rPr>
      </w:pPr>
      <w:r>
        <w:rPr>
          <w:rFonts w:hint="default" w:ascii="Times New Roman" w:hAnsi="Times New Roman" w:eastAsia="宋体" w:cs="Times New Roman"/>
          <w:sz w:val="24"/>
          <w:szCs w:val="28"/>
          <w:u w:val="single"/>
          <w:lang w:val="en-US" w:eastAsia="zh-CN"/>
        </w:rPr>
        <w:t>此外，评价要求项目方在运行期间应严格</w:t>
      </w:r>
      <w:r>
        <w:rPr>
          <w:rFonts w:hint="default" w:ascii="Times New Roman" w:hAnsi="Times New Roman" w:eastAsia="宋体" w:cs="Times New Roman"/>
          <w:sz w:val="24"/>
          <w:szCs w:val="28"/>
          <w:u w:val="single"/>
        </w:rPr>
        <w:t>按照《危险废物管理计划和管理台账制定技术导则》（HJ1259-2022）和《一般工业固体废物管理台账制定指南》（生态环境部公告2021年第82号）</w:t>
      </w:r>
      <w:r>
        <w:rPr>
          <w:rFonts w:hint="default" w:ascii="Times New Roman" w:hAnsi="Times New Roman" w:eastAsia="宋体" w:cs="Times New Roman"/>
          <w:sz w:val="24"/>
          <w:szCs w:val="28"/>
          <w:u w:val="single"/>
          <w:lang w:val="en-US" w:eastAsia="zh-CN"/>
        </w:rPr>
        <w:t>的要求</w:t>
      </w:r>
      <w:r>
        <w:rPr>
          <w:rFonts w:hint="default" w:ascii="Times New Roman" w:hAnsi="Times New Roman" w:eastAsia="宋体" w:cs="Times New Roman"/>
          <w:sz w:val="24"/>
          <w:szCs w:val="28"/>
          <w:u w:val="single"/>
        </w:rPr>
        <w:t>，</w:t>
      </w:r>
      <w:r>
        <w:rPr>
          <w:rFonts w:hint="default" w:ascii="Times New Roman" w:hAnsi="Times New Roman" w:eastAsia="宋体" w:cs="Times New Roman"/>
          <w:sz w:val="24"/>
          <w:szCs w:val="28"/>
          <w:u w:val="single"/>
          <w:lang w:val="en-US" w:eastAsia="zh-CN"/>
        </w:rPr>
        <w:t>执行</w:t>
      </w:r>
      <w:r>
        <w:rPr>
          <w:rFonts w:hint="default" w:ascii="Times New Roman" w:hAnsi="Times New Roman" w:eastAsia="宋体" w:cs="Times New Roman"/>
          <w:sz w:val="24"/>
          <w:szCs w:val="28"/>
          <w:u w:val="single"/>
        </w:rPr>
        <w:t>本项目固体废物管理计划和管理台账</w:t>
      </w:r>
      <w:r>
        <w:rPr>
          <w:rFonts w:hint="default" w:ascii="Times New Roman" w:hAnsi="Times New Roman" w:eastAsia="宋体" w:cs="Times New Roman"/>
          <w:sz w:val="24"/>
          <w:szCs w:val="28"/>
          <w:u w:val="single"/>
          <w:lang w:eastAsia="zh-CN"/>
        </w:rPr>
        <w:t>。</w:t>
      </w:r>
    </w:p>
    <w:p w14:paraId="7E1D2B64">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8.4.</w:t>
      </w:r>
      <w:r>
        <w:rPr>
          <w:rFonts w:hint="default" w:ascii="Times New Roman" w:hAnsi="Times New Roman" w:eastAsia="宋体" w:cs="Times New Roman"/>
          <w:sz w:val="24"/>
          <w:lang w:val="en-US" w:eastAsia="zh-CN"/>
        </w:rPr>
        <w:t>5</w:t>
      </w:r>
      <w:r>
        <w:rPr>
          <w:rFonts w:hint="default" w:ascii="Times New Roman" w:hAnsi="Times New Roman" w:eastAsia="宋体" w:cs="Times New Roman"/>
          <w:sz w:val="24"/>
        </w:rPr>
        <w:t>其他</w:t>
      </w:r>
    </w:p>
    <w:p w14:paraId="06261A6B">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公司要建立危险废物管理制度和分类管理档案，对危险废物的处理和收运都应由指定的专业人员负责，做好宣传教育工作，严禁任何人随意排放固体废弃物。</w:t>
      </w:r>
    </w:p>
    <w:p w14:paraId="5E375C1B">
      <w:pPr>
        <w:widowControl/>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综上所述，本项目采用垃圾桶、危废暂存库、残液暂存间对产生的固废进行分别贮存，属于可行技术，在做好相关污染防治措施、建立管理台账等要求的情况下，运行可靠，项目各固体废物均得到了妥善处理，各项处理措施合理、可行、有效，企业必须加强储存与运输的监督管理，按各项要求逐一落实。</w:t>
      </w:r>
    </w:p>
    <w:p w14:paraId="43624C40">
      <w:pPr>
        <w:pStyle w:val="3"/>
        <w:spacing w:before="0" w:after="0" w:line="360" w:lineRule="auto"/>
        <w:rPr>
          <w:rFonts w:hint="default" w:ascii="Times New Roman" w:hAnsi="Times New Roman" w:eastAsia="宋体" w:cs="Times New Roman"/>
          <w:u w:val="single"/>
        </w:rPr>
      </w:pPr>
      <w:bookmarkStart w:id="374" w:name="_Toc119413809"/>
      <w:bookmarkStart w:id="375" w:name="_Toc27294"/>
      <w:r>
        <w:rPr>
          <w:rFonts w:hint="default" w:ascii="Times New Roman" w:hAnsi="Times New Roman" w:eastAsia="宋体" w:cs="Times New Roman"/>
          <w:u w:val="single"/>
        </w:rPr>
        <w:t>8.5地下水污染防治措施</w:t>
      </w:r>
      <w:bookmarkEnd w:id="374"/>
      <w:bookmarkEnd w:id="375"/>
    </w:p>
    <w:p w14:paraId="20093F8B">
      <w:pPr>
        <w:pStyle w:val="4"/>
        <w:spacing w:before="0" w:after="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8.5.1源头控制措施</w:t>
      </w:r>
    </w:p>
    <w:p w14:paraId="49BAD078">
      <w:pPr>
        <w:pStyle w:val="122"/>
        <w:adjustRightInd/>
        <w:snapToGrid/>
        <w:spacing w:line="360" w:lineRule="auto"/>
        <w:ind w:firstLine="480"/>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在工程设计过程中，采用先进的技术、工艺、设备，实施清洁生产，防止跑冒滴漏，防止污染物泄漏；厂区道路硬化，注意工作场所地面、排水管道、废水收集池的防腐防渗要求，腐蚀性等级为中等腐蚀，抗渗等级不得低于S6，防止污染物下渗，污染地下水环境。</w:t>
      </w:r>
    </w:p>
    <w:p w14:paraId="7A3A5729">
      <w:pPr>
        <w:pStyle w:val="4"/>
        <w:spacing w:before="0" w:after="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8.5.2分区防渗措施</w:t>
      </w:r>
    </w:p>
    <w:p w14:paraId="33220C20">
      <w:pPr>
        <w:pStyle w:val="122"/>
        <w:adjustRightInd/>
        <w:snapToGrid/>
        <w:spacing w:line="360" w:lineRule="auto"/>
        <w:ind w:firstLine="480"/>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本项目污染地下水污染环节主要来自</w:t>
      </w:r>
      <w:r>
        <w:rPr>
          <w:rFonts w:hint="default" w:ascii="Times New Roman" w:hAnsi="Times New Roman" w:eastAsia="宋体" w:cs="Times New Roman"/>
          <w:szCs w:val="24"/>
          <w:u w:val="single"/>
          <w:lang w:val="en-US" w:eastAsia="zh-CN"/>
        </w:rPr>
        <w:t>A栋车间（全部），包括</w:t>
      </w:r>
      <w:r>
        <w:rPr>
          <w:rFonts w:hint="default" w:ascii="Times New Roman" w:hAnsi="Times New Roman" w:eastAsia="宋体" w:cs="Times New Roman"/>
          <w:szCs w:val="24"/>
          <w:u w:val="single"/>
        </w:rPr>
        <w:t>危废再生</w:t>
      </w:r>
      <w:r>
        <w:rPr>
          <w:rFonts w:hint="default" w:ascii="Times New Roman" w:hAnsi="Times New Roman" w:eastAsia="宋体" w:cs="Times New Roman"/>
          <w:szCs w:val="24"/>
          <w:u w:val="single"/>
          <w:lang w:val="en-US" w:eastAsia="zh-CN"/>
        </w:rPr>
        <w:t>利用区</w:t>
      </w:r>
      <w:r>
        <w:rPr>
          <w:rFonts w:hint="default" w:ascii="Times New Roman" w:hAnsi="Times New Roman" w:eastAsia="宋体" w:cs="Times New Roman"/>
          <w:szCs w:val="24"/>
          <w:u w:val="single"/>
        </w:rPr>
        <w:t>、危废贮存库</w:t>
      </w:r>
      <w:r>
        <w:rPr>
          <w:rFonts w:hint="default" w:ascii="Times New Roman" w:hAnsi="Times New Roman" w:eastAsia="宋体" w:cs="Times New Roman"/>
          <w:szCs w:val="24"/>
          <w:u w:val="single"/>
          <w:lang w:eastAsia="zh-CN"/>
        </w:rPr>
        <w:t>，</w:t>
      </w:r>
      <w:r>
        <w:rPr>
          <w:rFonts w:hint="default" w:ascii="Times New Roman" w:hAnsi="Times New Roman" w:eastAsia="宋体" w:cs="Times New Roman"/>
          <w:szCs w:val="24"/>
          <w:u w:val="single"/>
        </w:rPr>
        <w:t>污水处理站等可能产生的废液通过土壤下渗，从而导致地下水的污染。</w:t>
      </w:r>
    </w:p>
    <w:p w14:paraId="2F0D477D">
      <w:pPr>
        <w:pStyle w:val="122"/>
        <w:adjustRightInd/>
        <w:snapToGrid/>
        <w:spacing w:line="360" w:lineRule="auto"/>
        <w:ind w:firstLine="480"/>
        <w:rPr>
          <w:rFonts w:hint="default" w:ascii="Times New Roman" w:hAnsi="Times New Roman" w:eastAsia="宋体" w:cs="Times New Roman"/>
          <w:szCs w:val="24"/>
          <w:u w:val="single"/>
        </w:rPr>
      </w:pPr>
      <w:r>
        <w:rPr>
          <w:rFonts w:hint="default" w:ascii="Times New Roman" w:hAnsi="Times New Roman" w:eastAsia="宋体" w:cs="Times New Roman"/>
          <w:szCs w:val="24"/>
          <w:u w:val="single"/>
        </w:rPr>
        <w:t>分区防控措施：采取分区防渗，重点污染防渗区、一般污染防渗区和简单防渗区措施有区别的防渗原则。</w:t>
      </w:r>
    </w:p>
    <w:p w14:paraId="464DE0DC">
      <w:pPr>
        <w:pStyle w:val="122"/>
        <w:adjustRightInd/>
        <w:snapToGrid/>
        <w:spacing w:line="360" w:lineRule="auto"/>
        <w:ind w:firstLine="482"/>
        <w:rPr>
          <w:rFonts w:hint="default" w:ascii="Times New Roman" w:hAnsi="Times New Roman" w:eastAsia="宋体" w:cs="Times New Roman"/>
          <w:szCs w:val="24"/>
          <w:u w:val="single"/>
        </w:rPr>
      </w:pPr>
      <w:r>
        <w:rPr>
          <w:rFonts w:hint="default" w:ascii="Times New Roman" w:hAnsi="Times New Roman" w:eastAsia="宋体" w:cs="Times New Roman"/>
          <w:b/>
          <w:szCs w:val="24"/>
          <w:u w:val="single"/>
        </w:rPr>
        <w:t>重点防渗区：</w:t>
      </w:r>
      <w:r>
        <w:rPr>
          <w:rFonts w:hint="default" w:ascii="Times New Roman" w:hAnsi="Times New Roman" w:eastAsia="宋体" w:cs="Times New Roman"/>
          <w:szCs w:val="24"/>
          <w:u w:val="single"/>
        </w:rPr>
        <w:t>将</w:t>
      </w:r>
      <w:r>
        <w:rPr>
          <w:rFonts w:hint="default" w:ascii="Times New Roman" w:hAnsi="Times New Roman" w:eastAsia="宋体" w:cs="Times New Roman"/>
          <w:szCs w:val="24"/>
          <w:u w:val="single"/>
          <w:lang w:val="en-US" w:eastAsia="zh-CN"/>
        </w:rPr>
        <w:t>A栋车间（全部），包括</w:t>
      </w:r>
      <w:r>
        <w:rPr>
          <w:rFonts w:hint="default" w:ascii="Times New Roman" w:hAnsi="Times New Roman" w:eastAsia="宋体" w:cs="Times New Roman"/>
          <w:szCs w:val="24"/>
          <w:u w:val="single"/>
        </w:rPr>
        <w:t>危废再生</w:t>
      </w:r>
      <w:r>
        <w:rPr>
          <w:rFonts w:hint="default" w:ascii="Times New Roman" w:hAnsi="Times New Roman" w:eastAsia="宋体" w:cs="Times New Roman"/>
          <w:szCs w:val="24"/>
          <w:u w:val="single"/>
          <w:lang w:val="en-US" w:eastAsia="zh-CN"/>
        </w:rPr>
        <w:t>利用区</w:t>
      </w:r>
      <w:r>
        <w:rPr>
          <w:rFonts w:hint="default" w:ascii="Times New Roman" w:hAnsi="Times New Roman" w:eastAsia="宋体" w:cs="Times New Roman"/>
          <w:szCs w:val="24"/>
          <w:u w:val="single"/>
        </w:rPr>
        <w:t>、危废贮存库</w:t>
      </w:r>
      <w:r>
        <w:rPr>
          <w:rFonts w:hint="default" w:ascii="Times New Roman" w:hAnsi="Times New Roman" w:eastAsia="宋体" w:cs="Times New Roman"/>
          <w:szCs w:val="24"/>
          <w:u w:val="single"/>
          <w:lang w:eastAsia="zh-CN"/>
        </w:rPr>
        <w:t>、</w:t>
      </w:r>
      <w:r>
        <w:rPr>
          <w:rFonts w:hint="default" w:ascii="Times New Roman" w:hAnsi="Times New Roman" w:eastAsia="宋体" w:cs="Times New Roman"/>
          <w:szCs w:val="24"/>
          <w:u w:val="single"/>
          <w:lang w:val="en-US" w:eastAsia="zh-CN"/>
        </w:rPr>
        <w:t>污水处理区、应急池</w:t>
      </w:r>
      <w:r>
        <w:rPr>
          <w:rFonts w:hint="default" w:ascii="Times New Roman" w:hAnsi="Times New Roman" w:eastAsia="宋体" w:cs="Times New Roman"/>
          <w:szCs w:val="24"/>
          <w:u w:val="single"/>
        </w:rPr>
        <w:t>划分为重点防渗区，参照《危险废物填埋场污染控制标准》执行地面防渗设计。地面基础铺设2mm厚的单层HDPE膜（渗透系数不大于1.0*10</w:t>
      </w:r>
      <w:r>
        <w:rPr>
          <w:rFonts w:hint="default" w:ascii="Times New Roman" w:hAnsi="Times New Roman" w:eastAsia="宋体" w:cs="Times New Roman"/>
          <w:szCs w:val="24"/>
          <w:u w:val="single"/>
          <w:vertAlign w:val="superscript"/>
        </w:rPr>
        <w:t>-7</w:t>
      </w:r>
      <w:r>
        <w:rPr>
          <w:rFonts w:hint="default" w:ascii="Times New Roman" w:hAnsi="Times New Roman" w:eastAsia="宋体" w:cs="Times New Roman"/>
          <w:szCs w:val="24"/>
          <w:u w:val="single"/>
        </w:rPr>
        <w:t>cm/s），混凝土池体采用防渗钢筋混凝土，池体内表面涂刷水泥基渗透结晶防渗结晶型涂料（渗透系数不大于1.0*10</w:t>
      </w:r>
      <w:r>
        <w:rPr>
          <w:rFonts w:hint="default" w:ascii="Times New Roman" w:hAnsi="Times New Roman" w:eastAsia="宋体" w:cs="Times New Roman"/>
          <w:szCs w:val="24"/>
          <w:u w:val="single"/>
          <w:vertAlign w:val="superscript"/>
        </w:rPr>
        <w:t>-7</w:t>
      </w:r>
      <w:r>
        <w:rPr>
          <w:rFonts w:hint="default" w:ascii="Times New Roman" w:hAnsi="Times New Roman" w:eastAsia="宋体" w:cs="Times New Roman"/>
          <w:szCs w:val="24"/>
          <w:u w:val="single"/>
        </w:rPr>
        <w:t>cm/s）。埋地管道防渗采用中粗砂回填、长丝无纺土工布、2mm厚的单层HDPE膜、长丝无纺土工布、中砂垫层、原土夯实的结构进行防渗。</w:t>
      </w:r>
    </w:p>
    <w:p w14:paraId="6A8DD270">
      <w:pPr>
        <w:tabs>
          <w:tab w:val="left" w:pos="1021"/>
        </w:tabs>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重点防渗区的防渗层的渗透系数为1.0x10</w:t>
      </w:r>
      <w:r>
        <w:rPr>
          <w:rFonts w:hint="default" w:ascii="Times New Roman" w:hAnsi="Times New Roman" w:eastAsia="宋体" w:cs="Times New Roman"/>
          <w:color w:val="000000"/>
          <w:sz w:val="24"/>
          <w:szCs w:val="24"/>
          <w:u w:val="single"/>
          <w:vertAlign w:val="superscript"/>
        </w:rPr>
        <w:t>-7</w:t>
      </w:r>
      <w:r>
        <w:rPr>
          <w:rFonts w:hint="default" w:ascii="Times New Roman" w:hAnsi="Times New Roman" w:eastAsia="宋体" w:cs="Times New Roman"/>
          <w:color w:val="000000"/>
          <w:sz w:val="24"/>
          <w:szCs w:val="24"/>
          <w:u w:val="single"/>
        </w:rPr>
        <w:t>cm/s的黏土层的防渗性能或参照GB18598执行。</w:t>
      </w:r>
    </w:p>
    <w:p w14:paraId="68CF8002">
      <w:pPr>
        <w:pStyle w:val="122"/>
        <w:adjustRightInd/>
        <w:snapToGrid/>
        <w:spacing w:line="360" w:lineRule="auto"/>
        <w:ind w:firstLine="482"/>
        <w:rPr>
          <w:rFonts w:hint="default" w:ascii="Times New Roman" w:hAnsi="Times New Roman" w:eastAsia="宋体" w:cs="Times New Roman"/>
          <w:szCs w:val="24"/>
          <w:u w:val="single"/>
        </w:rPr>
      </w:pPr>
      <w:r>
        <w:rPr>
          <w:rFonts w:hint="default" w:ascii="Times New Roman" w:hAnsi="Times New Roman" w:eastAsia="宋体" w:cs="Times New Roman"/>
          <w:b/>
          <w:szCs w:val="24"/>
          <w:u w:val="single"/>
        </w:rPr>
        <w:t>一般防渗区：</w:t>
      </w:r>
      <w:r>
        <w:rPr>
          <w:rFonts w:hint="default" w:ascii="Times New Roman" w:hAnsi="Times New Roman" w:eastAsia="宋体" w:cs="Times New Roman"/>
          <w:szCs w:val="24"/>
          <w:u w:val="single"/>
        </w:rPr>
        <w:t>将</w:t>
      </w:r>
      <w:r>
        <w:rPr>
          <w:rFonts w:hint="default" w:ascii="Times New Roman" w:hAnsi="Times New Roman" w:eastAsia="宋体" w:cs="Times New Roman"/>
          <w:szCs w:val="24"/>
          <w:u w:val="single"/>
          <w:lang w:val="en-US" w:eastAsia="zh-CN"/>
        </w:rPr>
        <w:t>B栋预留车间</w:t>
      </w:r>
      <w:r>
        <w:rPr>
          <w:rFonts w:hint="default" w:ascii="Times New Roman" w:hAnsi="Times New Roman" w:eastAsia="宋体" w:cs="Times New Roman"/>
          <w:szCs w:val="24"/>
          <w:u w:val="single"/>
        </w:rPr>
        <w:t>划分为一般防渗区，一般通过在抗渗钢筋混凝土面层中掺水泥基渗透结晶型防水剂，其下铺砌砂石基层，原土夯实达到防渗目的。对于混凝土中间的伸缩缝和与实体基础的缝隙，通过填充柔性材料、防渗堵塞料达到防渗目的。</w:t>
      </w:r>
    </w:p>
    <w:p w14:paraId="0EA4297F">
      <w:pPr>
        <w:pStyle w:val="122"/>
        <w:adjustRightInd/>
        <w:snapToGrid/>
        <w:spacing w:line="360" w:lineRule="auto"/>
        <w:ind w:firstLine="480"/>
        <w:rPr>
          <w:rFonts w:hint="default" w:ascii="Times New Roman" w:hAnsi="Times New Roman" w:eastAsia="宋体" w:cs="Times New Roman"/>
          <w:szCs w:val="24"/>
          <w:u w:val="single"/>
        </w:rPr>
      </w:pPr>
      <w:r>
        <w:rPr>
          <w:rFonts w:hint="default" w:ascii="Times New Roman" w:hAnsi="Times New Roman" w:eastAsia="宋体" w:cs="Times New Roman"/>
          <w:color w:val="000000"/>
          <w:szCs w:val="24"/>
          <w:u w:val="single"/>
        </w:rPr>
        <w:t>一般防渗区等效黏土防渗层 Mb≥1.5m，K≤1×10</w:t>
      </w:r>
      <w:r>
        <w:rPr>
          <w:rFonts w:hint="default" w:ascii="Times New Roman" w:hAnsi="Times New Roman" w:eastAsia="宋体" w:cs="Times New Roman"/>
          <w:color w:val="000000"/>
          <w:szCs w:val="24"/>
          <w:u w:val="single"/>
          <w:vertAlign w:val="superscript"/>
        </w:rPr>
        <w:t>-7</w:t>
      </w:r>
      <w:r>
        <w:rPr>
          <w:rFonts w:hint="default" w:ascii="Times New Roman" w:hAnsi="Times New Roman" w:eastAsia="宋体" w:cs="Times New Roman"/>
          <w:color w:val="000000"/>
          <w:szCs w:val="24"/>
          <w:u w:val="single"/>
        </w:rPr>
        <w:t>cm/s或参照 GB16889 执行。</w:t>
      </w:r>
    </w:p>
    <w:p w14:paraId="1872A728">
      <w:pPr>
        <w:pStyle w:val="122"/>
        <w:adjustRightInd/>
        <w:snapToGrid/>
        <w:spacing w:line="360" w:lineRule="auto"/>
        <w:ind w:firstLine="482"/>
        <w:rPr>
          <w:rFonts w:hint="default" w:ascii="Times New Roman" w:hAnsi="Times New Roman" w:eastAsia="宋体" w:cs="Times New Roman"/>
          <w:szCs w:val="24"/>
          <w:u w:val="single"/>
        </w:rPr>
      </w:pPr>
      <w:r>
        <w:rPr>
          <w:rFonts w:hint="default" w:ascii="Times New Roman" w:hAnsi="Times New Roman" w:eastAsia="宋体" w:cs="Times New Roman"/>
          <w:b/>
          <w:szCs w:val="24"/>
          <w:u w:val="single"/>
        </w:rPr>
        <w:t>简单防渗区：</w:t>
      </w:r>
      <w:r>
        <w:rPr>
          <w:rFonts w:hint="default" w:ascii="Times New Roman" w:hAnsi="Times New Roman" w:eastAsia="宋体" w:cs="Times New Roman"/>
          <w:szCs w:val="24"/>
          <w:u w:val="single"/>
        </w:rPr>
        <w:t>不会对地下水环境造成污染的区域，主要包括办公室、废气处理区等区域。本区不采取专门针对地下水污染的防治措施。</w:t>
      </w:r>
    </w:p>
    <w:p w14:paraId="48E101BA">
      <w:pPr>
        <w:widowControl/>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项目分区防渗图如下：</w:t>
      </w:r>
    </w:p>
    <w:p w14:paraId="10519777">
      <w:pPr>
        <w:widowControl/>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mc:AlternateContent>
          <mc:Choice Requires="wps">
            <w:drawing>
              <wp:anchor distT="0" distB="0" distL="114300" distR="114300" simplePos="0" relativeHeight="251668480" behindDoc="0" locked="0" layoutInCell="1" allowOverlap="1">
                <wp:simplePos x="0" y="0"/>
                <wp:positionH relativeFrom="column">
                  <wp:posOffset>2800985</wp:posOffset>
                </wp:positionH>
                <wp:positionV relativeFrom="paragraph">
                  <wp:posOffset>598805</wp:posOffset>
                </wp:positionV>
                <wp:extent cx="1657350" cy="752475"/>
                <wp:effectExtent l="4445" t="4445" r="14605" b="5080"/>
                <wp:wrapNone/>
                <wp:docPr id="48" name="矩形 48"/>
                <wp:cNvGraphicFramePr/>
                <a:graphic xmlns:a="http://schemas.openxmlformats.org/drawingml/2006/main">
                  <a:graphicData uri="http://schemas.microsoft.com/office/word/2010/wordprocessingShape">
                    <wps:wsp>
                      <wps:cNvSpPr>
                        <a:spLocks noChangeArrowheads="1"/>
                      </wps:cNvSpPr>
                      <wps:spPr bwMode="auto">
                        <a:xfrm>
                          <a:off x="0" y="0"/>
                          <a:ext cx="1657350" cy="752475"/>
                        </a:xfrm>
                        <a:prstGeom prst="rect">
                          <a:avLst/>
                        </a:prstGeom>
                        <a:solidFill>
                          <a:srgbClr val="FFFF00">
                            <a:alpha val="45000"/>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0.55pt;margin-top:47.15pt;height:59.25pt;width:130.5pt;z-index:251668480;mso-width-relative:page;mso-height-relative:page;" fillcolor="#FFFF00" filled="t" stroked="t" coordsize="21600,21600" o:gfxdata="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h3sPfYAAAACgEAAA8AAAAAAAAAAQAgAAAA&#10;IgAAAGRycy9kb3ducmV2LnhtbFBLAQIUABQAAAAIAIdO4kDhVUe5RAIAAJIEAAAOAAAAAAAAAAEA&#10;IAAAACcBAABkcnMvZTJvRG9jLnhtbFBLBQYAAAAABgAGAFkBAADdBQAAAAA=&#10;">
                <v:fill on="t" opacity="29491f" focussize="0,0"/>
                <v:stroke color="#000000" miterlimit="8" joinstyle="miter"/>
                <v:imagedata o:title=""/>
                <o:lock v:ext="edit" aspectratio="f"/>
              </v:rect>
            </w:pict>
          </mc:Fallback>
        </mc:AlternateContent>
      </w:r>
      <w:r>
        <w:rPr>
          <w:rFonts w:hint="default" w:ascii="Times New Roman" w:hAnsi="Times New Roman" w:eastAsia="宋体" w:cs="Times New Roman"/>
          <w:sz w:val="24"/>
          <w:szCs w:val="24"/>
        </w:rPr>
        <mc:AlternateContent>
          <mc:Choice Requires="wps">
            <w:drawing>
              <wp:anchor distT="0" distB="0" distL="114300" distR="114300" simplePos="0" relativeHeight="251664384" behindDoc="0" locked="0" layoutInCell="1" allowOverlap="1">
                <wp:simplePos x="0" y="0"/>
                <wp:positionH relativeFrom="column">
                  <wp:posOffset>635635</wp:posOffset>
                </wp:positionH>
                <wp:positionV relativeFrom="paragraph">
                  <wp:posOffset>1889125</wp:posOffset>
                </wp:positionV>
                <wp:extent cx="3878580" cy="2828925"/>
                <wp:effectExtent l="4445" t="4445" r="18415" b="16510"/>
                <wp:wrapNone/>
                <wp:docPr id="44" name="矩形 44"/>
                <wp:cNvGraphicFramePr/>
                <a:graphic xmlns:a="http://schemas.openxmlformats.org/drawingml/2006/main">
                  <a:graphicData uri="http://schemas.microsoft.com/office/word/2010/wordprocessingShape">
                    <wps:wsp>
                      <wps:cNvSpPr>
                        <a:spLocks noChangeArrowheads="1"/>
                      </wps:cNvSpPr>
                      <wps:spPr bwMode="auto">
                        <a:xfrm>
                          <a:off x="0" y="0"/>
                          <a:ext cx="3878580" cy="2828925"/>
                        </a:xfrm>
                        <a:prstGeom prst="rect">
                          <a:avLst/>
                        </a:prstGeom>
                        <a:solidFill>
                          <a:srgbClr val="FF0000">
                            <a:alpha val="55000"/>
                          </a:srgbClr>
                        </a:solidFill>
                        <a:ln w="9525">
                          <a:solidFill>
                            <a:srgbClr val="000000"/>
                          </a:solidFill>
                          <a:miter lim="800000"/>
                        </a:ln>
                      </wps:spPr>
                      <wps:txbx>
                        <w:txbxContent>
                          <w:p w14:paraId="1A945544"/>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50.05pt;margin-top:148.75pt;height:222.75pt;width:305.4pt;z-index:251664384;mso-width-relative:page;mso-height-relative:page;" fillcolor="#FF0000" filled="t" stroked="t" coordsize="21600,21600" o:gfxdata="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GLaLRdoAAAALAQAADwAAAAAAAAAB&#10;ACAAAAAiAAAAZHJzL2Rvd25yZXYueG1sUEsBAhQAFAAAAAgAh07iQGNyc/NHAgAAngQAAA4AAAAA&#10;AAAAAQAgAAAAKQEAAGRycy9lMm9Eb2MueG1sUEsFBgAAAAAGAAYAWQEAAOIFAAAAAA==&#10;">
                <v:fill on="t" opacity="36044f" focussize="0,0"/>
                <v:stroke color="#000000" miterlimit="8" joinstyle="miter"/>
                <v:imagedata o:title=""/>
                <o:lock v:ext="edit" aspectratio="f"/>
                <v:textbox>
                  <w:txbxContent>
                    <w:p w14:paraId="1A945544"/>
                  </w:txbxContent>
                </v:textbox>
              </v:rect>
            </w:pict>
          </mc:Fallback>
        </mc:AlternateContent>
      </w:r>
      <w:r>
        <w:rPr>
          <w:rFonts w:hint="default" w:ascii="Times New Roman" w:hAnsi="Times New Roman" w:eastAsia="宋体" w:cs="Times New Roman"/>
          <w:sz w:val="24"/>
          <w:szCs w:val="24"/>
        </w:rPr>
        <mc:AlternateContent>
          <mc:Choice Requires="wps">
            <w:drawing>
              <wp:anchor distT="0" distB="0" distL="114300" distR="114300" simplePos="0" relativeHeight="251665408" behindDoc="0" locked="0" layoutInCell="1" allowOverlap="1">
                <wp:simplePos x="0" y="0"/>
                <wp:positionH relativeFrom="column">
                  <wp:posOffset>3470910</wp:posOffset>
                </wp:positionH>
                <wp:positionV relativeFrom="paragraph">
                  <wp:posOffset>6134100</wp:posOffset>
                </wp:positionV>
                <wp:extent cx="935355" cy="1060450"/>
                <wp:effectExtent l="4445" t="4445" r="5080" b="17145"/>
                <wp:wrapNone/>
                <wp:docPr id="45" name="矩形 45"/>
                <wp:cNvGraphicFramePr/>
                <a:graphic xmlns:a="http://schemas.openxmlformats.org/drawingml/2006/main">
                  <a:graphicData uri="http://schemas.microsoft.com/office/word/2010/wordprocessingShape">
                    <wps:wsp>
                      <wps:cNvSpPr>
                        <a:spLocks noChangeArrowheads="1"/>
                      </wps:cNvSpPr>
                      <wps:spPr bwMode="auto">
                        <a:xfrm>
                          <a:off x="0" y="0"/>
                          <a:ext cx="935355" cy="1060450"/>
                        </a:xfrm>
                        <a:prstGeom prst="rect">
                          <a:avLst/>
                        </a:prstGeom>
                        <a:solidFill>
                          <a:srgbClr val="FF0000">
                            <a:alpha val="55000"/>
                          </a:srgbClr>
                        </a:solidFill>
                        <a:ln w="9525">
                          <a:solidFill>
                            <a:srgbClr val="000000"/>
                          </a:solidFill>
                          <a:miter lim="800000"/>
                        </a:ln>
                      </wps:spPr>
                      <wps:txbx>
                        <w:txbxContent>
                          <w:p w14:paraId="5FB090B8"/>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3.3pt;margin-top:483pt;height:83.5pt;width:73.65pt;z-index:251665408;mso-width-relative:page;mso-height-relative:page;" fillcolor="#FF0000" filled="t" stroked="t" coordsize="21600,21600" o:gfxdata="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FJoIc9sAAAAMAQAADwAAAAAA&#10;AAABACAAAAAiAAAAZHJzL2Rvd25yZXYueG1sUEsBAhQAFAAAAAgAh07iQC4MoaFJAgAAnQQAAA4A&#10;AAAAAAAAAQAgAAAAKgEAAGRycy9lMm9Eb2MueG1sUEsFBgAAAAAGAAYAWQEAAOUFAAAAAA==&#10;">
                <v:fill on="t" opacity="36044f" focussize="0,0"/>
                <v:stroke color="#000000" miterlimit="8" joinstyle="miter"/>
                <v:imagedata o:title=""/>
                <o:lock v:ext="edit" aspectratio="f"/>
                <v:textbox>
                  <w:txbxContent>
                    <w:p w14:paraId="5FB090B8"/>
                  </w:txbxContent>
                </v:textbox>
              </v:rect>
            </w:pict>
          </mc:Fallback>
        </mc:AlternateContent>
      </w:r>
      <w:r>
        <w:rPr>
          <w:rFonts w:hint="default" w:ascii="Times New Roman" w:hAnsi="Times New Roman" w:eastAsia="宋体" w:cs="Times New Roman"/>
          <w:sz w:val="24"/>
          <w:szCs w:val="24"/>
        </w:rPr>
        <mc:AlternateContent>
          <mc:Choice Requires="wps">
            <w:drawing>
              <wp:anchor distT="0" distB="0" distL="114300" distR="114300" simplePos="0" relativeHeight="251667456" behindDoc="0" locked="0" layoutInCell="1" allowOverlap="1">
                <wp:simplePos x="0" y="0"/>
                <wp:positionH relativeFrom="column">
                  <wp:posOffset>615950</wp:posOffset>
                </wp:positionH>
                <wp:positionV relativeFrom="paragraph">
                  <wp:posOffset>6112510</wp:posOffset>
                </wp:positionV>
                <wp:extent cx="2847340" cy="1119505"/>
                <wp:effectExtent l="4445" t="4445" r="13335" b="19050"/>
                <wp:wrapNone/>
                <wp:docPr id="47" name="矩形 47"/>
                <wp:cNvGraphicFramePr/>
                <a:graphic xmlns:a="http://schemas.openxmlformats.org/drawingml/2006/main">
                  <a:graphicData uri="http://schemas.microsoft.com/office/word/2010/wordprocessingShape">
                    <wps:wsp>
                      <wps:cNvSpPr>
                        <a:spLocks noChangeArrowheads="1"/>
                      </wps:cNvSpPr>
                      <wps:spPr bwMode="auto">
                        <a:xfrm>
                          <a:off x="0" y="0"/>
                          <a:ext cx="2847340" cy="1119505"/>
                        </a:xfrm>
                        <a:prstGeom prst="rect">
                          <a:avLst/>
                        </a:prstGeom>
                        <a:solidFill>
                          <a:srgbClr val="00B050">
                            <a:alpha val="39999"/>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8.5pt;margin-top:481.3pt;height:88.15pt;width:224.2pt;z-index:251667456;mso-width-relative:page;mso-height-relative:page;" fillcolor="#00B050" filled="t" stroked="t" coordsize="21600,21600" o:gfxdata="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Rd7cW2wAAAAsBAAAPAAAAAAAA&#10;AAEAIAAAACIAAABkcnMvZG93bnJldi54bWxQSwECFAAUAAAACACHTuJAmfE92EgCAACTBAAADgAA&#10;AAAAAAABACAAAAAqAQAAZHJzL2Uyb0RvYy54bWxQSwUGAAAAAAYABgBZAQAA5AUAAAAA&#10;">
                <v:fill on="t" opacity="26213f" focussize="0,0"/>
                <v:stroke color="#000000" miterlimit="8" joinstyle="miter"/>
                <v:imagedata o:title=""/>
                <o:lock v:ext="edit" aspectratio="f"/>
              </v:rect>
            </w:pict>
          </mc:Fallback>
        </mc:AlternateContent>
      </w:r>
      <w:r>
        <w:rPr>
          <w:rFonts w:hint="default" w:ascii="Times New Roman" w:hAnsi="Times New Roman" w:eastAsia="宋体" w:cs="Times New Roman"/>
          <w:sz w:val="24"/>
          <w:szCs w:val="24"/>
        </w:rPr>
        <mc:AlternateContent>
          <mc:Choice Requires="wps">
            <w:drawing>
              <wp:anchor distT="0" distB="0" distL="114300" distR="114300" simplePos="0" relativeHeight="251666432" behindDoc="0" locked="0" layoutInCell="1" allowOverlap="1">
                <wp:simplePos x="0" y="0"/>
                <wp:positionH relativeFrom="column">
                  <wp:posOffset>611505</wp:posOffset>
                </wp:positionH>
                <wp:positionV relativeFrom="paragraph">
                  <wp:posOffset>4962525</wp:posOffset>
                </wp:positionV>
                <wp:extent cx="3877310" cy="1156970"/>
                <wp:effectExtent l="4445" t="5080" r="19685" b="11430"/>
                <wp:wrapNone/>
                <wp:docPr id="46" name="矩形 46"/>
                <wp:cNvGraphicFramePr/>
                <a:graphic xmlns:a="http://schemas.openxmlformats.org/drawingml/2006/main">
                  <a:graphicData uri="http://schemas.microsoft.com/office/word/2010/wordprocessingShape">
                    <wps:wsp>
                      <wps:cNvSpPr>
                        <a:spLocks noChangeArrowheads="1"/>
                      </wps:cNvSpPr>
                      <wps:spPr bwMode="auto">
                        <a:xfrm>
                          <a:off x="0" y="0"/>
                          <a:ext cx="3877310" cy="1156970"/>
                        </a:xfrm>
                        <a:prstGeom prst="rect">
                          <a:avLst/>
                        </a:prstGeom>
                        <a:solidFill>
                          <a:srgbClr val="00B050">
                            <a:alpha val="39999"/>
                          </a:srgbClr>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48.15pt;margin-top:390.75pt;height:91.1pt;width:305.3pt;z-index:251666432;mso-width-relative:page;mso-height-relative:page;" fillcolor="#00B050" filled="t" stroked="t" coordsize="21600,21600" o:gfxdata="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YSICv2QAAAAoBAAAPAAAAAAAA&#10;AAEAIAAAACIAAABkcnMvZG93bnJldi54bWxQSwECFAAUAAAACACHTuJAY83PiUoCAACTBAAADgAA&#10;AAAAAAABACAAAAAoAQAAZHJzL2Uyb0RvYy54bWxQSwUGAAAAAAYABgBZAQAA5AUAAAAA&#10;">
                <v:fill on="t" opacity="26213f" focussize="0,0"/>
                <v:stroke color="#000000" miterlimit="8" joinstyle="miter"/>
                <v:imagedata o:title=""/>
                <o:lock v:ext="edit" aspectratio="f"/>
              </v:rect>
            </w:pict>
          </mc:Fallback>
        </mc:AlternateContent>
      </w:r>
      <w:r>
        <w:rPr>
          <w:rFonts w:hint="default" w:ascii="Times New Roman" w:hAnsi="Times New Roman" w:eastAsia="宋体" w:cs="Times New Roman"/>
        </w:rPr>
        <w:drawing>
          <wp:inline distT="0" distB="0" distL="114300" distR="114300">
            <wp:extent cx="4911725" cy="7625715"/>
            <wp:effectExtent l="0" t="0" r="10795" b="9525"/>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pic:cNvPicPr>
                  </pic:nvPicPr>
                  <pic:blipFill>
                    <a:blip r:embed="rId65"/>
                    <a:stretch>
                      <a:fillRect/>
                    </a:stretch>
                  </pic:blipFill>
                  <pic:spPr>
                    <a:xfrm>
                      <a:off x="0" y="0"/>
                      <a:ext cx="4911725" cy="7625715"/>
                    </a:xfrm>
                    <a:prstGeom prst="rect">
                      <a:avLst/>
                    </a:prstGeom>
                    <a:noFill/>
                    <a:ln>
                      <a:noFill/>
                    </a:ln>
                  </pic:spPr>
                </pic:pic>
              </a:graphicData>
            </a:graphic>
          </wp:inline>
        </w:drawing>
      </w:r>
    </w:p>
    <w:p w14:paraId="282516F1">
      <w:pPr>
        <w:widowControl/>
        <w:spacing w:line="360" w:lineRule="auto"/>
        <w:ind w:firstLine="420" w:firstLineChars="200"/>
        <w:rPr>
          <w:rFonts w:hint="default" w:ascii="Times New Roman" w:hAnsi="Times New Roman" w:eastAsia="宋体" w:cs="Times New Roman"/>
          <w:sz w:val="24"/>
          <w:szCs w:val="24"/>
        </w:rPr>
      </w:pPr>
      <w:r>
        <w:rPr>
          <w:rFonts w:hint="default" w:ascii="Times New Roman" w:hAnsi="Times New Roman" w:eastAsia="宋体" w:cs="Times New Roman"/>
        </w:rPr>
        <w:drawing>
          <wp:inline distT="0" distB="0" distL="0" distR="0">
            <wp:extent cx="1280160" cy="775970"/>
            <wp:effectExtent l="0" t="0" r="0" b="508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66"/>
                    <a:stretch>
                      <a:fillRect/>
                    </a:stretch>
                  </pic:blipFill>
                  <pic:spPr>
                    <a:xfrm>
                      <a:off x="0" y="0"/>
                      <a:ext cx="1287889" cy="780659"/>
                    </a:xfrm>
                    <a:prstGeom prst="rect">
                      <a:avLst/>
                    </a:prstGeom>
                  </pic:spPr>
                </pic:pic>
              </a:graphicData>
            </a:graphic>
          </wp:inline>
        </w:drawing>
      </w:r>
    </w:p>
    <w:p w14:paraId="78294E73">
      <w:pPr>
        <w:widowControl/>
        <w:spacing w:line="360" w:lineRule="auto"/>
        <w:jc w:val="center"/>
        <w:rPr>
          <w:rFonts w:hint="default" w:ascii="Times New Roman" w:hAnsi="Times New Roman" w:eastAsia="宋体" w:cs="Times New Roman"/>
          <w:b/>
          <w:bCs/>
          <w:szCs w:val="21"/>
          <w:u w:val="single"/>
        </w:rPr>
      </w:pPr>
      <w:r>
        <w:rPr>
          <w:rFonts w:hint="default" w:ascii="Times New Roman" w:hAnsi="Times New Roman" w:eastAsia="宋体" w:cs="Times New Roman"/>
          <w:b/>
          <w:bCs/>
          <w:szCs w:val="21"/>
          <w:u w:val="single"/>
        </w:rPr>
        <w:t>图8.5-1  项目分区防渗图</w:t>
      </w:r>
    </w:p>
    <w:p w14:paraId="4B309D2C">
      <w:pPr>
        <w:widowControl/>
        <w:spacing w:line="360" w:lineRule="auto"/>
        <w:jc w:val="center"/>
        <w:rPr>
          <w:rFonts w:hint="default" w:ascii="Times New Roman" w:hAnsi="Times New Roman" w:eastAsia="宋体" w:cs="Times New Roman"/>
          <w:sz w:val="24"/>
          <w:szCs w:val="24"/>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AndChars" w:linePitch="326" w:charSpace="0"/>
        </w:sectPr>
      </w:pPr>
    </w:p>
    <w:p w14:paraId="11BCA6A0">
      <w:pPr>
        <w:pStyle w:val="4"/>
        <w:spacing w:before="0" w:after="0" w:line="360" w:lineRule="auto"/>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rPr>
        <w:t>8.5.</w:t>
      </w:r>
      <w:r>
        <w:rPr>
          <w:rFonts w:hint="default" w:ascii="Times New Roman" w:hAnsi="Times New Roman" w:eastAsia="宋体" w:cs="Times New Roman"/>
          <w:sz w:val="24"/>
          <w:szCs w:val="24"/>
          <w:u w:val="single"/>
          <w:lang w:val="en-US" w:eastAsia="zh-CN"/>
        </w:rPr>
        <w:t>3地下水水质监测与管理</w:t>
      </w:r>
    </w:p>
    <w:p w14:paraId="0876C6FB">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1、地下水监测计划</w:t>
      </w:r>
    </w:p>
    <w:p w14:paraId="4A5B9B0F">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了及时准确地掌握厂址及下游地区地下水环境质量状况和地下水体中污染物的动态变化，本项目应建立地下水环境监测管理体系，包括制定地下水环境影响跟踪监测计划、建立地下水环境影响跟踪监测制度、配备先进的监测仪器和设备，以便及时发现并及时控制。</w:t>
      </w:r>
    </w:p>
    <w:p w14:paraId="23C5BEB6">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根据《环境影响评价技术导则 地下水环境》（HJ610-2016）结合评价区含水层系统和地下水径流系统特征，考虑潜在污染源、环境保护目标等因素，布置地下水监测点。</w:t>
      </w:r>
    </w:p>
    <w:p w14:paraId="1DE0D54D">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2、地下水监测原则</w:t>
      </w:r>
    </w:p>
    <w:p w14:paraId="661C12AD">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1）重点防渗区加密监测原则；</w:t>
      </w:r>
    </w:p>
    <w:p w14:paraId="6C334C7F">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2）以浅层地下水监测为主的原则；</w:t>
      </w:r>
    </w:p>
    <w:p w14:paraId="6D5F395D">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3）上、下游同步对比监测原则；</w:t>
      </w:r>
    </w:p>
    <w:p w14:paraId="27AA3EC1">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4）水质监测项目参照《地下水质量标准》相关要求和潜在污染源特征污染因子确定，各监测井可依据监测目的的不同适当增加和减少监测项目。</w:t>
      </w:r>
      <w:r>
        <w:rPr>
          <w:rFonts w:hint="default" w:ascii="Times New Roman" w:hAnsi="Times New Roman" w:eastAsia="宋体" w:cs="Times New Roman"/>
          <w:sz w:val="24"/>
          <w:szCs w:val="24"/>
          <w:lang w:val="en-US" w:eastAsia="zh-CN"/>
        </w:rPr>
        <w:t>厂区</w:t>
      </w:r>
      <w:r>
        <w:rPr>
          <w:rFonts w:hint="default" w:ascii="Times New Roman" w:hAnsi="Times New Roman" w:eastAsia="宋体" w:cs="Times New Roman"/>
          <w:sz w:val="24"/>
          <w:szCs w:val="24"/>
        </w:rPr>
        <w:t>安全</w:t>
      </w:r>
      <w:r>
        <w:rPr>
          <w:rFonts w:hint="eastAsia" w:ascii="Times New Roman" w:hAnsi="Times New Roman" w:cs="Times New Roman"/>
          <w:sz w:val="24"/>
          <w:szCs w:val="24"/>
          <w:lang w:eastAsia="zh-CN"/>
        </w:rPr>
        <w:t>生态环境部</w:t>
      </w:r>
      <w:r>
        <w:rPr>
          <w:rFonts w:hint="default" w:ascii="Times New Roman" w:hAnsi="Times New Roman" w:eastAsia="宋体" w:cs="Times New Roman"/>
          <w:sz w:val="24"/>
          <w:szCs w:val="24"/>
        </w:rPr>
        <w:t>门设立地下水动态监测小组，专人负责监测。</w:t>
      </w:r>
    </w:p>
    <w:p w14:paraId="345B7C4D">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3、监测井布置</w:t>
      </w:r>
    </w:p>
    <w:p w14:paraId="7D6069CB">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为保障地下水不受污染，要加强对项目周边地下水的监测，以便及时发现问题，采取相应的补救措施。地下水的监测点的布置依据厂布置、地下水流向及预测结果等来确定。根据本项目的实际情况，地下水环境监测点布置情况见下表及图所示。</w:t>
      </w:r>
    </w:p>
    <w:p w14:paraId="1C76C097">
      <w:pPr>
        <w:widowControl/>
        <w:spacing w:line="360" w:lineRule="auto"/>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w:t>
      </w:r>
      <w:r>
        <w:rPr>
          <w:rFonts w:hint="default" w:ascii="Times New Roman" w:hAnsi="Times New Roman" w:eastAsia="宋体" w:cs="Times New Roman"/>
          <w:b/>
          <w:bCs/>
          <w:sz w:val="21"/>
          <w:szCs w:val="21"/>
          <w:u w:val="single"/>
          <w:lang w:val="en-US" w:eastAsia="zh-CN"/>
        </w:rPr>
        <w:t>8.5-1</w:t>
      </w:r>
      <w:r>
        <w:rPr>
          <w:rFonts w:hint="default" w:ascii="Times New Roman" w:hAnsi="Times New Roman" w:eastAsia="宋体" w:cs="Times New Roman"/>
          <w:b/>
          <w:bCs/>
          <w:sz w:val="21"/>
          <w:szCs w:val="21"/>
          <w:u w:val="single"/>
        </w:rPr>
        <w:t xml:space="preserve">    环境监测点设置情况一览表</w:t>
      </w:r>
    </w:p>
    <w:tbl>
      <w:tblPr>
        <w:tblStyle w:val="59"/>
        <w:tblW w:w="502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434"/>
        <w:gridCol w:w="2669"/>
        <w:gridCol w:w="2135"/>
        <w:gridCol w:w="1152"/>
      </w:tblGrid>
      <w:tr w14:paraId="635C494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50" w:type="pct"/>
            <w:tcBorders>
              <w:tl2br w:val="nil"/>
              <w:tr2bl w:val="nil"/>
            </w:tcBorders>
            <w:vAlign w:val="center"/>
          </w:tcPr>
          <w:p w14:paraId="052D3F39">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点位</w:t>
            </w:r>
          </w:p>
        </w:tc>
        <w:tc>
          <w:tcPr>
            <w:tcW w:w="1590" w:type="pct"/>
            <w:tcBorders>
              <w:tl2br w:val="nil"/>
              <w:tr2bl w:val="nil"/>
            </w:tcBorders>
            <w:vAlign w:val="center"/>
          </w:tcPr>
          <w:p w14:paraId="73A4008E">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位置及监测层位</w:t>
            </w:r>
          </w:p>
        </w:tc>
        <w:tc>
          <w:tcPr>
            <w:tcW w:w="1272" w:type="pct"/>
            <w:tcBorders>
              <w:tl2br w:val="nil"/>
              <w:tr2bl w:val="nil"/>
            </w:tcBorders>
            <w:vAlign w:val="center"/>
          </w:tcPr>
          <w:p w14:paraId="4AC4FD56">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基本功能</w:t>
            </w:r>
          </w:p>
        </w:tc>
        <w:tc>
          <w:tcPr>
            <w:tcW w:w="686" w:type="pct"/>
            <w:tcBorders>
              <w:tl2br w:val="nil"/>
              <w:tr2bl w:val="nil"/>
            </w:tcBorders>
            <w:vAlign w:val="center"/>
          </w:tcPr>
          <w:p w14:paraId="183BBCE0">
            <w:pPr>
              <w:pStyle w:val="60"/>
              <w:rPr>
                <w:rFonts w:hint="default" w:ascii="Times New Roman" w:hAnsi="Times New Roman" w:eastAsia="宋体" w:cs="Times New Roman"/>
                <w:spacing w:val="0"/>
                <w:sz w:val="21"/>
                <w:szCs w:val="21"/>
                <w:u w:val="single"/>
              </w:rPr>
            </w:pPr>
            <w:r>
              <w:rPr>
                <w:rFonts w:hint="default" w:ascii="Times New Roman" w:hAnsi="Times New Roman" w:eastAsia="宋体" w:cs="Times New Roman"/>
                <w:sz w:val="21"/>
                <w:u w:val="single"/>
                <w:lang w:eastAsia="en-US"/>
              </w:rPr>
              <w:t>监测频次</w:t>
            </w:r>
          </w:p>
        </w:tc>
      </w:tr>
      <w:tr w14:paraId="1BD9F4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50" w:type="pct"/>
            <w:tcBorders>
              <w:tl2br w:val="nil"/>
              <w:tr2bl w:val="nil"/>
            </w:tcBorders>
            <w:vAlign w:val="center"/>
          </w:tcPr>
          <w:p w14:paraId="79B329B7">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lang w:eastAsia="zh-CN"/>
              </w:rPr>
            </w:pPr>
            <w:r>
              <w:rPr>
                <w:rFonts w:hint="default" w:ascii="Times New Roman" w:hAnsi="Times New Roman" w:eastAsia="宋体" w:cs="Times New Roman"/>
                <w:spacing w:val="0"/>
                <w:sz w:val="21"/>
                <w:szCs w:val="21"/>
                <w:u w:val="single"/>
              </w:rPr>
              <w:t>JC1</w:t>
            </w:r>
            <w:r>
              <w:rPr>
                <w:rFonts w:hint="default" w:ascii="Times New Roman" w:hAnsi="Times New Roman" w:eastAsia="宋体" w:cs="Times New Roman"/>
                <w:spacing w:val="0"/>
                <w:sz w:val="21"/>
                <w:szCs w:val="21"/>
                <w:u w:val="single"/>
                <w:lang w:eastAsia="zh-CN"/>
              </w:rPr>
              <w:t>（危废综合处置车间）</w:t>
            </w:r>
          </w:p>
        </w:tc>
        <w:tc>
          <w:tcPr>
            <w:tcW w:w="1590" w:type="pct"/>
            <w:tcBorders>
              <w:tl2br w:val="nil"/>
              <w:tr2bl w:val="nil"/>
            </w:tcBorders>
            <w:vAlign w:val="center"/>
          </w:tcPr>
          <w:p w14:paraId="20A31C98">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项目场地， 裂隙溶隙水</w:t>
            </w:r>
          </w:p>
        </w:tc>
        <w:tc>
          <w:tcPr>
            <w:tcW w:w="1272" w:type="pct"/>
            <w:tcBorders>
              <w:tl2br w:val="nil"/>
              <w:tr2bl w:val="nil"/>
            </w:tcBorders>
            <w:vAlign w:val="center"/>
          </w:tcPr>
          <w:p w14:paraId="77A63B46">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背景值监测点</w:t>
            </w:r>
          </w:p>
        </w:tc>
        <w:tc>
          <w:tcPr>
            <w:tcW w:w="686" w:type="pct"/>
            <w:vMerge w:val="restart"/>
            <w:tcBorders>
              <w:tl2br w:val="nil"/>
              <w:tr2bl w:val="nil"/>
            </w:tcBorders>
            <w:vAlign w:val="center"/>
          </w:tcPr>
          <w:p w14:paraId="3F6859F7">
            <w:pPr>
              <w:pStyle w:val="60"/>
              <w:rPr>
                <w:rFonts w:hint="default" w:ascii="Times New Roman" w:hAnsi="Times New Roman" w:eastAsia="宋体" w:cs="Times New Roman"/>
                <w:spacing w:val="0"/>
                <w:sz w:val="21"/>
                <w:szCs w:val="21"/>
                <w:u w:val="single"/>
              </w:rPr>
            </w:pPr>
            <w:r>
              <w:rPr>
                <w:rFonts w:hint="default" w:ascii="Times New Roman" w:hAnsi="Times New Roman" w:eastAsia="宋体" w:cs="Times New Roman"/>
                <w:sz w:val="21"/>
                <w:u w:val="single"/>
                <w:lang w:eastAsia="en-US"/>
              </w:rPr>
              <w:t>1次/年</w:t>
            </w:r>
          </w:p>
        </w:tc>
      </w:tr>
      <w:tr w14:paraId="2F1902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450" w:type="pct"/>
            <w:tcBorders>
              <w:tl2br w:val="nil"/>
              <w:tr2bl w:val="nil"/>
            </w:tcBorders>
            <w:vAlign w:val="center"/>
          </w:tcPr>
          <w:p w14:paraId="3E3351EC">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lang w:eastAsia="zh-CN"/>
              </w:rPr>
            </w:pPr>
            <w:r>
              <w:rPr>
                <w:rFonts w:hint="default" w:ascii="Times New Roman" w:hAnsi="Times New Roman" w:eastAsia="宋体" w:cs="Times New Roman"/>
                <w:spacing w:val="0"/>
                <w:sz w:val="21"/>
                <w:szCs w:val="21"/>
                <w:u w:val="single"/>
              </w:rPr>
              <w:t>JC2</w:t>
            </w:r>
            <w:r>
              <w:rPr>
                <w:rFonts w:hint="default" w:ascii="Times New Roman" w:hAnsi="Times New Roman" w:eastAsia="宋体" w:cs="Times New Roman"/>
                <w:spacing w:val="0"/>
                <w:sz w:val="21"/>
                <w:szCs w:val="21"/>
                <w:u w:val="single"/>
                <w:lang w:eastAsia="zh-CN"/>
              </w:rPr>
              <w:t>（厂区东侧）</w:t>
            </w:r>
          </w:p>
        </w:tc>
        <w:tc>
          <w:tcPr>
            <w:tcW w:w="1590" w:type="pct"/>
            <w:tcBorders>
              <w:tl2br w:val="nil"/>
              <w:tr2bl w:val="nil"/>
            </w:tcBorders>
            <w:vAlign w:val="center"/>
          </w:tcPr>
          <w:p w14:paraId="73EDD28B">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地下水上游，裂隙溶隙水</w:t>
            </w:r>
          </w:p>
        </w:tc>
        <w:tc>
          <w:tcPr>
            <w:tcW w:w="1272" w:type="pct"/>
            <w:tcBorders>
              <w:tl2br w:val="nil"/>
              <w:tr2bl w:val="nil"/>
            </w:tcBorders>
            <w:vAlign w:val="center"/>
          </w:tcPr>
          <w:p w14:paraId="7FA49F81">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污染源扩散监测点</w:t>
            </w:r>
          </w:p>
        </w:tc>
        <w:tc>
          <w:tcPr>
            <w:tcW w:w="686" w:type="pct"/>
            <w:vMerge w:val="continue"/>
            <w:tcBorders>
              <w:tl2br w:val="nil"/>
              <w:tr2bl w:val="nil"/>
            </w:tcBorders>
            <w:vAlign w:val="center"/>
          </w:tcPr>
          <w:p w14:paraId="76980D43">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p>
        </w:tc>
      </w:tr>
      <w:tr w14:paraId="30A54C2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450" w:type="pct"/>
            <w:tcBorders>
              <w:tl2br w:val="nil"/>
              <w:tr2bl w:val="nil"/>
            </w:tcBorders>
            <w:vAlign w:val="center"/>
          </w:tcPr>
          <w:p w14:paraId="01864467">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JC3</w:t>
            </w:r>
            <w:r>
              <w:rPr>
                <w:rFonts w:hint="default" w:ascii="Times New Roman" w:hAnsi="Times New Roman" w:eastAsia="宋体" w:cs="Times New Roman"/>
                <w:spacing w:val="0"/>
                <w:sz w:val="21"/>
                <w:szCs w:val="21"/>
                <w:u w:val="single"/>
                <w:lang w:eastAsia="zh-CN"/>
              </w:rPr>
              <w:t>（厂区</w:t>
            </w:r>
            <w:r>
              <w:rPr>
                <w:rFonts w:hint="default" w:ascii="Times New Roman" w:hAnsi="Times New Roman" w:eastAsia="宋体" w:cs="Times New Roman"/>
                <w:spacing w:val="0"/>
                <w:sz w:val="21"/>
                <w:szCs w:val="21"/>
                <w:u w:val="single"/>
                <w:lang w:val="en-US" w:eastAsia="zh-CN"/>
              </w:rPr>
              <w:t>西</w:t>
            </w:r>
            <w:r>
              <w:rPr>
                <w:rFonts w:hint="default" w:ascii="Times New Roman" w:hAnsi="Times New Roman" w:eastAsia="宋体" w:cs="Times New Roman"/>
                <w:spacing w:val="0"/>
                <w:sz w:val="21"/>
                <w:szCs w:val="21"/>
                <w:u w:val="single"/>
                <w:lang w:eastAsia="zh-CN"/>
              </w:rPr>
              <w:t>侧）</w:t>
            </w:r>
          </w:p>
        </w:tc>
        <w:tc>
          <w:tcPr>
            <w:tcW w:w="1590" w:type="pct"/>
            <w:tcBorders>
              <w:tl2br w:val="nil"/>
              <w:tr2bl w:val="nil"/>
            </w:tcBorders>
            <w:vAlign w:val="center"/>
          </w:tcPr>
          <w:p w14:paraId="323255BE">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地下水下游，裂隙溶隙水</w:t>
            </w:r>
          </w:p>
        </w:tc>
        <w:tc>
          <w:tcPr>
            <w:tcW w:w="1272" w:type="pct"/>
            <w:tcBorders>
              <w:tl2br w:val="nil"/>
              <w:tr2bl w:val="nil"/>
            </w:tcBorders>
            <w:vAlign w:val="center"/>
          </w:tcPr>
          <w:p w14:paraId="694849DC">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r>
              <w:rPr>
                <w:rFonts w:hint="default" w:ascii="Times New Roman" w:hAnsi="Times New Roman" w:eastAsia="宋体" w:cs="Times New Roman"/>
                <w:spacing w:val="0"/>
                <w:sz w:val="21"/>
                <w:szCs w:val="21"/>
                <w:u w:val="single"/>
              </w:rPr>
              <w:t>污染源扩散监测点</w:t>
            </w:r>
          </w:p>
        </w:tc>
        <w:tc>
          <w:tcPr>
            <w:tcW w:w="686" w:type="pct"/>
            <w:vMerge w:val="continue"/>
            <w:tcBorders>
              <w:tl2br w:val="nil"/>
              <w:tr2bl w:val="nil"/>
            </w:tcBorders>
            <w:vAlign w:val="center"/>
          </w:tcPr>
          <w:p w14:paraId="14176397">
            <w:pPr>
              <w:pStyle w:val="141"/>
              <w:keepNext w:val="0"/>
              <w:keepLines w:val="0"/>
              <w:pageBreakBefore w:val="0"/>
              <w:widowControl w:val="0"/>
              <w:kinsoku/>
              <w:wordWrap/>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spacing w:val="0"/>
                <w:sz w:val="21"/>
                <w:szCs w:val="21"/>
                <w:u w:val="single"/>
              </w:rPr>
            </w:pPr>
          </w:p>
        </w:tc>
      </w:tr>
    </w:tbl>
    <w:p w14:paraId="1D2A08A4">
      <w:pPr>
        <w:widowControl/>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lang w:val="en-US" w:eastAsia="zh-CN"/>
        </w:rPr>
        <w:t>4</w:t>
      </w:r>
      <w:r>
        <w:rPr>
          <w:rFonts w:hint="default" w:ascii="Times New Roman" w:hAnsi="Times New Roman" w:eastAsia="宋体" w:cs="Times New Roman"/>
          <w:sz w:val="24"/>
          <w:szCs w:val="24"/>
        </w:rPr>
        <w:t>、监测数据管理</w:t>
      </w:r>
    </w:p>
    <w:p w14:paraId="54DC12B2">
      <w:pPr>
        <w:widowControl/>
        <w:spacing w:line="360" w:lineRule="auto"/>
        <w:ind w:firstLine="480" w:firstLineChars="200"/>
        <w:jc w:val="left"/>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监测结果应按项目有关规定及时建立档案，并定期向安全</w:t>
      </w:r>
      <w:r>
        <w:rPr>
          <w:rFonts w:hint="eastAsia" w:ascii="Times New Roman" w:hAnsi="Times New Roman" w:cs="Times New Roman"/>
          <w:sz w:val="24"/>
          <w:szCs w:val="24"/>
          <w:lang w:eastAsia="zh-CN"/>
        </w:rPr>
        <w:t>生态环境部</w:t>
      </w:r>
      <w:r>
        <w:rPr>
          <w:rFonts w:hint="default" w:ascii="Times New Roman" w:hAnsi="Times New Roman" w:eastAsia="宋体" w:cs="Times New Roman"/>
          <w:sz w:val="24"/>
          <w:szCs w:val="24"/>
        </w:rPr>
        <w:t>门汇报，对于常规监测数据应该进行公开，特别是对项目所在区域的居民进行公开，满足法律中关于知情权的要求。如发现异常或发生事故，加密监测频次，并分析污染原因，确定泄漏污染源，及时采取应急措施</w:t>
      </w:r>
      <w:r>
        <w:rPr>
          <w:rFonts w:hint="default" w:ascii="Times New Roman" w:hAnsi="Times New Roman" w:eastAsia="宋体" w:cs="Times New Roman"/>
          <w:sz w:val="24"/>
          <w:szCs w:val="24"/>
          <w:lang w:eastAsia="zh-CN"/>
        </w:rPr>
        <w:t>。</w:t>
      </w:r>
    </w:p>
    <w:p w14:paraId="3A536378">
      <w:pPr>
        <w:pStyle w:val="4"/>
        <w:spacing w:before="0" w:after="0" w:line="360" w:lineRule="auto"/>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rPr>
        <w:t>8.5.</w:t>
      </w:r>
      <w:r>
        <w:rPr>
          <w:rFonts w:hint="default" w:ascii="Times New Roman" w:hAnsi="Times New Roman" w:eastAsia="宋体" w:cs="Times New Roman"/>
          <w:sz w:val="24"/>
          <w:szCs w:val="24"/>
          <w:u w:val="single"/>
          <w:lang w:val="en-US" w:eastAsia="zh-CN"/>
        </w:rPr>
        <w:t>4应急响应</w:t>
      </w:r>
    </w:p>
    <w:p w14:paraId="066453F0">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1、地下水污染事故应急预案</w:t>
      </w:r>
    </w:p>
    <w:p w14:paraId="25BD7094">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一旦发现地下水发生异常情况，必须按照应急预案马上采取紧急措施：</w:t>
      </w:r>
    </w:p>
    <w:p w14:paraId="42B2E43B">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①当确定发生地下水异常情况时，在第一时间内尽快上报公司主管领导，通知当地</w:t>
      </w:r>
      <w:r>
        <w:rPr>
          <w:rFonts w:hint="default" w:ascii="Times New Roman" w:hAnsi="Times New Roman" w:eastAsia="宋体" w:cs="Times New Roman"/>
          <w:sz w:val="24"/>
          <w:szCs w:val="24"/>
          <w:u w:val="single"/>
          <w:lang w:val="en-US" w:eastAsia="zh-CN"/>
        </w:rPr>
        <w:t>生态环境局</w:t>
      </w:r>
      <w:r>
        <w:rPr>
          <w:rFonts w:hint="default" w:ascii="Times New Roman" w:hAnsi="Times New Roman" w:eastAsia="宋体" w:cs="Times New Roman"/>
          <w:sz w:val="24"/>
          <w:szCs w:val="24"/>
          <w:u w:val="single"/>
        </w:rPr>
        <w:t>、附近居民等，密切关注地下水水质变化情况；</w:t>
      </w:r>
    </w:p>
    <w:p w14:paraId="262A5700">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②组织专业队伍对事故现场进行调查、监测，查找环境事故发生地点、分析事故原因，尽量将紧急事件局部化，如可能应予以消除，采取包括切断生产装置或设施等措施，防止事故的扩散、蔓延及连锁反应，尽量缩小地下水污染事故对人和财产的影响；</w:t>
      </w:r>
    </w:p>
    <w:p w14:paraId="502BEC36">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③当通过监测发现对周围地下水造成污染时，根据观测井的反馈信息，可对污染区地下水人工开采以形成地下水漏斗，控制污染区地下水流场，尽量防止污染物扩散；地下水排水系统是根据建设项目对地下水可能产生影响而采取的被动防范措施，是建设项目环境工程的重要组成部分。当地下水污染事件发生后，启动地下水排水应急系统，将会有效抑制污染物向下游扩散速度，控制污染范围，使地下水质量得到尽快恢复；</w:t>
      </w:r>
    </w:p>
    <w:p w14:paraId="3DFD781C">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④对被破坏的区域设置紧急隔离围堤，防止物料及消防水进一步渗入地下；</w:t>
      </w:r>
    </w:p>
    <w:p w14:paraId="4A110324">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⑤对事故后果进行评估，并制定防止类似事件发生的措施；</w:t>
      </w:r>
    </w:p>
    <w:p w14:paraId="53C13FBE">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⑥如果本厂力量无法应对污染事故，应立即请求社会应急力量协助处理。</w:t>
      </w:r>
    </w:p>
    <w:p w14:paraId="7F7914D3">
      <w:pPr>
        <w:widowControl/>
        <w:spacing w:line="360" w:lineRule="auto"/>
        <w:ind w:firstLine="480" w:firstLineChars="200"/>
        <w:jc w:val="left"/>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2、应急治理程序</w:t>
      </w:r>
    </w:p>
    <w:p w14:paraId="3C27AD1F">
      <w:pPr>
        <w:widowControl/>
        <w:spacing w:line="360" w:lineRule="auto"/>
        <w:ind w:firstLine="480" w:firstLineChars="200"/>
        <w:jc w:val="left"/>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rPr>
        <w:t>针对应急工作需要，参照“场地环境保护标准体系”的相关技术导则，结合地下水污染治理的技术特点，制定地下水污染应急治理程序见下图所示</w:t>
      </w:r>
      <w:r>
        <w:rPr>
          <w:rFonts w:hint="default" w:ascii="Times New Roman" w:hAnsi="Times New Roman" w:eastAsia="宋体" w:cs="Times New Roman"/>
          <w:sz w:val="24"/>
          <w:szCs w:val="24"/>
          <w:u w:val="single"/>
          <w:lang w:eastAsia="zh-CN"/>
        </w:rPr>
        <w:t>。</w:t>
      </w:r>
    </w:p>
    <w:p w14:paraId="22888C0D">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position w:val="-188"/>
          <w:u w:val="single"/>
        </w:rPr>
      </w:pPr>
      <w:r>
        <w:rPr>
          <w:rFonts w:hint="default" w:ascii="Times New Roman" w:hAnsi="Times New Roman" w:eastAsia="宋体" w:cs="Times New Roman"/>
          <w:position w:val="-188"/>
          <w:u w:val="single"/>
        </w:rPr>
        <w:drawing>
          <wp:inline distT="0" distB="0" distL="0" distR="0">
            <wp:extent cx="4874260" cy="5989320"/>
            <wp:effectExtent l="0" t="0" r="2540" b="0"/>
            <wp:docPr id="240" name="IM 240"/>
            <wp:cNvGraphicFramePr/>
            <a:graphic xmlns:a="http://schemas.openxmlformats.org/drawingml/2006/main">
              <a:graphicData uri="http://schemas.openxmlformats.org/drawingml/2006/picture">
                <pic:pic xmlns:pic="http://schemas.openxmlformats.org/drawingml/2006/picture">
                  <pic:nvPicPr>
                    <pic:cNvPr id="240" name="IM 240"/>
                    <pic:cNvPicPr/>
                  </pic:nvPicPr>
                  <pic:blipFill>
                    <a:blip r:embed="rId67"/>
                    <a:stretch>
                      <a:fillRect/>
                    </a:stretch>
                  </pic:blipFill>
                  <pic:spPr>
                    <a:xfrm>
                      <a:off x="0" y="0"/>
                      <a:ext cx="4874894" cy="5989320"/>
                    </a:xfrm>
                    <a:prstGeom prst="rect">
                      <a:avLst/>
                    </a:prstGeom>
                  </pic:spPr>
                </pic:pic>
              </a:graphicData>
            </a:graphic>
          </wp:inline>
        </w:drawing>
      </w:r>
    </w:p>
    <w:p w14:paraId="682127B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spacing w:val="-2"/>
          <w:sz w:val="21"/>
          <w:szCs w:val="21"/>
          <w:u w:val="single"/>
        </w:rPr>
      </w:pPr>
      <w:r>
        <w:rPr>
          <w:rFonts w:hint="default" w:ascii="Times New Roman" w:hAnsi="Times New Roman" w:eastAsia="宋体" w:cs="Times New Roman"/>
          <w:b/>
          <w:bCs/>
          <w:spacing w:val="-1"/>
          <w:sz w:val="21"/>
          <w:szCs w:val="21"/>
          <w:u w:val="single"/>
        </w:rPr>
        <w:t>图</w:t>
      </w:r>
      <w:r>
        <w:rPr>
          <w:rFonts w:hint="default" w:ascii="Times New Roman" w:hAnsi="Times New Roman" w:eastAsia="宋体" w:cs="Times New Roman"/>
          <w:b/>
          <w:bCs/>
          <w:spacing w:val="-44"/>
          <w:sz w:val="21"/>
          <w:szCs w:val="21"/>
          <w:u w:val="single"/>
          <w:lang w:val="en-US" w:eastAsia="zh-CN"/>
        </w:rPr>
        <w:t>8.5-</w:t>
      </w:r>
      <w:r>
        <w:rPr>
          <w:rFonts w:hint="default" w:ascii="Times New Roman" w:hAnsi="Times New Roman" w:eastAsia="宋体" w:cs="Times New Roman"/>
          <w:b/>
          <w:bCs/>
          <w:spacing w:val="-1"/>
          <w:sz w:val="21"/>
          <w:szCs w:val="21"/>
          <w:u w:val="single"/>
        </w:rPr>
        <w:t xml:space="preserve"> </w:t>
      </w:r>
      <w:r>
        <w:rPr>
          <w:rFonts w:hint="default" w:ascii="Times New Roman" w:hAnsi="Times New Roman" w:eastAsia="宋体" w:cs="Times New Roman"/>
          <w:b/>
          <w:bCs/>
          <w:spacing w:val="-1"/>
          <w:sz w:val="21"/>
          <w:szCs w:val="21"/>
          <w:u w:val="single"/>
          <w:lang w:val="en-US" w:eastAsia="zh-CN"/>
        </w:rPr>
        <w:t>1</w:t>
      </w:r>
      <w:r>
        <w:rPr>
          <w:rFonts w:hint="default" w:ascii="Times New Roman" w:hAnsi="Times New Roman" w:eastAsia="宋体" w:cs="Times New Roman"/>
          <w:b/>
          <w:bCs/>
          <w:spacing w:val="-1"/>
          <w:sz w:val="21"/>
          <w:szCs w:val="21"/>
          <w:u w:val="single"/>
        </w:rPr>
        <w:t xml:space="preserve">  地下水污染应急治理程</w:t>
      </w:r>
      <w:r>
        <w:rPr>
          <w:rFonts w:hint="default" w:ascii="Times New Roman" w:hAnsi="Times New Roman" w:eastAsia="宋体" w:cs="Times New Roman"/>
          <w:b/>
          <w:bCs/>
          <w:spacing w:val="-2"/>
          <w:sz w:val="21"/>
          <w:szCs w:val="21"/>
          <w:u w:val="single"/>
        </w:rPr>
        <w:t>序框图</w:t>
      </w:r>
    </w:p>
    <w:p w14:paraId="001ED247">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3、地下水污染治理措施</w:t>
      </w:r>
    </w:p>
    <w:p w14:paraId="3A751F6A">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地下水污染治理技术归纳起来主要有：物理处理法、水动力控制法、抽出处理法、原位处理法等。建议治理措施：</w:t>
      </w:r>
    </w:p>
    <w:p w14:paraId="22228146">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拟建项目厂址区建议采取如下污染治理措施。</w:t>
      </w:r>
    </w:p>
    <w:p w14:paraId="5F110D75">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①一旦发生地下水污染事故，应立即启动应急预案；</w:t>
      </w:r>
    </w:p>
    <w:p w14:paraId="66EC3E0F">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②查明并切断污染源；</w:t>
      </w:r>
    </w:p>
    <w:p w14:paraId="52A0E875">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③立即启动应急抽水井；</w:t>
      </w:r>
    </w:p>
    <w:p w14:paraId="47586E58">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④进一步探明地下水污染深度、范围和污染程度；</w:t>
      </w:r>
    </w:p>
    <w:p w14:paraId="09747FEA">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⑤依据探明的地下水污染情况和污染场地的岩性特征，结合已有应急井分布位置，合理布置新增抽水井的深度及间距；</w:t>
      </w:r>
    </w:p>
    <w:p w14:paraId="26100B06">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⑥抽取被污染的地下水体，并依据各井孔出水情况进行调整；</w:t>
      </w:r>
    </w:p>
    <w:p w14:paraId="2EC3BAB8">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⑦将抽取的地下水送工业废水系统处理，然后用于生产用水。</w:t>
      </w:r>
    </w:p>
    <w:p w14:paraId="4AED433E">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u w:val="single"/>
          <w:lang w:eastAsia="zh-CN"/>
        </w:rPr>
      </w:pPr>
      <w:r>
        <w:rPr>
          <w:rFonts w:hint="default" w:ascii="Times New Roman" w:hAnsi="Times New Roman" w:eastAsia="宋体" w:cs="Times New Roman"/>
          <w:spacing w:val="-2"/>
          <w:sz w:val="24"/>
          <w:szCs w:val="24"/>
          <w:u w:val="single"/>
          <w:lang w:eastAsia="zh-CN"/>
        </w:rPr>
        <w:t>当地下水中的特征污染物浓度满足地下水功能区划的标准后，逐步停止井点抽水，并进行土壤修复治理工作。</w:t>
      </w:r>
    </w:p>
    <w:p w14:paraId="7E1ECB0B">
      <w:pPr>
        <w:keepNext w:val="0"/>
        <w:keepLines w:val="0"/>
        <w:pageBreakBefore w:val="0"/>
        <w:widowControl/>
        <w:kinsoku/>
        <w:wordWrap/>
        <w:overflowPunct/>
        <w:topLinePunct w:val="0"/>
        <w:autoSpaceDE/>
        <w:autoSpaceDN/>
        <w:bidi w:val="0"/>
        <w:adjustRightInd/>
        <w:snapToGrid/>
        <w:spacing w:line="360" w:lineRule="auto"/>
        <w:ind w:firstLine="472" w:firstLineChars="200"/>
        <w:jc w:val="left"/>
        <w:textAlignment w:val="auto"/>
        <w:rPr>
          <w:rFonts w:hint="default" w:ascii="Times New Roman" w:hAnsi="Times New Roman" w:eastAsia="宋体" w:cs="Times New Roman"/>
          <w:spacing w:val="-2"/>
          <w:sz w:val="24"/>
          <w:szCs w:val="24"/>
          <w:lang w:eastAsia="zh-CN"/>
        </w:rPr>
        <w:sectPr>
          <w:pgSz w:w="11906" w:h="16838"/>
          <w:pgMar w:top="1440" w:right="1797" w:bottom="1440" w:left="1797" w:header="851" w:footer="992" w:gutter="0"/>
          <w:pgBorders>
            <w:top w:val="none" w:sz="0" w:space="0"/>
            <w:left w:val="none" w:sz="0" w:space="0"/>
            <w:bottom w:val="none" w:sz="0" w:space="0"/>
            <w:right w:val="none" w:sz="0" w:space="0"/>
          </w:pgBorders>
          <w:cols w:space="720" w:num="1"/>
          <w:docGrid w:type="linesAndChars" w:linePitch="326" w:charSpace="0"/>
        </w:sectPr>
      </w:pPr>
      <w:r>
        <w:rPr>
          <w:rFonts w:hint="default" w:ascii="Times New Roman" w:hAnsi="Times New Roman" w:eastAsia="宋体" w:cs="Times New Roman"/>
          <w:spacing w:val="-2"/>
          <w:sz w:val="24"/>
          <w:szCs w:val="24"/>
          <w:u w:val="single"/>
          <w:lang w:eastAsia="zh-CN"/>
        </w:rPr>
        <w:t>根据建设单位及</w:t>
      </w:r>
      <w:r>
        <w:rPr>
          <w:rFonts w:hint="default" w:ascii="Times New Roman" w:hAnsi="Times New Roman" w:eastAsia="宋体" w:cs="Times New Roman"/>
          <w:spacing w:val="-2"/>
          <w:sz w:val="24"/>
          <w:szCs w:val="24"/>
          <w:u w:val="single"/>
          <w:lang w:val="en-US" w:eastAsia="zh-CN"/>
        </w:rPr>
        <w:t>现有</w:t>
      </w:r>
      <w:r>
        <w:rPr>
          <w:rFonts w:hint="default" w:ascii="Times New Roman" w:hAnsi="Times New Roman" w:eastAsia="宋体" w:cs="Times New Roman"/>
          <w:spacing w:val="-2"/>
          <w:sz w:val="24"/>
          <w:szCs w:val="24"/>
          <w:u w:val="single"/>
          <w:lang w:eastAsia="zh-CN"/>
        </w:rPr>
        <w:t>工程施工过程的资料，</w:t>
      </w:r>
      <w:r>
        <w:rPr>
          <w:rFonts w:hint="default" w:ascii="Times New Roman" w:hAnsi="Times New Roman" w:eastAsia="宋体" w:cs="Times New Roman"/>
          <w:spacing w:val="-2"/>
          <w:sz w:val="24"/>
          <w:szCs w:val="24"/>
          <w:u w:val="single"/>
          <w:lang w:val="en-US" w:eastAsia="zh-CN"/>
        </w:rPr>
        <w:t>现有</w:t>
      </w:r>
      <w:r>
        <w:rPr>
          <w:rFonts w:hint="default" w:ascii="Times New Roman" w:hAnsi="Times New Roman" w:eastAsia="宋体" w:cs="Times New Roman"/>
          <w:spacing w:val="-2"/>
          <w:sz w:val="24"/>
          <w:szCs w:val="24"/>
          <w:u w:val="single"/>
          <w:lang w:eastAsia="zh-CN"/>
        </w:rPr>
        <w:t>工程厂区已经按照环评、《环境影响评价技术导则  地下水环境》（HJ 610-2016）等相关要求进行了防渗，因此，本项目地下水污染防治措施可行。</w:t>
      </w:r>
    </w:p>
    <w:p w14:paraId="3C46A9DC">
      <w:pPr>
        <w:pStyle w:val="3"/>
        <w:spacing w:before="0" w:after="0" w:line="360" w:lineRule="auto"/>
        <w:rPr>
          <w:rFonts w:hint="default" w:ascii="Times New Roman" w:hAnsi="Times New Roman" w:eastAsia="宋体" w:cs="Times New Roman"/>
        </w:rPr>
      </w:pPr>
      <w:bookmarkStart w:id="376" w:name="_Toc28771"/>
      <w:bookmarkStart w:id="377" w:name="_Toc119413810"/>
      <w:r>
        <w:rPr>
          <w:rFonts w:hint="default" w:ascii="Times New Roman" w:hAnsi="Times New Roman" w:eastAsia="宋体" w:cs="Times New Roman"/>
        </w:rPr>
        <w:t>8.6土壤污染防治措施</w:t>
      </w:r>
      <w:bookmarkEnd w:id="376"/>
      <w:bookmarkEnd w:id="377"/>
    </w:p>
    <w:p w14:paraId="53373AFC">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8.6.1源头控制</w:t>
      </w:r>
    </w:p>
    <w:p w14:paraId="0228401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开展废水回收利用工作，严格控制“三废”排放标准，消除生产设备和管道“跑、冒、滴、漏”现象发生。</w:t>
      </w:r>
    </w:p>
    <w:p w14:paraId="457FBC5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工程设计过程中，采用先进的技术、工艺、设备，实施清洁生产，防止跑冒滴漏，防止污染物泄漏；厂区道路硬化，注意工作场所地面、排水管道、电解液储槽、废水收集池的防腐防渗要求，腐蚀性等级为中等腐蚀，抗渗等级不得低于S6，防止污染物下渗，污染土壤环境。</w:t>
      </w:r>
    </w:p>
    <w:p w14:paraId="22C85FE0">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8.6.2分区防控</w:t>
      </w:r>
    </w:p>
    <w:p w14:paraId="3D2FEE01">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对厂区可能泄漏污染物的地面进行防渗处理，可有效防治污染物渗入地下土壤中，并及时地将泄漏、渗漏的污染物收集并进行集中处理。</w:t>
      </w:r>
    </w:p>
    <w:p w14:paraId="4D96D38A">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根据厂区各生产功能单元可能泄漏至地面区域的污染物性质和生产单元的构筑方式，参照地下水污染防治措施将厂区划分为重点污染防治区、一般污染防治区、简单污染防治区和非污染区，划分和要求可基本参照地下水污染防治区划分和管理要求。</w:t>
      </w:r>
    </w:p>
    <w:p w14:paraId="0B2194C2">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8.6.3过程防控措施</w:t>
      </w:r>
    </w:p>
    <w:p w14:paraId="726060B4">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①加强企业生产、操作、储存、处置等场所的管理，建立一套从企业领导到企业班组层层负责的管理体系。企业环境保护管理部门指派专人负责防止土壤污染的管理工作。</w:t>
      </w:r>
    </w:p>
    <w:p w14:paraId="0B5C69E1">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②重点污染防治区所在生产车间，每一操作班组对其负责的区域建立台账，记录当班的生产状况是否正常。对于机泵、阀门、法兰、管道连接交叉等有可能产生泄漏出处，设置巡视监控点，纳入日常生产管理程序中。环境保护管理部门对土壤的监测数据，按要求及时整理原始资料，开展监测报告的编写工作。</w:t>
      </w:r>
    </w:p>
    <w:p w14:paraId="18BC0BE2">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③技术部门应定期对污染防治区的生产装置、储槽、法兰、阀门、管道等进行检查；对操作腐蚀性介质的设备进行复核、检测，避免由于腐蚀而产生设备泄漏事故。</w:t>
      </w:r>
    </w:p>
    <w:p w14:paraId="32640330">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④根据实际情况，按事故的性质、类型、影响范围、严重后果分等级制订相</w:t>
      </w:r>
      <w:r>
        <w:rPr>
          <w:rFonts w:hint="eastAsia" w:ascii="Times New Roman" w:hAnsi="Times New Roman" w:cs="Times New Roman"/>
          <w:lang w:eastAsia="zh-CN"/>
        </w:rPr>
        <w:t>应急预案</w:t>
      </w:r>
      <w:r>
        <w:rPr>
          <w:rFonts w:hint="default" w:ascii="Times New Roman" w:hAnsi="Times New Roman" w:eastAsia="宋体" w:cs="Times New Roman"/>
        </w:rPr>
        <w:t>。在制定预案时，应根据本企业环境污染事故潜在威胁的情况，认真细致地考虑各项影响因素，适时组织有关部门、人员进行演练，不断补充完善。</w:t>
      </w:r>
    </w:p>
    <w:p w14:paraId="75F29FAC">
      <w:pPr>
        <w:pStyle w:val="54"/>
        <w:ind w:firstLine="480"/>
        <w:rPr>
          <w:rFonts w:hint="default" w:ascii="Times New Roman" w:hAnsi="Times New Roman" w:eastAsia="宋体" w:cs="Times New Roman"/>
        </w:rPr>
      </w:pPr>
      <w:r>
        <w:rPr>
          <w:rFonts w:hint="default" w:ascii="Times New Roman" w:hAnsi="Times New Roman" w:eastAsia="宋体" w:cs="Times New Roman"/>
        </w:rPr>
        <w:t>⑤占地范围内应采取绿化措施，在非生产车间和办公区域空地以种植具有较强吸附能力的植物为主的绿化植物；各车间按照分区控制的要求对地面进行处理，简单防护区和厂区其他生产区域设置地面硬化、厂界建设围墙，防止土壤环境的污染；事故应急池应设置在全场地势最低处，有利于减少发生废水泄漏时的地表漫流污染土壤环境；各重点和一般污染防治区按照规范要求对地面进行防渗处理，采取相应的防渗措施，减少污染物入渗到土壤中，防止土壤环境污染。</w:t>
      </w:r>
    </w:p>
    <w:p w14:paraId="427D90F0">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8.6.4风险事故应急响应</w:t>
      </w:r>
    </w:p>
    <w:p w14:paraId="5C30F042">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制定风险事故应急预案，以在发生风险事故时，能以最快的速度发挥最大的效能，有序地实施救援，尽快控制事态的发展，降低事故对土壤的污染。</w:t>
      </w:r>
    </w:p>
    <w:p w14:paraId="177995C2">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①在制定应急预案的基础上，对相关人员进行培训，使其掌握必要的应急处置机能。</w:t>
      </w:r>
    </w:p>
    <w:p w14:paraId="4480EF54">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②设置事故报警装置和快速监测设备。</w:t>
      </w:r>
    </w:p>
    <w:p w14:paraId="1335BFAC">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③设置渗滤液渗漏事故池等应急预留场所；必要时，设置危险废物泄漏处置设备。</w:t>
      </w:r>
    </w:p>
    <w:p w14:paraId="4A6122FB">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④组织专业队伍对事故现场进行调查、监测，查找环境发生地点，分析事故原因，将紧急事件局部化，如可能予以消除，采取包括切断生产装置或设施、设置围堤等拦堵设施、疏散等，防止事故的扩散、蔓延及连锁反应，缩小土壤污染事故对人、环境和财产的影响。</w:t>
      </w:r>
    </w:p>
    <w:p w14:paraId="40F6EAFE">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⑤当通过监测发现对周围土壤造成污染时，采取控制污染物阻隔、污染物消减和分区防控等措施，防止污染物扩散。</w:t>
      </w:r>
    </w:p>
    <w:p w14:paraId="3D9D542E">
      <w:pPr>
        <w:pStyle w:val="54"/>
        <w:ind w:firstLine="480"/>
        <w:rPr>
          <w:rFonts w:hint="default" w:ascii="Times New Roman" w:hAnsi="Times New Roman" w:eastAsia="宋体" w:cs="Times New Roman"/>
        </w:rPr>
      </w:pPr>
      <w:r>
        <w:rPr>
          <w:rFonts w:hint="default" w:ascii="Times New Roman" w:hAnsi="Times New Roman" w:eastAsia="宋体" w:cs="Times New Roman"/>
          <w:szCs w:val="24"/>
        </w:rPr>
        <w:t>⑥采用制度控制、工程控制、物理修复技术、化学修复技术等一种或多种土壤污染治理技术，减轻或消除土壤污染。</w:t>
      </w:r>
    </w:p>
    <w:p w14:paraId="7D6B3A50">
      <w:pPr>
        <w:pStyle w:val="4"/>
        <w:spacing w:before="0" w:after="0"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rPr>
        <w:t>8.6.5跟踪监测与管理</w:t>
      </w:r>
    </w:p>
    <w:p w14:paraId="5971796A">
      <w:pPr>
        <w:pStyle w:val="48"/>
        <w:spacing w:before="0" w:line="360" w:lineRule="auto"/>
        <w:rPr>
          <w:rFonts w:hint="default" w:ascii="Times New Roman" w:hAnsi="Times New Roman" w:eastAsia="宋体" w:cs="Times New Roman"/>
          <w:sz w:val="24"/>
        </w:rPr>
      </w:pPr>
      <w:r>
        <w:rPr>
          <w:rFonts w:hint="default" w:ascii="Times New Roman" w:hAnsi="Times New Roman" w:eastAsia="宋体" w:cs="Times New Roman"/>
          <w:sz w:val="24"/>
        </w:rPr>
        <w:t>为了掌握项目周边地下水环境质量状况和土壤质量状况及地下水体和土壤中污染物的动态变化情况，应对项目所在地及其周边地下水质和土壤质量进行定期监测，建立地下水环境长期监测网络。通过定期监测地下水位变化动态和地下水质状况，以便及时准确地反馈地下水水质和土壤质量状况，确保周边敏感点地下水环境安全，在发现地下水环境和土壤环境受到污染时能及时采取相应的防治措施控制区域地下水环境和土壤环境持续恶化。</w:t>
      </w:r>
    </w:p>
    <w:p w14:paraId="22E3FA7A">
      <w:pPr>
        <w:pStyle w:val="3"/>
        <w:spacing w:before="0" w:after="0" w:line="360" w:lineRule="auto"/>
        <w:rPr>
          <w:rFonts w:hint="default" w:ascii="Times New Roman" w:hAnsi="Times New Roman" w:eastAsia="宋体" w:cs="Times New Roman"/>
        </w:rPr>
      </w:pPr>
      <w:bookmarkStart w:id="378" w:name="_Toc20841"/>
      <w:r>
        <w:rPr>
          <w:rFonts w:hint="default" w:ascii="Times New Roman" w:hAnsi="Times New Roman" w:eastAsia="宋体" w:cs="Times New Roman"/>
        </w:rPr>
        <w:t>8.7“以新带老”污染防治措施</w:t>
      </w:r>
      <w:bookmarkEnd w:id="378"/>
    </w:p>
    <w:p w14:paraId="01677A43">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项目拟将现有的</w:t>
      </w:r>
      <w:r>
        <w:rPr>
          <w:rFonts w:hint="default" w:ascii="Times New Roman" w:hAnsi="Times New Roman" w:eastAsia="宋体" w:cs="Times New Roman"/>
          <w:color w:val="000000"/>
          <w:sz w:val="24"/>
          <w:szCs w:val="24"/>
        </w:rPr>
        <w:t>“年收集贮存9800吨危险废物项目”整体搬迁新厂址，并将收集贮存能力提升至</w:t>
      </w:r>
      <w:r>
        <w:rPr>
          <w:rFonts w:hint="default" w:ascii="Times New Roman" w:hAnsi="Times New Roman" w:eastAsia="宋体" w:cs="Times New Roman"/>
          <w:color w:val="000000"/>
          <w:sz w:val="24"/>
          <w:szCs w:val="24"/>
          <w:lang w:eastAsia="zh-CN"/>
        </w:rPr>
        <w:t>14400</w:t>
      </w:r>
      <w:r>
        <w:rPr>
          <w:rFonts w:hint="default" w:ascii="Times New Roman" w:hAnsi="Times New Roman" w:eastAsia="宋体" w:cs="Times New Roman"/>
          <w:color w:val="000000"/>
          <w:sz w:val="24"/>
          <w:szCs w:val="24"/>
        </w:rPr>
        <w:t>t/a，，同时</w:t>
      </w:r>
      <w:r>
        <w:rPr>
          <w:rFonts w:hint="default" w:ascii="Times New Roman" w:hAnsi="Times New Roman" w:eastAsia="宋体" w:cs="Times New Roman"/>
          <w:sz w:val="24"/>
          <w:szCs w:val="24"/>
        </w:rPr>
        <w:t>拟新建废包装桶整形清洗翻新生产线1条、废金属包装容器破碎清洗生产线1条、废塑料包装物破碎清洗生产线1条。项目的异地扩建完成后，现有工程不再保留。</w:t>
      </w:r>
    </w:p>
    <w:p w14:paraId="2F3A6485">
      <w:pPr>
        <w:pStyle w:val="48"/>
        <w:spacing w:before="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危废暂存库废气处理设施利用“UV光解+活性炭吸附装置”处理后经15m排气筒排放，危废暂存库均同样按照相关要求进行地面防渗并配套与现有工程相同的应急池。</w:t>
      </w:r>
      <w:r>
        <w:rPr>
          <w:rFonts w:hint="default" w:ascii="Times New Roman" w:hAnsi="Times New Roman" w:eastAsia="宋体" w:cs="Times New Roman"/>
          <w:sz w:val="24"/>
          <w:szCs w:val="24"/>
        </w:rPr>
        <w:t>搬迁后的危废暂存库将进一步完善建设和管理，继续按照相关要求落实“四专”管理（专门危废暂存库，专门识别标志，建立专业档案，实行专人负责）、制度上墙、信息联网。</w:t>
      </w:r>
    </w:p>
    <w:p w14:paraId="2498C5C7">
      <w:pPr>
        <w:pStyle w:val="48"/>
        <w:spacing w:before="0" w:line="360" w:lineRule="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 xml:space="preserve">本次新建（扩建部分）的3条危险废物再生利用生产线均布设在单独的危废再生利用车间，其配套的废气处理设施、废水处理设施均单独使用。  </w:t>
      </w:r>
    </w:p>
    <w:p w14:paraId="6CADD6CE">
      <w:pPr>
        <w:pStyle w:val="48"/>
        <w:spacing w:before="0" w:line="360" w:lineRule="auto"/>
        <w:rPr>
          <w:rFonts w:hint="default" w:ascii="Times New Roman" w:hAnsi="Times New Roman" w:eastAsia="宋体" w:cs="Times New Roman"/>
          <w:sz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default" w:ascii="Times New Roman" w:hAnsi="Times New Roman" w:eastAsia="宋体" w:cs="Times New Roman"/>
          <w:color w:val="000000"/>
          <w:sz w:val="24"/>
          <w:szCs w:val="24"/>
        </w:rPr>
        <w:t>综上，本次扩建项目不存在“以新带老”的污染防治措施。</w:t>
      </w:r>
    </w:p>
    <w:p w14:paraId="16515048">
      <w:pPr>
        <w:pStyle w:val="2"/>
        <w:spacing w:before="0" w:after="0" w:line="360" w:lineRule="auto"/>
        <w:rPr>
          <w:rFonts w:hint="default" w:ascii="Times New Roman" w:hAnsi="Times New Roman" w:eastAsia="宋体" w:cs="Times New Roman"/>
        </w:rPr>
      </w:pPr>
      <w:bookmarkStart w:id="379" w:name="_Toc28807"/>
      <w:bookmarkStart w:id="380" w:name="_Toc106961913"/>
      <w:bookmarkStart w:id="381" w:name="_Toc119413812"/>
      <w:r>
        <w:rPr>
          <w:rFonts w:hint="default" w:ascii="Times New Roman" w:hAnsi="Times New Roman" w:eastAsia="宋体" w:cs="Times New Roman"/>
        </w:rPr>
        <w:t>9环境风险评价</w:t>
      </w:r>
      <w:bookmarkEnd w:id="379"/>
      <w:bookmarkEnd w:id="380"/>
      <w:bookmarkEnd w:id="381"/>
    </w:p>
    <w:p w14:paraId="0D3F779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评价根据《建设项目环境风险评价技术导则》（HJ169--2018）及《关于防范环境风险加强环境影响评价管理的通知》（环发[2005]152号）的要求，从环境保护方面分析项目主要危险性物质、生产设施、环保设施发生事故性风险对周围环境质量的影响情况，并据此提出相对可操作性的环境风险防范措施。</w:t>
      </w:r>
    </w:p>
    <w:p w14:paraId="14CDBC8D">
      <w:pPr>
        <w:pStyle w:val="3"/>
        <w:spacing w:before="0" w:after="0" w:line="360" w:lineRule="auto"/>
        <w:rPr>
          <w:rFonts w:hint="default" w:ascii="Times New Roman" w:hAnsi="Times New Roman" w:eastAsia="宋体" w:cs="Times New Roman"/>
        </w:rPr>
      </w:pPr>
      <w:bookmarkStart w:id="382" w:name="_Toc87017016"/>
      <w:bookmarkStart w:id="383" w:name="_Toc1120412"/>
      <w:bookmarkStart w:id="384" w:name="_Toc106961914"/>
      <w:bookmarkStart w:id="385" w:name="_Toc33007201"/>
      <w:bookmarkStart w:id="386" w:name="_Toc119413813"/>
      <w:bookmarkStart w:id="387" w:name="_Toc16647"/>
      <w:r>
        <w:rPr>
          <w:rFonts w:hint="default" w:ascii="Times New Roman" w:hAnsi="Times New Roman" w:eastAsia="宋体" w:cs="Times New Roman"/>
        </w:rPr>
        <w:t>9.1</w:t>
      </w:r>
      <w:bookmarkEnd w:id="382"/>
      <w:bookmarkEnd w:id="383"/>
      <w:bookmarkEnd w:id="384"/>
      <w:bookmarkEnd w:id="385"/>
      <w:bookmarkEnd w:id="386"/>
      <w:r>
        <w:rPr>
          <w:rFonts w:hint="default" w:ascii="Times New Roman" w:hAnsi="Times New Roman" w:eastAsia="宋体" w:cs="Times New Roman"/>
        </w:rPr>
        <w:t>总则</w:t>
      </w:r>
      <w:bookmarkEnd w:id="387"/>
    </w:p>
    <w:p w14:paraId="3D29D8F6">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9.1.1一般性原则</w:t>
      </w:r>
    </w:p>
    <w:p w14:paraId="14644C0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p>
    <w:p w14:paraId="5B348E9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1、评价工作程序</w:t>
      </w:r>
    </w:p>
    <w:p w14:paraId="3F1EED2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本次评价根据《建设项目环境风险评价导则》（HJ169-2018）对项目进行环境风险评价。评价工作程序见下图。</w:t>
      </w:r>
    </w:p>
    <w:p w14:paraId="41C13700">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rPr>
        <w:drawing>
          <wp:inline distT="0" distB="0" distL="0" distR="0">
            <wp:extent cx="3886200" cy="4333240"/>
            <wp:effectExtent l="0" t="0" r="0" b="0"/>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5.png"/>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898220" cy="4346815"/>
                    </a:xfrm>
                    <a:prstGeom prst="rect">
                      <a:avLst/>
                    </a:prstGeom>
                  </pic:spPr>
                </pic:pic>
              </a:graphicData>
            </a:graphic>
          </wp:inline>
        </w:drawing>
      </w:r>
    </w:p>
    <w:p w14:paraId="50EEF9FF">
      <w:pPr>
        <w:spacing w:line="360" w:lineRule="auto"/>
        <w:jc w:val="center"/>
        <w:rPr>
          <w:rFonts w:hint="default" w:ascii="Times New Roman" w:hAnsi="Times New Roman" w:eastAsia="宋体" w:cs="Times New Roman"/>
          <w:b/>
          <w:bCs/>
          <w:szCs w:val="21"/>
        </w:rPr>
      </w:pPr>
      <w:r>
        <w:rPr>
          <w:rFonts w:hint="default" w:ascii="Times New Roman" w:hAnsi="Times New Roman" w:eastAsia="宋体" w:cs="Times New Roman"/>
          <w:b/>
          <w:bCs/>
          <w:szCs w:val="21"/>
        </w:rPr>
        <w:t>图9.1-1 评价工作程序</w:t>
      </w:r>
    </w:p>
    <w:p w14:paraId="5B40550E">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2、评价工作等级划分</w:t>
      </w:r>
    </w:p>
    <w:p w14:paraId="352B2399">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根据拟建项目涉及的物质及工艺系统危险性和所在地的环境敏感性确定环境风险潜势，按照下表确定评价工作等级。经本章节相关判定内容可得，拟建项目环境风险潜势综合评价等级为Ⅱ，因此环境风险评价综合评价等级为三级。各要素环境风险评价等级结果为：大气环境风险评价等级为三级；地表水环境风险评价等级为三级；地下水环境风险评价等级为三级。</w:t>
      </w:r>
    </w:p>
    <w:p w14:paraId="5763027C">
      <w:pPr>
        <w:pStyle w:val="12"/>
        <w:spacing w:line="36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表9.1-1  评价工作等级划分</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560"/>
        <w:gridCol w:w="1472"/>
        <w:gridCol w:w="1694"/>
        <w:gridCol w:w="1694"/>
        <w:gridCol w:w="1916"/>
      </w:tblGrid>
      <w:tr w14:paraId="3D6CFAC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936" w:type="pct"/>
            <w:tcBorders>
              <w:bottom w:val="single" w:color="000000" w:sz="4" w:space="0"/>
              <w:right w:val="single" w:color="000000" w:sz="4" w:space="0"/>
            </w:tcBorders>
          </w:tcPr>
          <w:p w14:paraId="4BCAFE6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环境风险潜势</w:t>
            </w:r>
          </w:p>
        </w:tc>
        <w:tc>
          <w:tcPr>
            <w:tcW w:w="883" w:type="pct"/>
            <w:tcBorders>
              <w:left w:val="single" w:color="000000" w:sz="4" w:space="0"/>
              <w:bottom w:val="single" w:color="000000" w:sz="4" w:space="0"/>
              <w:right w:val="single" w:color="000000" w:sz="4" w:space="0"/>
            </w:tcBorders>
          </w:tcPr>
          <w:p w14:paraId="4FE99D7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Ⅳ、Ⅳ+</w:t>
            </w:r>
          </w:p>
        </w:tc>
        <w:tc>
          <w:tcPr>
            <w:tcW w:w="1016" w:type="pct"/>
            <w:tcBorders>
              <w:left w:val="single" w:color="000000" w:sz="4" w:space="0"/>
              <w:bottom w:val="single" w:color="000000" w:sz="4" w:space="0"/>
              <w:right w:val="single" w:color="000000" w:sz="4" w:space="0"/>
            </w:tcBorders>
          </w:tcPr>
          <w:p w14:paraId="38F54B7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Ⅲ</w:t>
            </w:r>
          </w:p>
        </w:tc>
        <w:tc>
          <w:tcPr>
            <w:tcW w:w="1016" w:type="pct"/>
            <w:tcBorders>
              <w:left w:val="single" w:color="000000" w:sz="4" w:space="0"/>
              <w:bottom w:val="single" w:color="000000" w:sz="4" w:space="0"/>
              <w:right w:val="single" w:color="000000" w:sz="4" w:space="0"/>
            </w:tcBorders>
          </w:tcPr>
          <w:p w14:paraId="190CB83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c>
          <w:tcPr>
            <w:tcW w:w="1148" w:type="pct"/>
            <w:tcBorders>
              <w:left w:val="single" w:color="000000" w:sz="4" w:space="0"/>
              <w:bottom w:val="single" w:color="000000" w:sz="4" w:space="0"/>
            </w:tcBorders>
          </w:tcPr>
          <w:p w14:paraId="3BC2CCC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Ⅰ</w:t>
            </w:r>
          </w:p>
        </w:tc>
      </w:tr>
      <w:tr w14:paraId="1992A2E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936" w:type="pct"/>
            <w:tcBorders>
              <w:top w:val="single" w:color="000000" w:sz="4" w:space="0"/>
              <w:bottom w:val="single" w:color="000000" w:sz="4" w:space="0"/>
              <w:right w:val="single" w:color="000000" w:sz="4" w:space="0"/>
            </w:tcBorders>
          </w:tcPr>
          <w:p w14:paraId="4ACCE4A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评价工作等级</w:t>
            </w:r>
          </w:p>
        </w:tc>
        <w:tc>
          <w:tcPr>
            <w:tcW w:w="883" w:type="pct"/>
            <w:tcBorders>
              <w:top w:val="single" w:color="000000" w:sz="4" w:space="0"/>
              <w:left w:val="single" w:color="000000" w:sz="4" w:space="0"/>
              <w:bottom w:val="single" w:color="000000" w:sz="4" w:space="0"/>
              <w:right w:val="single" w:color="000000" w:sz="4" w:space="0"/>
            </w:tcBorders>
          </w:tcPr>
          <w:p w14:paraId="0829911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一</w:t>
            </w:r>
          </w:p>
        </w:tc>
        <w:tc>
          <w:tcPr>
            <w:tcW w:w="1016" w:type="pct"/>
            <w:tcBorders>
              <w:top w:val="single" w:color="000000" w:sz="4" w:space="0"/>
              <w:left w:val="single" w:color="000000" w:sz="4" w:space="0"/>
              <w:bottom w:val="single" w:color="000000" w:sz="4" w:space="0"/>
              <w:right w:val="single" w:color="000000" w:sz="4" w:space="0"/>
            </w:tcBorders>
          </w:tcPr>
          <w:p w14:paraId="271A910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二</w:t>
            </w:r>
          </w:p>
        </w:tc>
        <w:tc>
          <w:tcPr>
            <w:tcW w:w="1016" w:type="pct"/>
            <w:tcBorders>
              <w:top w:val="single" w:color="000000" w:sz="4" w:space="0"/>
              <w:left w:val="single" w:color="000000" w:sz="4" w:space="0"/>
              <w:bottom w:val="single" w:color="000000" w:sz="4" w:space="0"/>
              <w:right w:val="single" w:color="000000" w:sz="4" w:space="0"/>
            </w:tcBorders>
          </w:tcPr>
          <w:p w14:paraId="6DE7E72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三</w:t>
            </w:r>
          </w:p>
        </w:tc>
        <w:tc>
          <w:tcPr>
            <w:tcW w:w="1148" w:type="pct"/>
            <w:tcBorders>
              <w:top w:val="single" w:color="000000" w:sz="4" w:space="0"/>
              <w:left w:val="single" w:color="000000" w:sz="4" w:space="0"/>
              <w:bottom w:val="single" w:color="000000" w:sz="4" w:space="0"/>
            </w:tcBorders>
          </w:tcPr>
          <w:p w14:paraId="7218B4E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简单分析</w:t>
            </w:r>
            <w:r>
              <w:rPr>
                <w:rFonts w:hint="default" w:ascii="Times New Roman" w:hAnsi="Times New Roman" w:eastAsia="宋体" w:cs="Times New Roman"/>
                <w:sz w:val="21"/>
                <w:vertAlign w:val="superscript"/>
                <w:lang w:eastAsia="en-US"/>
              </w:rPr>
              <w:t>a</w:t>
            </w:r>
          </w:p>
        </w:tc>
      </w:tr>
      <w:tr w14:paraId="683763A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5000" w:type="pct"/>
            <w:gridSpan w:val="5"/>
            <w:tcBorders>
              <w:top w:val="single" w:color="000000" w:sz="4" w:space="0"/>
            </w:tcBorders>
          </w:tcPr>
          <w:p w14:paraId="793D4878">
            <w:pPr>
              <w:pStyle w:val="60"/>
              <w:jc w:val="left"/>
              <w:rPr>
                <w:rFonts w:hint="default" w:ascii="Times New Roman" w:hAnsi="Times New Roman" w:eastAsia="宋体" w:cs="Times New Roman"/>
                <w:b/>
                <w:sz w:val="21"/>
                <w:lang w:eastAsia="zh-CN"/>
              </w:rPr>
            </w:pPr>
            <w:r>
              <w:rPr>
                <w:rFonts w:hint="default" w:ascii="Times New Roman" w:hAnsi="Times New Roman" w:eastAsia="宋体" w:cs="Times New Roman"/>
                <w:b/>
                <w:sz w:val="21"/>
                <w:lang w:eastAsia="zh-CN"/>
              </w:rPr>
              <w:t>a是相对于详细评价工作内容而言，在描述危险物质、环境影响途径、环境危害后果、风险防范措施等方面给出定性的说明。见附录A。</w:t>
            </w:r>
          </w:p>
        </w:tc>
      </w:tr>
    </w:tbl>
    <w:p w14:paraId="14A574EC">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9.1.2评价工作内容</w:t>
      </w:r>
    </w:p>
    <w:p w14:paraId="6123811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拟建项目环境风险评价工作内容主要包括以下几个方面：</w:t>
      </w:r>
    </w:p>
    <w:p w14:paraId="0B38E772">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（1）环境风险评价基本内容包括风险调查、环境风险潜势初判、风险识别、风险事故情形分析、风险预测与评价、环境风险管理等。</w:t>
      </w:r>
    </w:p>
    <w:p w14:paraId="4A9F2A5B">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（2）基于风险调查，分析建设项目物质及工艺系统危险性和环境敏感性，进行风险潜势的判断，确定风险评价等级。</w:t>
      </w:r>
    </w:p>
    <w:p w14:paraId="56AE6CE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（3）风险识别及风险事故情形分析应明确危险物质在生产系统中的主要分布， 筛选具有代表性的风险事故情形，合理设定事故源项。</w:t>
      </w:r>
    </w:p>
    <w:p w14:paraId="1E798D01">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（4）各环境要素（大气、地表水、地下水）按确定的评价工作等级分别开展预测评价，分析说明环境风险危害范围与程度，提出环境风险防范的基本要求。</w:t>
      </w:r>
    </w:p>
    <w:p w14:paraId="6B6B442C">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（5）提出环境风险管理对策，明确环境风险防范措施及突发环境事件应急预案编制要求。</w:t>
      </w:r>
    </w:p>
    <w:p w14:paraId="5782EA56">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（6）综合环境风险评价过程，给出评价结论与建议</w:t>
      </w:r>
    </w:p>
    <w:p w14:paraId="36E70020">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9.1.3评价范围</w:t>
      </w:r>
    </w:p>
    <w:p w14:paraId="0EB44668">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1、大气环境风险评价范围</w:t>
      </w:r>
    </w:p>
    <w:p w14:paraId="2AE99F50">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拟建项目大气环境风险评价等级为三级，设置大气环境风险评价范围为距离拟建项目边界5km的范围内。</w:t>
      </w:r>
    </w:p>
    <w:p w14:paraId="1D9DB02F">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2、地表水环境风险评价范围</w:t>
      </w:r>
    </w:p>
    <w:p w14:paraId="3706E3AB">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拟建项目地表水环境风险评价范围为，工业园污水处理厂在湘江的总排口上游500m至下游3km共计3.5km江段。由于项目废水排放为间接排放，因此主要针对事故情况下消防废水通过雨水管网排放进行预测和评价。</w:t>
      </w:r>
    </w:p>
    <w:p w14:paraId="4C3CAF69">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3、地下水环境风险评价范围</w:t>
      </w:r>
    </w:p>
    <w:p w14:paraId="6978AFD9">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拟建项目地下水环境风险评价范围与地下水环境评价范围一致，即</w:t>
      </w:r>
      <w:r>
        <w:rPr>
          <w:rFonts w:hint="default" w:ascii="Times New Roman" w:hAnsi="Times New Roman" w:eastAsia="宋体" w:cs="Times New Roman"/>
          <w:sz w:val="24"/>
          <w:szCs w:val="24"/>
          <w:lang w:val="zh-TW"/>
        </w:rPr>
        <w:t>项目区域地下水流向下游迁移的1425m（取L），两侧迁移的1425m（取L），上游的1425m（取L），合围面积约8.12km</w:t>
      </w:r>
      <w:r>
        <w:rPr>
          <w:rFonts w:hint="default" w:ascii="Times New Roman" w:hAnsi="Times New Roman" w:eastAsia="宋体" w:cs="Times New Roman"/>
          <w:sz w:val="24"/>
          <w:szCs w:val="24"/>
          <w:vertAlign w:val="superscript"/>
          <w:lang w:val="zh-TW"/>
        </w:rPr>
        <w:t>2</w:t>
      </w:r>
      <w:r>
        <w:rPr>
          <w:rFonts w:hint="default" w:ascii="Times New Roman" w:hAnsi="Times New Roman" w:eastAsia="宋体" w:cs="Times New Roman"/>
          <w:sz w:val="24"/>
          <w:szCs w:val="24"/>
        </w:rPr>
        <w:t>。</w:t>
      </w:r>
    </w:p>
    <w:p w14:paraId="74D7C306">
      <w:pPr>
        <w:pStyle w:val="3"/>
        <w:spacing w:before="0" w:after="0" w:line="360" w:lineRule="auto"/>
        <w:rPr>
          <w:rFonts w:hint="default" w:ascii="Times New Roman" w:hAnsi="Times New Roman" w:eastAsia="宋体" w:cs="Times New Roman"/>
        </w:rPr>
      </w:pPr>
      <w:bookmarkStart w:id="388" w:name="_Toc10414"/>
      <w:r>
        <w:rPr>
          <w:rFonts w:hint="default" w:ascii="Times New Roman" w:hAnsi="Times New Roman" w:eastAsia="宋体" w:cs="Times New Roman"/>
        </w:rPr>
        <w:t>9.2风险调查</w:t>
      </w:r>
      <w:bookmarkEnd w:id="388"/>
    </w:p>
    <w:p w14:paraId="59050A67">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9.2.1建设项目风险源调查</w:t>
      </w:r>
    </w:p>
    <w:p w14:paraId="50EF79BF">
      <w:pPr>
        <w:spacing w:line="360" w:lineRule="auto"/>
        <w:ind w:firstLine="480" w:firstLineChars="200"/>
        <w:rPr>
          <w:rFonts w:hint="default" w:ascii="Times New Roman" w:hAnsi="Times New Roman" w:eastAsia="宋体" w:cs="Times New Roman"/>
          <w:sz w:val="24"/>
          <w:szCs w:val="28"/>
        </w:rPr>
      </w:pPr>
      <w:r>
        <w:rPr>
          <w:rFonts w:hint="default" w:ascii="Times New Roman" w:hAnsi="Times New Roman" w:eastAsia="宋体" w:cs="Times New Roman"/>
          <w:sz w:val="24"/>
          <w:szCs w:val="28"/>
        </w:rPr>
        <w:t>本次风险源调查主要调查拟建项目危险物质数量和分布情况、生产工艺特点， 收集基础资料，主要调查结果详见风险识别章节内容。</w:t>
      </w:r>
    </w:p>
    <w:p w14:paraId="020CA73F">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9.2.2环境敏感目标调查</w:t>
      </w:r>
    </w:p>
    <w:p w14:paraId="165F58B3">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建设项目环境风险评价技术导则》（HJ169-2018）附录D表D.1，结合现场踏勘，本项目周边5km范围内居住区、医疗卫生、文化教育、科研、行政办公等机构人口总数大于1万人、小于5万人；根据项目周边环境敏感保护目标统计表，项目周边500m范围内主要为工厂，人口总数小于1000人。区域主要纳污水体为湘江，该河流纳污河段为地表水Ⅲ类水体。</w:t>
      </w:r>
    </w:p>
    <w:p w14:paraId="4FF6898E">
      <w:pPr>
        <w:pStyle w:val="3"/>
        <w:spacing w:before="0" w:after="0" w:line="360" w:lineRule="auto"/>
        <w:rPr>
          <w:rFonts w:hint="default" w:ascii="Times New Roman" w:hAnsi="Times New Roman" w:eastAsia="宋体" w:cs="Times New Roman"/>
        </w:rPr>
      </w:pPr>
      <w:bookmarkStart w:id="389" w:name="_Toc32311"/>
      <w:r>
        <w:rPr>
          <w:rFonts w:hint="default" w:ascii="Times New Roman" w:hAnsi="Times New Roman" w:eastAsia="宋体" w:cs="Times New Roman"/>
        </w:rPr>
        <w:t>9.3环境风险潜势初判</w:t>
      </w:r>
      <w:bookmarkEnd w:id="389"/>
    </w:p>
    <w:p w14:paraId="798DAED9">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9.3.1环境风险潜势划分</w:t>
      </w:r>
    </w:p>
    <w:p w14:paraId="766C6A3A">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建设项目环境风险潜势划分为Ⅰ、Ⅱ、Ⅲ、Ⅳ/Ⅳ+级。</w:t>
      </w:r>
    </w:p>
    <w:p w14:paraId="2A9BE165">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根据建设项目涉及的物质和工艺系统的危险性及其所在地的环境敏感程度，结合事故情形下环境影响途径，对建设项目潜在环境危害程度进行概化分析，按照下表确定环境风险潜势。</w:t>
      </w:r>
    </w:p>
    <w:p w14:paraId="2D965715">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表9.3-1  建设项目环境风险潜势划分</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202"/>
        <w:gridCol w:w="1530"/>
        <w:gridCol w:w="1530"/>
        <w:gridCol w:w="1531"/>
        <w:gridCol w:w="1543"/>
      </w:tblGrid>
      <w:tr w14:paraId="0906DB7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321" w:type="pct"/>
            <w:vMerge w:val="restart"/>
            <w:tcBorders>
              <w:bottom w:val="single" w:color="000000" w:sz="4" w:space="0"/>
              <w:right w:val="single" w:color="000000" w:sz="4" w:space="0"/>
            </w:tcBorders>
            <w:vAlign w:val="center"/>
          </w:tcPr>
          <w:p w14:paraId="3EDFEAA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环境敏感程度（E）</w:t>
            </w:r>
          </w:p>
        </w:tc>
        <w:tc>
          <w:tcPr>
            <w:tcW w:w="3679" w:type="pct"/>
            <w:gridSpan w:val="4"/>
            <w:tcBorders>
              <w:left w:val="single" w:color="000000" w:sz="4" w:space="0"/>
              <w:bottom w:val="single" w:color="000000" w:sz="4" w:space="0"/>
            </w:tcBorders>
            <w:vAlign w:val="center"/>
          </w:tcPr>
          <w:p w14:paraId="5F14B014">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危险物质及工艺系统危险性（P）</w:t>
            </w:r>
          </w:p>
        </w:tc>
      </w:tr>
      <w:tr w14:paraId="4372C4D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1321" w:type="pct"/>
            <w:vMerge w:val="continue"/>
            <w:tcBorders>
              <w:top w:val="nil"/>
              <w:bottom w:val="single" w:color="000000" w:sz="4" w:space="0"/>
              <w:right w:val="single" w:color="000000" w:sz="4" w:space="0"/>
            </w:tcBorders>
            <w:vAlign w:val="center"/>
          </w:tcPr>
          <w:p w14:paraId="40CA97AB">
            <w:pPr>
              <w:autoSpaceDE w:val="0"/>
              <w:autoSpaceDN w:val="0"/>
              <w:jc w:val="center"/>
              <w:rPr>
                <w:rFonts w:hint="default" w:ascii="Times New Roman" w:hAnsi="Times New Roman" w:eastAsia="宋体" w:cs="Times New Roman"/>
                <w:kern w:val="0"/>
                <w:sz w:val="2"/>
                <w:szCs w:val="2"/>
                <w:lang w:eastAsia="zh-CN"/>
              </w:rPr>
            </w:pPr>
          </w:p>
        </w:tc>
        <w:tc>
          <w:tcPr>
            <w:tcW w:w="918" w:type="pct"/>
            <w:tcBorders>
              <w:top w:val="single" w:color="000000" w:sz="4" w:space="0"/>
              <w:left w:val="single" w:color="000000" w:sz="4" w:space="0"/>
              <w:bottom w:val="single" w:color="000000" w:sz="4" w:space="0"/>
              <w:right w:val="single" w:color="000000" w:sz="4" w:space="0"/>
            </w:tcBorders>
            <w:vAlign w:val="center"/>
          </w:tcPr>
          <w:p w14:paraId="58FDCBB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极高危害（P1）</w:t>
            </w:r>
          </w:p>
        </w:tc>
        <w:tc>
          <w:tcPr>
            <w:tcW w:w="918" w:type="pct"/>
            <w:tcBorders>
              <w:top w:val="single" w:color="000000" w:sz="4" w:space="0"/>
              <w:left w:val="single" w:color="000000" w:sz="4" w:space="0"/>
              <w:bottom w:val="single" w:color="000000" w:sz="4" w:space="0"/>
              <w:right w:val="single" w:color="000000" w:sz="4" w:space="0"/>
            </w:tcBorders>
            <w:vAlign w:val="center"/>
          </w:tcPr>
          <w:p w14:paraId="2520C3C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高度危害（P2）</w:t>
            </w:r>
          </w:p>
        </w:tc>
        <w:tc>
          <w:tcPr>
            <w:tcW w:w="918" w:type="pct"/>
            <w:tcBorders>
              <w:top w:val="single" w:color="000000" w:sz="4" w:space="0"/>
              <w:left w:val="single" w:color="000000" w:sz="4" w:space="0"/>
              <w:bottom w:val="single" w:color="000000" w:sz="4" w:space="0"/>
              <w:right w:val="single" w:color="000000" w:sz="4" w:space="0"/>
            </w:tcBorders>
            <w:vAlign w:val="center"/>
          </w:tcPr>
          <w:p w14:paraId="4726322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中度危害（P3）</w:t>
            </w:r>
          </w:p>
        </w:tc>
        <w:tc>
          <w:tcPr>
            <w:tcW w:w="924" w:type="pct"/>
            <w:tcBorders>
              <w:top w:val="single" w:color="000000" w:sz="4" w:space="0"/>
              <w:left w:val="single" w:color="000000" w:sz="4" w:space="0"/>
              <w:bottom w:val="single" w:color="000000" w:sz="4" w:space="0"/>
            </w:tcBorders>
            <w:vAlign w:val="center"/>
          </w:tcPr>
          <w:p w14:paraId="499CF87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轻度危害（P4）</w:t>
            </w:r>
          </w:p>
        </w:tc>
      </w:tr>
      <w:tr w14:paraId="62998B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1321" w:type="pct"/>
            <w:tcBorders>
              <w:top w:val="single" w:color="000000" w:sz="4" w:space="0"/>
              <w:bottom w:val="single" w:color="000000" w:sz="4" w:space="0"/>
              <w:right w:val="single" w:color="000000" w:sz="4" w:space="0"/>
            </w:tcBorders>
            <w:vAlign w:val="center"/>
          </w:tcPr>
          <w:p w14:paraId="5C06D388">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环境高度敏感区（E1）</w:t>
            </w:r>
          </w:p>
        </w:tc>
        <w:tc>
          <w:tcPr>
            <w:tcW w:w="918" w:type="pct"/>
            <w:tcBorders>
              <w:top w:val="single" w:color="000000" w:sz="4" w:space="0"/>
              <w:left w:val="single" w:color="000000" w:sz="4" w:space="0"/>
              <w:bottom w:val="single" w:color="000000" w:sz="4" w:space="0"/>
              <w:right w:val="single" w:color="000000" w:sz="4" w:space="0"/>
            </w:tcBorders>
            <w:vAlign w:val="center"/>
          </w:tcPr>
          <w:p w14:paraId="6F3BD414">
            <w:pPr>
              <w:pStyle w:val="60"/>
              <w:rPr>
                <w:rFonts w:hint="default" w:ascii="Times New Roman" w:hAnsi="Times New Roman" w:eastAsia="宋体" w:cs="Times New Roman"/>
                <w:sz w:val="14"/>
                <w:lang w:eastAsia="en-US"/>
              </w:rPr>
            </w:pPr>
            <w:r>
              <w:rPr>
                <w:rFonts w:hint="default" w:ascii="Times New Roman" w:hAnsi="Times New Roman" w:eastAsia="宋体" w:cs="Times New Roman"/>
                <w:sz w:val="21"/>
                <w:lang w:eastAsia="en-US"/>
              </w:rPr>
              <w:t>Ⅳ</w:t>
            </w:r>
            <w:r>
              <w:rPr>
                <w:rFonts w:hint="default" w:ascii="Times New Roman" w:hAnsi="Times New Roman" w:eastAsia="宋体" w:cs="Times New Roman"/>
                <w:sz w:val="14"/>
                <w:lang w:eastAsia="en-US"/>
              </w:rPr>
              <w:t>+</w:t>
            </w:r>
          </w:p>
        </w:tc>
        <w:tc>
          <w:tcPr>
            <w:tcW w:w="918" w:type="pct"/>
            <w:tcBorders>
              <w:top w:val="single" w:color="000000" w:sz="4" w:space="0"/>
              <w:left w:val="single" w:color="000000" w:sz="4" w:space="0"/>
              <w:bottom w:val="single" w:color="000000" w:sz="4" w:space="0"/>
              <w:right w:val="single" w:color="000000" w:sz="4" w:space="0"/>
            </w:tcBorders>
            <w:vAlign w:val="center"/>
          </w:tcPr>
          <w:p w14:paraId="324B03D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Ⅳ</w:t>
            </w:r>
          </w:p>
        </w:tc>
        <w:tc>
          <w:tcPr>
            <w:tcW w:w="918" w:type="pct"/>
            <w:tcBorders>
              <w:top w:val="single" w:color="000000" w:sz="4" w:space="0"/>
              <w:left w:val="single" w:color="000000" w:sz="4" w:space="0"/>
              <w:bottom w:val="single" w:color="000000" w:sz="4" w:space="0"/>
              <w:right w:val="single" w:color="000000" w:sz="4" w:space="0"/>
            </w:tcBorders>
            <w:vAlign w:val="center"/>
          </w:tcPr>
          <w:p w14:paraId="09F4817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Ⅲ</w:t>
            </w:r>
          </w:p>
        </w:tc>
        <w:tc>
          <w:tcPr>
            <w:tcW w:w="924" w:type="pct"/>
            <w:tcBorders>
              <w:top w:val="single" w:color="000000" w:sz="4" w:space="0"/>
              <w:left w:val="single" w:color="000000" w:sz="4" w:space="0"/>
              <w:bottom w:val="single" w:color="000000" w:sz="4" w:space="0"/>
            </w:tcBorders>
            <w:vAlign w:val="center"/>
          </w:tcPr>
          <w:p w14:paraId="20B243E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Ⅲ</w:t>
            </w:r>
          </w:p>
        </w:tc>
      </w:tr>
      <w:tr w14:paraId="126E3E2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1321" w:type="pct"/>
            <w:tcBorders>
              <w:top w:val="single" w:color="000000" w:sz="4" w:space="0"/>
              <w:bottom w:val="single" w:color="000000" w:sz="4" w:space="0"/>
              <w:right w:val="single" w:color="000000" w:sz="4" w:space="0"/>
            </w:tcBorders>
            <w:vAlign w:val="center"/>
          </w:tcPr>
          <w:p w14:paraId="0A01B819">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环境中度敏感区（E2）</w:t>
            </w:r>
          </w:p>
        </w:tc>
        <w:tc>
          <w:tcPr>
            <w:tcW w:w="918" w:type="pct"/>
            <w:tcBorders>
              <w:top w:val="single" w:color="000000" w:sz="4" w:space="0"/>
              <w:left w:val="single" w:color="000000" w:sz="4" w:space="0"/>
              <w:bottom w:val="single" w:color="000000" w:sz="4" w:space="0"/>
              <w:right w:val="single" w:color="000000" w:sz="4" w:space="0"/>
            </w:tcBorders>
            <w:vAlign w:val="center"/>
          </w:tcPr>
          <w:p w14:paraId="0601C59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Ⅳ</w:t>
            </w:r>
          </w:p>
        </w:tc>
        <w:tc>
          <w:tcPr>
            <w:tcW w:w="918" w:type="pct"/>
            <w:tcBorders>
              <w:top w:val="single" w:color="000000" w:sz="4" w:space="0"/>
              <w:left w:val="single" w:color="000000" w:sz="4" w:space="0"/>
              <w:bottom w:val="single" w:color="000000" w:sz="4" w:space="0"/>
              <w:right w:val="single" w:color="000000" w:sz="4" w:space="0"/>
            </w:tcBorders>
            <w:vAlign w:val="center"/>
          </w:tcPr>
          <w:p w14:paraId="57A0536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Ⅲ</w:t>
            </w:r>
          </w:p>
        </w:tc>
        <w:tc>
          <w:tcPr>
            <w:tcW w:w="918" w:type="pct"/>
            <w:tcBorders>
              <w:top w:val="single" w:color="000000" w:sz="4" w:space="0"/>
              <w:left w:val="single" w:color="000000" w:sz="4" w:space="0"/>
              <w:bottom w:val="single" w:color="000000" w:sz="4" w:space="0"/>
              <w:right w:val="single" w:color="000000" w:sz="4" w:space="0"/>
            </w:tcBorders>
            <w:vAlign w:val="center"/>
          </w:tcPr>
          <w:p w14:paraId="6C9DBDA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Ⅲ</w:t>
            </w:r>
          </w:p>
        </w:tc>
        <w:tc>
          <w:tcPr>
            <w:tcW w:w="924" w:type="pct"/>
            <w:tcBorders>
              <w:top w:val="single" w:color="000000" w:sz="4" w:space="0"/>
              <w:left w:val="single" w:color="000000" w:sz="4" w:space="0"/>
              <w:bottom w:val="single" w:color="000000" w:sz="4" w:space="0"/>
            </w:tcBorders>
            <w:vAlign w:val="center"/>
          </w:tcPr>
          <w:p w14:paraId="3DA4E46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r>
      <w:tr w14:paraId="4381E9F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1321" w:type="pct"/>
            <w:tcBorders>
              <w:top w:val="single" w:color="000000" w:sz="4" w:space="0"/>
              <w:bottom w:val="single" w:color="000000" w:sz="4" w:space="0"/>
              <w:right w:val="single" w:color="000000" w:sz="4" w:space="0"/>
            </w:tcBorders>
            <w:vAlign w:val="center"/>
          </w:tcPr>
          <w:p w14:paraId="6285A81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环境低度敏感区（E3）</w:t>
            </w:r>
          </w:p>
        </w:tc>
        <w:tc>
          <w:tcPr>
            <w:tcW w:w="918" w:type="pct"/>
            <w:tcBorders>
              <w:top w:val="single" w:color="000000" w:sz="4" w:space="0"/>
              <w:left w:val="single" w:color="000000" w:sz="4" w:space="0"/>
              <w:bottom w:val="single" w:color="000000" w:sz="4" w:space="0"/>
              <w:right w:val="single" w:color="000000" w:sz="4" w:space="0"/>
            </w:tcBorders>
            <w:vAlign w:val="center"/>
          </w:tcPr>
          <w:p w14:paraId="585D399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Ⅲ</w:t>
            </w:r>
          </w:p>
        </w:tc>
        <w:tc>
          <w:tcPr>
            <w:tcW w:w="918" w:type="pct"/>
            <w:tcBorders>
              <w:top w:val="single" w:color="000000" w:sz="4" w:space="0"/>
              <w:left w:val="single" w:color="000000" w:sz="4" w:space="0"/>
              <w:bottom w:val="single" w:color="000000" w:sz="4" w:space="0"/>
              <w:right w:val="single" w:color="000000" w:sz="4" w:space="0"/>
            </w:tcBorders>
            <w:vAlign w:val="center"/>
          </w:tcPr>
          <w:p w14:paraId="1818FCC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Ⅲ</w:t>
            </w:r>
          </w:p>
        </w:tc>
        <w:tc>
          <w:tcPr>
            <w:tcW w:w="918" w:type="pct"/>
            <w:tcBorders>
              <w:top w:val="single" w:color="000000" w:sz="4" w:space="0"/>
              <w:left w:val="single" w:color="000000" w:sz="4" w:space="0"/>
              <w:bottom w:val="single" w:color="000000" w:sz="4" w:space="0"/>
              <w:right w:val="single" w:color="000000" w:sz="4" w:space="0"/>
            </w:tcBorders>
            <w:vAlign w:val="center"/>
          </w:tcPr>
          <w:p w14:paraId="6E9FA10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c>
          <w:tcPr>
            <w:tcW w:w="924" w:type="pct"/>
            <w:tcBorders>
              <w:top w:val="single" w:color="000000" w:sz="4" w:space="0"/>
              <w:left w:val="single" w:color="000000" w:sz="4" w:space="0"/>
              <w:bottom w:val="single" w:color="000000" w:sz="4" w:space="0"/>
            </w:tcBorders>
            <w:vAlign w:val="center"/>
          </w:tcPr>
          <w:p w14:paraId="1F3751E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Ⅰ</w:t>
            </w:r>
          </w:p>
        </w:tc>
      </w:tr>
      <w:tr w14:paraId="1E0F096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5000" w:type="pct"/>
            <w:gridSpan w:val="5"/>
            <w:tcBorders>
              <w:top w:val="single" w:color="000000" w:sz="4" w:space="0"/>
            </w:tcBorders>
            <w:vAlign w:val="center"/>
          </w:tcPr>
          <w:p w14:paraId="38A6860F">
            <w:pPr>
              <w:pStyle w:val="60"/>
              <w:rPr>
                <w:rFonts w:hint="default" w:ascii="Times New Roman" w:hAnsi="Times New Roman" w:eastAsia="宋体" w:cs="Times New Roman"/>
                <w:b/>
                <w:sz w:val="21"/>
                <w:lang w:eastAsia="zh-CN"/>
              </w:rPr>
            </w:pPr>
            <w:r>
              <w:rPr>
                <w:rFonts w:hint="default" w:ascii="Times New Roman" w:hAnsi="Times New Roman" w:eastAsia="宋体" w:cs="Times New Roman"/>
                <w:b/>
                <w:sz w:val="21"/>
                <w:lang w:eastAsia="zh-CN"/>
              </w:rPr>
              <w:t>注：Ⅳ+为极高环境风险。</w:t>
            </w:r>
          </w:p>
        </w:tc>
      </w:tr>
    </w:tbl>
    <w:p w14:paraId="378623E8">
      <w:pPr>
        <w:pStyle w:val="48"/>
        <w:spacing w:before="0" w:line="360" w:lineRule="auto"/>
        <w:ind w:firstLine="0" w:firstLineChars="0"/>
        <w:jc w:val="center"/>
        <w:rPr>
          <w:rFonts w:hint="default" w:ascii="Times New Roman" w:hAnsi="Times New Roman" w:eastAsia="宋体" w:cs="Times New Roman"/>
          <w:sz w:val="24"/>
          <w:szCs w:val="24"/>
        </w:rPr>
      </w:pPr>
    </w:p>
    <w:p w14:paraId="08713CF1">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9.3.2 P的分级确定</w:t>
      </w:r>
    </w:p>
    <w:p w14:paraId="19D3A42F">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1、危险物质数量与临界量比值（Q）</w:t>
      </w:r>
    </w:p>
    <w:p w14:paraId="0083EEC0">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每种危险物质在厂界内的最大存在量，及其在《建设项目环境风险评价技术导则》（HJ169—2018）附录B中对应临界量的比值确定Q。当只涉及一种危险物质时，计算该物质的总量与其临界量比值，即为Q；当存在一种以上危险物质时，有下列公式：</w:t>
      </w:r>
    </w:p>
    <w:p w14:paraId="61D77E44">
      <w:pPr>
        <w:spacing w:line="360" w:lineRule="auto"/>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Q =q1/Q1 + q2/Q2 …… + qn/Qn</w:t>
      </w:r>
    </w:p>
    <w:p w14:paraId="0681D8D8">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式中：</w:t>
      </w:r>
    </w:p>
    <w:p w14:paraId="31D2DAAE">
      <w:pPr>
        <w:pStyle w:val="12"/>
        <w:spacing w:line="360" w:lineRule="auto"/>
        <w:ind w:left="779" w:right="3817"/>
        <w:rPr>
          <w:rFonts w:hint="default" w:ascii="Times New Roman" w:hAnsi="Times New Roman" w:eastAsia="宋体" w:cs="Times New Roman"/>
        </w:rPr>
      </w:pPr>
      <w:r>
        <w:rPr>
          <w:rFonts w:hint="default" w:ascii="Times New Roman" w:hAnsi="Times New Roman" w:eastAsia="宋体" w:cs="Times New Roman"/>
        </w:rPr>
        <w:t>q1、q2…qn —每种危险物质的最大存在量，t； Q1、Q2…Qn —每种危险物质临界量，t。</w:t>
      </w:r>
    </w:p>
    <w:p w14:paraId="2E1EC9CA">
      <w:pPr>
        <w:pStyle w:val="12"/>
        <w:spacing w:line="360" w:lineRule="auto"/>
        <w:ind w:left="779"/>
        <w:rPr>
          <w:rFonts w:hint="default" w:ascii="Times New Roman" w:hAnsi="Times New Roman" w:eastAsia="宋体" w:cs="Times New Roman"/>
        </w:rPr>
      </w:pPr>
      <w:r>
        <w:rPr>
          <w:rFonts w:hint="default" w:ascii="Times New Roman" w:hAnsi="Times New Roman" w:eastAsia="宋体" w:cs="Times New Roman"/>
        </w:rPr>
        <w:t>当Q＜1时，该项目环境风险潜势为Ⅰ；</w:t>
      </w:r>
    </w:p>
    <w:p w14:paraId="1E0C3DB1">
      <w:pPr>
        <w:pStyle w:val="12"/>
        <w:spacing w:line="360" w:lineRule="auto"/>
        <w:ind w:left="779"/>
        <w:rPr>
          <w:rFonts w:hint="default" w:ascii="Times New Roman" w:hAnsi="Times New Roman" w:eastAsia="宋体" w:cs="Times New Roman"/>
        </w:rPr>
      </w:pPr>
      <w:r>
        <w:rPr>
          <w:rFonts w:hint="default" w:ascii="Times New Roman" w:hAnsi="Times New Roman" w:eastAsia="宋体" w:cs="Times New Roman"/>
        </w:rPr>
        <w:t>当Q≥1时，将Q值划分为1≤Q＜10；10≤Q＜100；Q≥100。</w:t>
      </w:r>
    </w:p>
    <w:p w14:paraId="1DADF61A">
      <w:pPr>
        <w:pStyle w:val="12"/>
        <w:spacing w:line="360" w:lineRule="auto"/>
        <w:ind w:left="0"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查阅《建设项目环境风险评价技术导则》（HJ169-2018）附录B可知，该项目涉及的风险物质为各类危险废物，具体情况如下表所示Q值确定过程见下表，本项目Q值为10≤Q=</w:t>
      </w:r>
      <w:r>
        <w:rPr>
          <w:rFonts w:hint="default" w:ascii="Times New Roman" w:hAnsi="Times New Roman" w:eastAsia="宋体" w:cs="Times New Roman"/>
          <w:u w:val="single"/>
          <w:lang w:eastAsia="zh-CN"/>
        </w:rPr>
        <w:t>7.3624</w:t>
      </w:r>
      <w:r>
        <w:rPr>
          <w:rFonts w:hint="default" w:ascii="Times New Roman" w:hAnsi="Times New Roman" w:eastAsia="宋体" w:cs="Times New Roman"/>
          <w:u w:val="single"/>
        </w:rPr>
        <w:t>＜100。</w:t>
      </w:r>
    </w:p>
    <w:p w14:paraId="793392D5">
      <w:pPr>
        <w:pStyle w:val="48"/>
        <w:spacing w:before="0" w:line="360" w:lineRule="auto"/>
        <w:ind w:firstLine="422"/>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表9.3-2  Q值确定表</w:t>
      </w:r>
    </w:p>
    <w:tbl>
      <w:tblPr>
        <w:tblStyle w:val="32"/>
        <w:tblW w:w="505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881"/>
        <w:gridCol w:w="1299"/>
        <w:gridCol w:w="1573"/>
        <w:gridCol w:w="1668"/>
      </w:tblGrid>
      <w:tr w14:paraId="5C1EB1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3B854D11">
            <w:pPr>
              <w:pStyle w:val="60"/>
              <w:keepNext w:val="0"/>
              <w:keepLines w:val="0"/>
              <w:suppressLineNumbers w:val="0"/>
              <w:spacing w:before="0" w:beforeAutospacing="0" w:after="0" w:afterAutospacing="0"/>
              <w:ind w:left="0" w:right="0"/>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b/>
                <w:color w:val="000000"/>
                <w:sz w:val="21"/>
                <w:szCs w:val="21"/>
                <w:u w:val="single"/>
              </w:rPr>
              <w:t>风险物质</w:t>
            </w:r>
          </w:p>
        </w:tc>
        <w:tc>
          <w:tcPr>
            <w:tcW w:w="771" w:type="pct"/>
            <w:vAlign w:val="center"/>
          </w:tcPr>
          <w:p w14:paraId="4412145C">
            <w:pPr>
              <w:pStyle w:val="60"/>
              <w:keepNext w:val="0"/>
              <w:keepLines w:val="0"/>
              <w:suppressLineNumbers w:val="0"/>
              <w:spacing w:before="0" w:beforeAutospacing="0" w:after="0" w:afterAutospacing="0"/>
              <w:ind w:left="0" w:right="0"/>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b/>
                <w:color w:val="000000"/>
                <w:sz w:val="21"/>
                <w:szCs w:val="21"/>
                <w:u w:val="single"/>
              </w:rPr>
              <w:t>最大储存量t</w:t>
            </w:r>
          </w:p>
        </w:tc>
        <w:tc>
          <w:tcPr>
            <w:tcW w:w="934" w:type="pct"/>
            <w:vAlign w:val="center"/>
          </w:tcPr>
          <w:p w14:paraId="0CF2DA2E">
            <w:pPr>
              <w:pStyle w:val="60"/>
              <w:keepNext w:val="0"/>
              <w:keepLines w:val="0"/>
              <w:suppressLineNumbers w:val="0"/>
              <w:spacing w:before="0" w:beforeAutospacing="0" w:after="0" w:afterAutospacing="0"/>
              <w:ind w:left="0" w:right="0"/>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b/>
                <w:color w:val="000000"/>
                <w:sz w:val="21"/>
                <w:szCs w:val="21"/>
                <w:u w:val="single"/>
              </w:rPr>
              <w:t>临界量t</w:t>
            </w:r>
          </w:p>
        </w:tc>
        <w:tc>
          <w:tcPr>
            <w:tcW w:w="990" w:type="pct"/>
            <w:vAlign w:val="center"/>
          </w:tcPr>
          <w:p w14:paraId="589F8C4E">
            <w:pPr>
              <w:pStyle w:val="60"/>
              <w:keepNext w:val="0"/>
              <w:keepLines w:val="0"/>
              <w:suppressLineNumbers w:val="0"/>
              <w:spacing w:before="0" w:beforeAutospacing="0" w:after="0" w:afterAutospacing="0"/>
              <w:ind w:left="0" w:right="0"/>
              <w:rPr>
                <w:rFonts w:hint="default" w:ascii="Times New Roman" w:hAnsi="Times New Roman" w:eastAsia="宋体" w:cs="Times New Roman"/>
                <w:b/>
                <w:color w:val="000000"/>
                <w:sz w:val="21"/>
                <w:szCs w:val="21"/>
                <w:u w:val="single"/>
              </w:rPr>
            </w:pPr>
            <w:r>
              <w:rPr>
                <w:rFonts w:hint="default" w:ascii="Times New Roman" w:hAnsi="Times New Roman" w:eastAsia="宋体" w:cs="Times New Roman"/>
                <w:b/>
                <w:color w:val="000000"/>
                <w:sz w:val="21"/>
                <w:szCs w:val="21"/>
                <w:u w:val="single"/>
              </w:rPr>
              <w:t>储存量/临界量</w:t>
            </w:r>
          </w:p>
        </w:tc>
      </w:tr>
      <w:tr w14:paraId="46BC77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24256166">
            <w:pPr>
              <w:pStyle w:val="60"/>
              <w:keepNext w:val="0"/>
              <w:keepLines w:val="0"/>
              <w:suppressLineNumbers w:val="0"/>
              <w:spacing w:before="0" w:beforeAutospacing="0" w:after="0" w:afterAutospacing="0"/>
              <w:ind w:left="0" w:right="0"/>
              <w:rPr>
                <w:rFonts w:hint="default" w:ascii="Times New Roman" w:hAnsi="Times New Roman" w:eastAsia="宋体" w:cs="Times New Roman"/>
                <w:b w:val="0"/>
                <w:bCs/>
                <w:color w:val="000000"/>
                <w:sz w:val="21"/>
                <w:szCs w:val="21"/>
                <w:u w:val="single"/>
                <w:lang w:val="en-US" w:eastAsia="zh-CN"/>
              </w:rPr>
            </w:pPr>
            <w:r>
              <w:rPr>
                <w:rFonts w:hint="default" w:ascii="Times New Roman" w:hAnsi="Times New Roman" w:eastAsia="宋体" w:cs="Times New Roman"/>
                <w:b w:val="0"/>
                <w:bCs/>
                <w:color w:val="000000"/>
                <w:sz w:val="21"/>
                <w:szCs w:val="21"/>
                <w:u w:val="single"/>
                <w:lang w:val="en-US" w:eastAsia="zh-CN"/>
              </w:rPr>
              <w:t>HW02医药废物</w:t>
            </w:r>
          </w:p>
        </w:tc>
        <w:tc>
          <w:tcPr>
            <w:tcW w:w="771" w:type="pct"/>
            <w:vAlign w:val="center"/>
          </w:tcPr>
          <w:p w14:paraId="46E064D9">
            <w:pPr>
              <w:pStyle w:val="60"/>
              <w:keepNext w:val="0"/>
              <w:keepLines w:val="0"/>
              <w:suppressLineNumbers w:val="0"/>
              <w:spacing w:before="0" w:beforeAutospacing="0" w:after="0" w:afterAutospacing="0"/>
              <w:ind w:left="0" w:right="0"/>
              <w:rPr>
                <w:rFonts w:hint="default" w:ascii="Times New Roman" w:hAnsi="Times New Roman" w:eastAsia="宋体" w:cs="Times New Roman"/>
                <w:b w:val="0"/>
                <w:bCs/>
                <w:color w:val="000000"/>
                <w:sz w:val="21"/>
                <w:szCs w:val="21"/>
                <w:u w:val="single"/>
                <w:lang w:val="en-US" w:eastAsia="zh-CN"/>
              </w:rPr>
            </w:pPr>
            <w:r>
              <w:rPr>
                <w:rFonts w:hint="default" w:ascii="Times New Roman" w:hAnsi="Times New Roman" w:eastAsia="宋体" w:cs="Times New Roman"/>
                <w:b w:val="0"/>
                <w:bCs/>
                <w:color w:val="000000"/>
                <w:sz w:val="21"/>
                <w:szCs w:val="21"/>
                <w:u w:val="single"/>
                <w:lang w:val="en-US" w:eastAsia="zh-CN"/>
              </w:rPr>
              <w:t>6</w:t>
            </w:r>
          </w:p>
        </w:tc>
        <w:tc>
          <w:tcPr>
            <w:tcW w:w="934" w:type="pct"/>
            <w:vAlign w:val="center"/>
          </w:tcPr>
          <w:p w14:paraId="412A221B">
            <w:pPr>
              <w:pStyle w:val="60"/>
              <w:keepNext w:val="0"/>
              <w:keepLines w:val="0"/>
              <w:suppressLineNumbers w:val="0"/>
              <w:spacing w:before="0" w:beforeAutospacing="0" w:after="0" w:afterAutospacing="0"/>
              <w:ind w:left="0" w:right="0"/>
              <w:rPr>
                <w:rFonts w:hint="default" w:ascii="Times New Roman" w:hAnsi="Times New Roman" w:eastAsia="宋体" w:cs="Times New Roman"/>
                <w:b w:val="0"/>
                <w:bCs/>
                <w:color w:val="000000"/>
                <w:sz w:val="21"/>
                <w:szCs w:val="21"/>
                <w:u w:val="single"/>
                <w:lang w:val="en-US" w:eastAsia="zh-CN"/>
              </w:rPr>
            </w:pPr>
            <w:r>
              <w:rPr>
                <w:rFonts w:hint="default" w:ascii="Times New Roman" w:hAnsi="Times New Roman" w:eastAsia="宋体" w:cs="Times New Roman"/>
                <w:b w:val="0"/>
                <w:bCs/>
                <w:color w:val="000000"/>
                <w:sz w:val="21"/>
                <w:szCs w:val="21"/>
                <w:u w:val="single"/>
                <w:lang w:val="en-US" w:eastAsia="zh-CN"/>
              </w:rPr>
              <w:t>5</w:t>
            </w:r>
          </w:p>
        </w:tc>
        <w:tc>
          <w:tcPr>
            <w:tcW w:w="1662" w:type="dxa"/>
            <w:vAlign w:val="center"/>
          </w:tcPr>
          <w:p w14:paraId="4929EB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1.2</w:t>
            </w:r>
          </w:p>
        </w:tc>
      </w:tr>
      <w:tr w14:paraId="5A0961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17C486A2">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HW03废药物、药品</w:t>
            </w:r>
          </w:p>
        </w:tc>
        <w:tc>
          <w:tcPr>
            <w:tcW w:w="771" w:type="pct"/>
            <w:vAlign w:val="center"/>
          </w:tcPr>
          <w:p w14:paraId="7A906F36">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2</w:t>
            </w:r>
          </w:p>
        </w:tc>
        <w:tc>
          <w:tcPr>
            <w:tcW w:w="934" w:type="pct"/>
            <w:vAlign w:val="center"/>
          </w:tcPr>
          <w:p w14:paraId="6337409E">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5</w:t>
            </w:r>
          </w:p>
        </w:tc>
        <w:tc>
          <w:tcPr>
            <w:tcW w:w="1662" w:type="dxa"/>
            <w:vAlign w:val="center"/>
          </w:tcPr>
          <w:p w14:paraId="227D4C5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0.4</w:t>
            </w:r>
          </w:p>
        </w:tc>
      </w:tr>
      <w:tr w14:paraId="1BF5BD1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54BCE9A5">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HW06废有机溶剂与含有机溶剂废物</w:t>
            </w:r>
          </w:p>
        </w:tc>
        <w:tc>
          <w:tcPr>
            <w:tcW w:w="771" w:type="pct"/>
            <w:vAlign w:val="center"/>
          </w:tcPr>
          <w:p w14:paraId="501D0B15">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val="en-US" w:eastAsia="zh-CN"/>
              </w:rPr>
              <w:t>5</w:t>
            </w:r>
          </w:p>
        </w:tc>
        <w:tc>
          <w:tcPr>
            <w:tcW w:w="934" w:type="pct"/>
            <w:vAlign w:val="center"/>
          </w:tcPr>
          <w:p w14:paraId="70B96739">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rPr>
              <w:t>5</w:t>
            </w:r>
            <w:r>
              <w:rPr>
                <w:rFonts w:hint="default" w:ascii="Times New Roman" w:hAnsi="Times New Roman" w:eastAsia="宋体" w:cs="Times New Roman"/>
                <w:color w:val="000000"/>
                <w:sz w:val="21"/>
                <w:szCs w:val="21"/>
                <w:u w:val="single"/>
                <w:lang w:val="en-US" w:eastAsia="zh-CN"/>
              </w:rPr>
              <w:t>0</w:t>
            </w:r>
          </w:p>
        </w:tc>
        <w:tc>
          <w:tcPr>
            <w:tcW w:w="1662" w:type="dxa"/>
            <w:vAlign w:val="center"/>
          </w:tcPr>
          <w:p w14:paraId="4A115D0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w:t>
            </w:r>
          </w:p>
        </w:tc>
      </w:tr>
      <w:tr w14:paraId="60C1E9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4ADFA923">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HW08</w:t>
            </w:r>
            <w:r>
              <w:rPr>
                <w:rFonts w:hint="default" w:ascii="Times New Roman" w:hAnsi="Times New Roman" w:eastAsia="宋体" w:cs="Times New Roman"/>
                <w:color w:val="000000"/>
                <w:szCs w:val="21"/>
                <w:highlight w:val="none"/>
                <w:u w:val="single"/>
              </w:rPr>
              <w:t>废矿物油与含废矿物油废物</w:t>
            </w:r>
          </w:p>
        </w:tc>
        <w:tc>
          <w:tcPr>
            <w:tcW w:w="771" w:type="pct"/>
            <w:vAlign w:val="center"/>
          </w:tcPr>
          <w:p w14:paraId="7254BC5B">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40</w:t>
            </w:r>
          </w:p>
        </w:tc>
        <w:tc>
          <w:tcPr>
            <w:tcW w:w="934" w:type="pct"/>
            <w:vAlign w:val="center"/>
          </w:tcPr>
          <w:p w14:paraId="5BD8504C">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100</w:t>
            </w:r>
          </w:p>
        </w:tc>
        <w:tc>
          <w:tcPr>
            <w:tcW w:w="1662" w:type="dxa"/>
            <w:vAlign w:val="center"/>
          </w:tcPr>
          <w:p w14:paraId="7530B0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0.4</w:t>
            </w:r>
          </w:p>
        </w:tc>
      </w:tr>
      <w:tr w14:paraId="2C1B634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5DFF4F24">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HW09油/水、烃/水混合物或乳化液</w:t>
            </w:r>
          </w:p>
        </w:tc>
        <w:tc>
          <w:tcPr>
            <w:tcW w:w="771" w:type="pct"/>
            <w:vAlign w:val="center"/>
          </w:tcPr>
          <w:p w14:paraId="29D6C11C">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val="en-US" w:eastAsia="zh-CN"/>
              </w:rPr>
              <w:t>6</w:t>
            </w:r>
          </w:p>
        </w:tc>
        <w:tc>
          <w:tcPr>
            <w:tcW w:w="934" w:type="pct"/>
            <w:vAlign w:val="center"/>
          </w:tcPr>
          <w:p w14:paraId="787A7F1A">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2500</w:t>
            </w:r>
          </w:p>
        </w:tc>
        <w:tc>
          <w:tcPr>
            <w:tcW w:w="1662" w:type="dxa"/>
            <w:vAlign w:val="center"/>
          </w:tcPr>
          <w:p w14:paraId="65DE10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0.0024</w:t>
            </w:r>
          </w:p>
        </w:tc>
      </w:tr>
      <w:tr w14:paraId="0D915B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365182C1">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HW1</w:t>
            </w:r>
            <w:r>
              <w:rPr>
                <w:rFonts w:hint="default" w:ascii="Times New Roman" w:hAnsi="Times New Roman" w:eastAsia="宋体" w:cs="Times New Roman"/>
                <w:color w:val="000000"/>
                <w:sz w:val="21"/>
                <w:szCs w:val="21"/>
                <w:u w:val="single"/>
                <w:lang w:val="en-US" w:eastAsia="zh-CN"/>
              </w:rPr>
              <w:t>1精(蒸)馏残渣</w:t>
            </w:r>
          </w:p>
        </w:tc>
        <w:tc>
          <w:tcPr>
            <w:tcW w:w="771" w:type="pct"/>
            <w:vAlign w:val="center"/>
          </w:tcPr>
          <w:p w14:paraId="2C3AE7A4">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1</w:t>
            </w:r>
          </w:p>
        </w:tc>
        <w:tc>
          <w:tcPr>
            <w:tcW w:w="934" w:type="pct"/>
            <w:vAlign w:val="center"/>
          </w:tcPr>
          <w:p w14:paraId="4DD1A327">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50</w:t>
            </w:r>
          </w:p>
        </w:tc>
        <w:tc>
          <w:tcPr>
            <w:tcW w:w="1662" w:type="dxa"/>
            <w:vAlign w:val="center"/>
          </w:tcPr>
          <w:p w14:paraId="7435F2D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0.02</w:t>
            </w:r>
          </w:p>
        </w:tc>
      </w:tr>
      <w:tr w14:paraId="1F773B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0C04AEA6">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HW12染料、涂料废物</w:t>
            </w:r>
          </w:p>
        </w:tc>
        <w:tc>
          <w:tcPr>
            <w:tcW w:w="771" w:type="pct"/>
            <w:vAlign w:val="center"/>
          </w:tcPr>
          <w:p w14:paraId="6EA0A42D">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val="en-US" w:eastAsia="zh-CN"/>
              </w:rPr>
              <w:t>6</w:t>
            </w:r>
          </w:p>
        </w:tc>
        <w:tc>
          <w:tcPr>
            <w:tcW w:w="934" w:type="pct"/>
            <w:vAlign w:val="center"/>
          </w:tcPr>
          <w:p w14:paraId="2CC7E043">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50</w:t>
            </w:r>
          </w:p>
        </w:tc>
        <w:tc>
          <w:tcPr>
            <w:tcW w:w="1662" w:type="dxa"/>
            <w:vAlign w:val="center"/>
          </w:tcPr>
          <w:p w14:paraId="799187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0.12</w:t>
            </w:r>
          </w:p>
        </w:tc>
      </w:tr>
      <w:tr w14:paraId="3FE9D6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5DD9557B">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HW13有机树脂类废物</w:t>
            </w:r>
          </w:p>
        </w:tc>
        <w:tc>
          <w:tcPr>
            <w:tcW w:w="771" w:type="pct"/>
            <w:vAlign w:val="center"/>
          </w:tcPr>
          <w:p w14:paraId="1A54A55F">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val="en-US" w:eastAsia="zh-CN"/>
              </w:rPr>
              <w:t>7</w:t>
            </w:r>
          </w:p>
        </w:tc>
        <w:tc>
          <w:tcPr>
            <w:tcW w:w="934" w:type="pct"/>
            <w:vAlign w:val="center"/>
          </w:tcPr>
          <w:p w14:paraId="24374EE5">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50</w:t>
            </w:r>
          </w:p>
        </w:tc>
        <w:tc>
          <w:tcPr>
            <w:tcW w:w="1662" w:type="dxa"/>
            <w:vAlign w:val="center"/>
          </w:tcPr>
          <w:p w14:paraId="266BCD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0.14</w:t>
            </w:r>
          </w:p>
        </w:tc>
      </w:tr>
      <w:tr w14:paraId="4CB7824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2A6D7B98">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HW16感光材料废物</w:t>
            </w:r>
          </w:p>
        </w:tc>
        <w:tc>
          <w:tcPr>
            <w:tcW w:w="771" w:type="pct"/>
            <w:vAlign w:val="center"/>
          </w:tcPr>
          <w:p w14:paraId="2F778906">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val="en-US" w:eastAsia="zh-CN"/>
              </w:rPr>
              <w:t>5</w:t>
            </w:r>
          </w:p>
        </w:tc>
        <w:tc>
          <w:tcPr>
            <w:tcW w:w="934" w:type="pct"/>
            <w:vAlign w:val="center"/>
          </w:tcPr>
          <w:p w14:paraId="5D08864E">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50</w:t>
            </w:r>
          </w:p>
        </w:tc>
        <w:tc>
          <w:tcPr>
            <w:tcW w:w="1662" w:type="dxa"/>
            <w:vAlign w:val="center"/>
          </w:tcPr>
          <w:p w14:paraId="3F9C026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w:t>
            </w:r>
          </w:p>
        </w:tc>
      </w:tr>
      <w:tr w14:paraId="2FD2EA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30311FA4">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HW17表面处理废物</w:t>
            </w:r>
          </w:p>
        </w:tc>
        <w:tc>
          <w:tcPr>
            <w:tcW w:w="771" w:type="pct"/>
            <w:vAlign w:val="center"/>
          </w:tcPr>
          <w:p w14:paraId="7D3F7369">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6</w:t>
            </w:r>
          </w:p>
        </w:tc>
        <w:tc>
          <w:tcPr>
            <w:tcW w:w="934" w:type="pct"/>
            <w:vAlign w:val="center"/>
          </w:tcPr>
          <w:p w14:paraId="03246A78">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50</w:t>
            </w:r>
          </w:p>
        </w:tc>
        <w:tc>
          <w:tcPr>
            <w:tcW w:w="1662" w:type="dxa"/>
            <w:vAlign w:val="center"/>
          </w:tcPr>
          <w:p w14:paraId="4FA499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0.12</w:t>
            </w:r>
          </w:p>
        </w:tc>
      </w:tr>
      <w:tr w14:paraId="43F9CC6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3E0F414C">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HW29含汞废物</w:t>
            </w:r>
          </w:p>
        </w:tc>
        <w:tc>
          <w:tcPr>
            <w:tcW w:w="771" w:type="pct"/>
            <w:vAlign w:val="center"/>
          </w:tcPr>
          <w:p w14:paraId="11C7B41C">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2</w:t>
            </w:r>
          </w:p>
        </w:tc>
        <w:tc>
          <w:tcPr>
            <w:tcW w:w="934" w:type="pct"/>
            <w:vAlign w:val="center"/>
          </w:tcPr>
          <w:p w14:paraId="143A2533">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5</w:t>
            </w:r>
          </w:p>
        </w:tc>
        <w:tc>
          <w:tcPr>
            <w:tcW w:w="1662" w:type="dxa"/>
            <w:vAlign w:val="center"/>
          </w:tcPr>
          <w:p w14:paraId="63757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0.4</w:t>
            </w:r>
          </w:p>
        </w:tc>
      </w:tr>
      <w:tr w14:paraId="6FD3D4E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04C147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szCs w:val="21"/>
                <w:highlight w:val="none"/>
                <w:u w:val="single"/>
              </w:rPr>
              <w:t>HW34废酸</w:t>
            </w:r>
          </w:p>
        </w:tc>
        <w:tc>
          <w:tcPr>
            <w:tcW w:w="771" w:type="pct"/>
            <w:vAlign w:val="center"/>
          </w:tcPr>
          <w:p w14:paraId="499590E0">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3</w:t>
            </w:r>
          </w:p>
        </w:tc>
        <w:tc>
          <w:tcPr>
            <w:tcW w:w="934" w:type="pct"/>
            <w:vAlign w:val="center"/>
          </w:tcPr>
          <w:p w14:paraId="45451DD3">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50</w:t>
            </w:r>
          </w:p>
        </w:tc>
        <w:tc>
          <w:tcPr>
            <w:tcW w:w="1662" w:type="dxa"/>
            <w:vAlign w:val="center"/>
          </w:tcPr>
          <w:p w14:paraId="7421E4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0.06</w:t>
            </w:r>
          </w:p>
        </w:tc>
      </w:tr>
      <w:tr w14:paraId="342F573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66CED16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center"/>
              <w:rPr>
                <w:rFonts w:hint="default" w:ascii="Times New Roman" w:hAnsi="Times New Roman" w:eastAsia="宋体" w:cs="Times New Roman"/>
                <w:szCs w:val="21"/>
                <w:highlight w:val="none"/>
                <w:u w:val="single"/>
              </w:rPr>
            </w:pPr>
            <w:r>
              <w:rPr>
                <w:rFonts w:hint="default" w:ascii="Times New Roman" w:hAnsi="Times New Roman" w:eastAsia="宋体" w:cs="Times New Roman"/>
                <w:szCs w:val="21"/>
                <w:highlight w:val="none"/>
                <w:u w:val="single"/>
              </w:rPr>
              <w:t>HW35废碱</w:t>
            </w:r>
          </w:p>
        </w:tc>
        <w:tc>
          <w:tcPr>
            <w:tcW w:w="771" w:type="pct"/>
            <w:vAlign w:val="center"/>
          </w:tcPr>
          <w:p w14:paraId="3AD4C785">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2</w:t>
            </w:r>
          </w:p>
        </w:tc>
        <w:tc>
          <w:tcPr>
            <w:tcW w:w="934" w:type="pct"/>
            <w:vAlign w:val="center"/>
          </w:tcPr>
          <w:p w14:paraId="1D83D707">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50</w:t>
            </w:r>
          </w:p>
        </w:tc>
        <w:tc>
          <w:tcPr>
            <w:tcW w:w="1662" w:type="dxa"/>
            <w:vAlign w:val="center"/>
          </w:tcPr>
          <w:p w14:paraId="73C29B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0.04</w:t>
            </w:r>
          </w:p>
        </w:tc>
      </w:tr>
      <w:tr w14:paraId="635F9A0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2304" w:type="pct"/>
            <w:vAlign w:val="center"/>
          </w:tcPr>
          <w:p w14:paraId="5E8072FE">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HW36石棉废物</w:t>
            </w:r>
          </w:p>
        </w:tc>
        <w:tc>
          <w:tcPr>
            <w:tcW w:w="771" w:type="pct"/>
            <w:vAlign w:val="center"/>
          </w:tcPr>
          <w:p w14:paraId="6B0E8CBF">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val="en-US" w:eastAsia="zh-CN"/>
              </w:rPr>
              <w:t>3</w:t>
            </w:r>
          </w:p>
        </w:tc>
        <w:tc>
          <w:tcPr>
            <w:tcW w:w="934" w:type="pct"/>
            <w:vAlign w:val="center"/>
          </w:tcPr>
          <w:p w14:paraId="2BB4ECDD">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5</w:t>
            </w:r>
          </w:p>
        </w:tc>
        <w:tc>
          <w:tcPr>
            <w:tcW w:w="1662" w:type="dxa"/>
            <w:vAlign w:val="center"/>
          </w:tcPr>
          <w:p w14:paraId="3BF0D0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0.6</w:t>
            </w:r>
          </w:p>
        </w:tc>
      </w:tr>
      <w:tr w14:paraId="719F0C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0CB0F703">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HW49其他废物</w:t>
            </w:r>
          </w:p>
        </w:tc>
        <w:tc>
          <w:tcPr>
            <w:tcW w:w="771" w:type="pct"/>
            <w:vAlign w:val="center"/>
          </w:tcPr>
          <w:p w14:paraId="69BD795F">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color w:val="000000"/>
                <w:sz w:val="21"/>
                <w:szCs w:val="21"/>
                <w:u w:val="single"/>
                <w:lang w:val="en-US" w:eastAsia="zh-CN"/>
              </w:rPr>
              <w:t>25</w:t>
            </w:r>
          </w:p>
        </w:tc>
        <w:tc>
          <w:tcPr>
            <w:tcW w:w="934" w:type="pct"/>
            <w:vAlign w:val="center"/>
          </w:tcPr>
          <w:p w14:paraId="26AC23D3">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50</w:t>
            </w:r>
          </w:p>
        </w:tc>
        <w:tc>
          <w:tcPr>
            <w:tcW w:w="1662" w:type="dxa"/>
            <w:vAlign w:val="center"/>
          </w:tcPr>
          <w:p w14:paraId="7446F8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0.5</w:t>
            </w:r>
          </w:p>
        </w:tc>
      </w:tr>
      <w:tr w14:paraId="612B10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33F03F15">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HW50废催化剂</w:t>
            </w:r>
          </w:p>
        </w:tc>
        <w:tc>
          <w:tcPr>
            <w:tcW w:w="771" w:type="pct"/>
            <w:vAlign w:val="center"/>
          </w:tcPr>
          <w:p w14:paraId="08C48ACF">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eastAsia="zh-CN"/>
              </w:rPr>
            </w:pPr>
            <w:r>
              <w:rPr>
                <w:rFonts w:hint="default" w:ascii="Times New Roman" w:hAnsi="Times New Roman" w:eastAsia="宋体" w:cs="Times New Roman"/>
                <w:color w:val="000000"/>
                <w:sz w:val="21"/>
                <w:szCs w:val="21"/>
                <w:u w:val="single"/>
                <w:lang w:val="en-US" w:eastAsia="zh-CN"/>
              </w:rPr>
              <w:t>5</w:t>
            </w:r>
          </w:p>
        </w:tc>
        <w:tc>
          <w:tcPr>
            <w:tcW w:w="934" w:type="pct"/>
            <w:vAlign w:val="center"/>
          </w:tcPr>
          <w:p w14:paraId="0794886C">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50</w:t>
            </w:r>
          </w:p>
        </w:tc>
        <w:tc>
          <w:tcPr>
            <w:tcW w:w="1662" w:type="dxa"/>
            <w:vAlign w:val="center"/>
          </w:tcPr>
          <w:p w14:paraId="24250F1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0.1</w:t>
            </w:r>
          </w:p>
        </w:tc>
      </w:tr>
      <w:tr w14:paraId="5C5A1B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2304" w:type="pct"/>
            <w:vAlign w:val="center"/>
          </w:tcPr>
          <w:p w14:paraId="02DB7B8C">
            <w:pPr>
              <w:pStyle w:val="60"/>
              <w:keepNext w:val="0"/>
              <w:keepLines w:val="0"/>
              <w:suppressLineNumbers w:val="0"/>
              <w:spacing w:before="0" w:beforeAutospacing="0" w:after="0" w:afterAutospacing="0"/>
              <w:ind w:left="0" w:right="0"/>
              <w:rPr>
                <w:rFonts w:hint="default" w:ascii="Times New Roman" w:hAnsi="Times New Roman" w:eastAsia="宋体" w:cs="Times New Roman"/>
                <w:sz w:val="21"/>
                <w:szCs w:val="21"/>
                <w:u w:val="single"/>
                <w:lang w:eastAsia="zh-CN"/>
              </w:rPr>
            </w:pPr>
            <w:r>
              <w:rPr>
                <w:rFonts w:hint="default" w:ascii="Times New Roman" w:hAnsi="Times New Roman" w:eastAsia="宋体" w:cs="Times New Roman"/>
                <w:sz w:val="21"/>
                <w:szCs w:val="21"/>
                <w:u w:val="single"/>
              </w:rPr>
              <w:t>有机废液</w:t>
            </w:r>
            <w:r>
              <w:rPr>
                <w:rFonts w:hint="default" w:ascii="Times New Roman" w:hAnsi="Times New Roman" w:eastAsia="宋体" w:cs="Times New Roman"/>
                <w:sz w:val="21"/>
                <w:szCs w:val="21"/>
                <w:u w:val="single"/>
                <w:lang w:eastAsia="zh-CN"/>
              </w:rPr>
              <w:t>（</w:t>
            </w:r>
            <w:r>
              <w:rPr>
                <w:rFonts w:hint="default" w:ascii="Times New Roman" w:hAnsi="Times New Roman" w:eastAsia="宋体" w:cs="Times New Roman"/>
                <w:sz w:val="21"/>
                <w:szCs w:val="21"/>
                <w:u w:val="single"/>
                <w:lang w:val="en-US" w:eastAsia="zh-CN"/>
              </w:rPr>
              <w:t>COD浓度大于10000mg/L</w:t>
            </w:r>
            <w:r>
              <w:rPr>
                <w:rFonts w:hint="default" w:ascii="Times New Roman" w:hAnsi="Times New Roman" w:eastAsia="宋体" w:cs="Times New Roman"/>
                <w:sz w:val="21"/>
                <w:szCs w:val="21"/>
                <w:u w:val="single"/>
                <w:lang w:eastAsia="zh-CN"/>
              </w:rPr>
              <w:t>）</w:t>
            </w:r>
          </w:p>
        </w:tc>
        <w:tc>
          <w:tcPr>
            <w:tcW w:w="771" w:type="pct"/>
            <w:vAlign w:val="center"/>
          </w:tcPr>
          <w:p w14:paraId="1B4EF9BE">
            <w:pPr>
              <w:pStyle w:val="60"/>
              <w:keepNext w:val="0"/>
              <w:keepLines w:val="0"/>
              <w:suppressLineNumbers w:val="0"/>
              <w:autoSpaceDE/>
              <w:autoSpaceDN/>
              <w:spacing w:before="0" w:beforeAutospacing="0" w:after="0" w:afterAutospacing="0" w:line="340" w:lineRule="exact"/>
              <w:ind w:left="0" w:right="0"/>
              <w:rPr>
                <w:rFonts w:hint="default" w:ascii="Times New Roman" w:hAnsi="Times New Roman" w:eastAsia="宋体" w:cs="Times New Roman"/>
                <w:color w:val="000000"/>
                <w:sz w:val="21"/>
                <w:szCs w:val="21"/>
                <w:u w:val="single"/>
                <w:lang w:val="en-US" w:eastAsia="zh-CN"/>
              </w:rPr>
            </w:pPr>
            <w:r>
              <w:rPr>
                <w:rFonts w:hint="default" w:ascii="Times New Roman" w:hAnsi="Times New Roman" w:eastAsia="宋体" w:cs="Times New Roman"/>
                <w:sz w:val="21"/>
                <w:szCs w:val="21"/>
                <w:u w:val="single"/>
                <w:lang w:val="en-US" w:eastAsia="zh-CN"/>
              </w:rPr>
              <w:t>30.6</w:t>
            </w:r>
          </w:p>
        </w:tc>
        <w:tc>
          <w:tcPr>
            <w:tcW w:w="934" w:type="pct"/>
            <w:vAlign w:val="center"/>
          </w:tcPr>
          <w:p w14:paraId="1C3D7F7D">
            <w:pPr>
              <w:pStyle w:val="139"/>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sz w:val="21"/>
                <w:szCs w:val="21"/>
                <w:u w:val="single"/>
              </w:rPr>
              <w:t>10</w:t>
            </w:r>
          </w:p>
        </w:tc>
        <w:tc>
          <w:tcPr>
            <w:tcW w:w="1662" w:type="dxa"/>
            <w:vAlign w:val="center"/>
          </w:tcPr>
          <w:p w14:paraId="0AB1E2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3.06</w:t>
            </w:r>
          </w:p>
        </w:tc>
      </w:tr>
      <w:tr w14:paraId="276AE1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4009" w:type="pct"/>
            <w:gridSpan w:val="3"/>
            <w:vAlign w:val="center"/>
          </w:tcPr>
          <w:p w14:paraId="4679DA42">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color w:val="000000"/>
                <w:sz w:val="21"/>
                <w:szCs w:val="21"/>
                <w:u w:val="single"/>
              </w:rPr>
              <w:t>合计</w:t>
            </w:r>
          </w:p>
        </w:tc>
        <w:tc>
          <w:tcPr>
            <w:tcW w:w="1662" w:type="dxa"/>
            <w:vAlign w:val="center"/>
          </w:tcPr>
          <w:p w14:paraId="58E109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000000"/>
                <w:sz w:val="21"/>
                <w:szCs w:val="21"/>
                <w:u w:val="single"/>
              </w:rPr>
            </w:pPr>
            <w:r>
              <w:rPr>
                <w:rFonts w:hint="default" w:ascii="Times New Roman" w:hAnsi="Times New Roman" w:eastAsia="宋体" w:cs="Times New Roman"/>
                <w:i w:val="0"/>
                <w:iCs w:val="0"/>
                <w:color w:val="000000"/>
                <w:kern w:val="0"/>
                <w:sz w:val="21"/>
                <w:szCs w:val="21"/>
                <w:u w:val="single"/>
                <w:lang w:val="en-US" w:eastAsia="zh-CN" w:bidi="ar"/>
              </w:rPr>
              <w:t>7.3624</w:t>
            </w:r>
          </w:p>
        </w:tc>
      </w:tr>
    </w:tbl>
    <w:p w14:paraId="76699E91">
      <w:pPr>
        <w:pStyle w:val="48"/>
        <w:spacing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2、行业及生产工艺（M）</w:t>
      </w:r>
    </w:p>
    <w:p w14:paraId="6D854D3E">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本项目所属行业为危险废物综合利用行业及废弃资源综合利用行业，生产工艺过程涉及《建设项目环境风险评价技术导则》（HJ/T 169—2018）附录C中表C.1中“其他”中的“涉及危险物质使用、贮存的项目”。根据导则中评估依据，将M值划分为M＞20、10＜M≤20、5＜M≤10、M=10，分别以M1、M2、M3、M4表示。</w:t>
      </w:r>
    </w:p>
    <w:p w14:paraId="7169A7CC">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表9.3-3 建设项目M值确定表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13"/>
        <w:gridCol w:w="4568"/>
        <w:gridCol w:w="917"/>
        <w:gridCol w:w="1316"/>
        <w:gridCol w:w="808"/>
      </w:tblGrid>
      <w:tr w14:paraId="2DDC8F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Merge w:val="restart"/>
            <w:tcBorders>
              <w:tl2br w:val="nil"/>
              <w:tr2bl w:val="nil"/>
            </w:tcBorders>
            <w:vAlign w:val="center"/>
          </w:tcPr>
          <w:p w14:paraId="306EEC79">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行业</w:t>
            </w:r>
          </w:p>
        </w:tc>
        <w:tc>
          <w:tcPr>
            <w:tcW w:w="3217" w:type="pct"/>
            <w:gridSpan w:val="2"/>
            <w:tcBorders>
              <w:tl2br w:val="nil"/>
              <w:tr2bl w:val="nil"/>
            </w:tcBorders>
            <w:vAlign w:val="center"/>
          </w:tcPr>
          <w:p w14:paraId="27F0B82C">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评估依托</w:t>
            </w:r>
          </w:p>
        </w:tc>
        <w:tc>
          <w:tcPr>
            <w:tcW w:w="772" w:type="pct"/>
            <w:vMerge w:val="restart"/>
            <w:tcBorders>
              <w:tl2br w:val="nil"/>
              <w:tr2bl w:val="nil"/>
            </w:tcBorders>
            <w:vAlign w:val="center"/>
          </w:tcPr>
          <w:p w14:paraId="58AACD77">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企业情况</w:t>
            </w:r>
          </w:p>
        </w:tc>
        <w:tc>
          <w:tcPr>
            <w:tcW w:w="475" w:type="pct"/>
            <w:vMerge w:val="restart"/>
            <w:tcBorders>
              <w:tl2br w:val="nil"/>
              <w:tr2bl w:val="nil"/>
            </w:tcBorders>
            <w:vAlign w:val="center"/>
          </w:tcPr>
          <w:p w14:paraId="3423566F">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企业分值</w:t>
            </w:r>
          </w:p>
        </w:tc>
      </w:tr>
      <w:tr w14:paraId="05CEF2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Merge w:val="continue"/>
            <w:tcBorders>
              <w:tl2br w:val="nil"/>
              <w:tr2bl w:val="nil"/>
            </w:tcBorders>
            <w:vAlign w:val="center"/>
          </w:tcPr>
          <w:p w14:paraId="44479EB7">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p>
        </w:tc>
        <w:tc>
          <w:tcPr>
            <w:tcW w:w="2680" w:type="pct"/>
            <w:tcBorders>
              <w:tl2br w:val="nil"/>
              <w:tr2bl w:val="nil"/>
            </w:tcBorders>
            <w:vAlign w:val="center"/>
          </w:tcPr>
          <w:p w14:paraId="18BADE28">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依据内容</w:t>
            </w:r>
          </w:p>
        </w:tc>
        <w:tc>
          <w:tcPr>
            <w:tcW w:w="538" w:type="pct"/>
            <w:tcBorders>
              <w:tl2br w:val="nil"/>
              <w:tr2bl w:val="nil"/>
            </w:tcBorders>
            <w:vAlign w:val="center"/>
          </w:tcPr>
          <w:p w14:paraId="5BEADEC5">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分值</w:t>
            </w:r>
          </w:p>
        </w:tc>
        <w:tc>
          <w:tcPr>
            <w:tcW w:w="772" w:type="pct"/>
            <w:vMerge w:val="continue"/>
            <w:tcBorders>
              <w:tl2br w:val="nil"/>
              <w:tr2bl w:val="nil"/>
            </w:tcBorders>
            <w:vAlign w:val="center"/>
          </w:tcPr>
          <w:p w14:paraId="50B5E8F9">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p>
        </w:tc>
        <w:tc>
          <w:tcPr>
            <w:tcW w:w="475" w:type="pct"/>
            <w:vMerge w:val="continue"/>
            <w:tcBorders>
              <w:tl2br w:val="nil"/>
              <w:tr2bl w:val="nil"/>
            </w:tcBorders>
            <w:vAlign w:val="center"/>
          </w:tcPr>
          <w:p w14:paraId="0BC085B2">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p>
        </w:tc>
      </w:tr>
      <w:tr w14:paraId="0F4EA0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Merge w:val="restart"/>
            <w:tcBorders>
              <w:tl2br w:val="nil"/>
              <w:tr2bl w:val="nil"/>
            </w:tcBorders>
            <w:vAlign w:val="center"/>
          </w:tcPr>
          <w:p w14:paraId="5275F48E">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石化、化工、</w:t>
            </w:r>
          </w:p>
          <w:p w14:paraId="7AC18AFE">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医药、轻工、</w:t>
            </w:r>
          </w:p>
          <w:p w14:paraId="4FEAB313">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化纤、有色</w:t>
            </w:r>
          </w:p>
          <w:p w14:paraId="6EC0E4FD">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冶炼等</w:t>
            </w:r>
          </w:p>
        </w:tc>
        <w:tc>
          <w:tcPr>
            <w:tcW w:w="2680" w:type="pct"/>
            <w:tcBorders>
              <w:tl2br w:val="nil"/>
              <w:tr2bl w:val="nil"/>
            </w:tcBorders>
            <w:vAlign w:val="center"/>
          </w:tcPr>
          <w:p w14:paraId="66858461">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涉及光气及光气化工艺、电解工艺（氯碱）、氯化工艺、硝化工艺、合成 氨工艺、裂解（裂化）工艺、氟化工艺、加氢工艺、重氮化工艺、氧化 工艺、过氧化工艺、胺基化工艺、磺化工艺、聚合工艺、烷基化工艺、新型煤化工工艺、电石生产工艺、偶氮化工艺</w:t>
            </w:r>
          </w:p>
        </w:tc>
        <w:tc>
          <w:tcPr>
            <w:tcW w:w="538" w:type="pct"/>
            <w:tcBorders>
              <w:tl2br w:val="nil"/>
              <w:tr2bl w:val="nil"/>
            </w:tcBorders>
            <w:vAlign w:val="center"/>
          </w:tcPr>
          <w:p w14:paraId="39B26539">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10分/每套</w:t>
            </w:r>
          </w:p>
        </w:tc>
        <w:tc>
          <w:tcPr>
            <w:tcW w:w="772" w:type="pct"/>
            <w:vMerge w:val="restart"/>
            <w:tcBorders>
              <w:tl2br w:val="nil"/>
              <w:tr2bl w:val="nil"/>
            </w:tcBorders>
            <w:vAlign w:val="center"/>
          </w:tcPr>
          <w:p w14:paraId="3F2CD9A6">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不涉及</w:t>
            </w:r>
          </w:p>
        </w:tc>
        <w:tc>
          <w:tcPr>
            <w:tcW w:w="475" w:type="pct"/>
            <w:vMerge w:val="restart"/>
            <w:tcBorders>
              <w:tl2br w:val="nil"/>
              <w:tr2bl w:val="nil"/>
            </w:tcBorders>
            <w:vAlign w:val="center"/>
          </w:tcPr>
          <w:p w14:paraId="20D05696">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14:paraId="559437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Merge w:val="continue"/>
            <w:tcBorders>
              <w:tl2br w:val="nil"/>
              <w:tr2bl w:val="nil"/>
            </w:tcBorders>
            <w:vAlign w:val="center"/>
          </w:tcPr>
          <w:p w14:paraId="1055A63F">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p>
        </w:tc>
        <w:tc>
          <w:tcPr>
            <w:tcW w:w="2680" w:type="pct"/>
            <w:tcBorders>
              <w:tl2br w:val="nil"/>
              <w:tr2bl w:val="nil"/>
            </w:tcBorders>
            <w:vAlign w:val="center"/>
          </w:tcPr>
          <w:p w14:paraId="40D23A47">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无机酸制酸工艺、焦化工艺</w:t>
            </w:r>
          </w:p>
        </w:tc>
        <w:tc>
          <w:tcPr>
            <w:tcW w:w="538" w:type="pct"/>
            <w:tcBorders>
              <w:tl2br w:val="nil"/>
              <w:tr2bl w:val="nil"/>
            </w:tcBorders>
            <w:vAlign w:val="center"/>
          </w:tcPr>
          <w:p w14:paraId="17F59DC8">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5分/每套</w:t>
            </w:r>
          </w:p>
        </w:tc>
        <w:tc>
          <w:tcPr>
            <w:tcW w:w="772" w:type="pct"/>
            <w:vMerge w:val="continue"/>
            <w:tcBorders>
              <w:tl2br w:val="nil"/>
              <w:tr2bl w:val="nil"/>
            </w:tcBorders>
            <w:vAlign w:val="center"/>
          </w:tcPr>
          <w:p w14:paraId="7B20959B">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p>
        </w:tc>
        <w:tc>
          <w:tcPr>
            <w:tcW w:w="475" w:type="pct"/>
            <w:vMerge w:val="continue"/>
            <w:tcBorders>
              <w:tl2br w:val="nil"/>
              <w:tr2bl w:val="nil"/>
            </w:tcBorders>
            <w:vAlign w:val="center"/>
          </w:tcPr>
          <w:p w14:paraId="4C21FF78">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p>
        </w:tc>
      </w:tr>
      <w:tr w14:paraId="1DB80C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vMerge w:val="continue"/>
            <w:tcBorders>
              <w:tl2br w:val="nil"/>
              <w:tr2bl w:val="nil"/>
            </w:tcBorders>
            <w:vAlign w:val="center"/>
          </w:tcPr>
          <w:p w14:paraId="52D2C5A8">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p>
        </w:tc>
        <w:tc>
          <w:tcPr>
            <w:tcW w:w="2680" w:type="pct"/>
            <w:tcBorders>
              <w:tl2br w:val="nil"/>
              <w:tr2bl w:val="nil"/>
            </w:tcBorders>
            <w:vAlign w:val="center"/>
          </w:tcPr>
          <w:p w14:paraId="33A36CEE">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其他高温或高压，且涉及危险物质的工艺过程a、危险物质贮存罐区</w:t>
            </w:r>
          </w:p>
        </w:tc>
        <w:tc>
          <w:tcPr>
            <w:tcW w:w="538" w:type="pct"/>
            <w:tcBorders>
              <w:tl2br w:val="nil"/>
              <w:tr2bl w:val="nil"/>
            </w:tcBorders>
            <w:vAlign w:val="center"/>
          </w:tcPr>
          <w:p w14:paraId="2C743875">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5分/每套（罐</w:t>
            </w:r>
          </w:p>
          <w:p w14:paraId="26B6AE8C">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区）</w:t>
            </w:r>
          </w:p>
        </w:tc>
        <w:tc>
          <w:tcPr>
            <w:tcW w:w="772" w:type="pct"/>
            <w:vMerge w:val="continue"/>
            <w:tcBorders>
              <w:tl2br w:val="nil"/>
              <w:tr2bl w:val="nil"/>
            </w:tcBorders>
            <w:vAlign w:val="center"/>
          </w:tcPr>
          <w:p w14:paraId="2E0326BE">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p>
        </w:tc>
        <w:tc>
          <w:tcPr>
            <w:tcW w:w="475" w:type="pct"/>
            <w:vMerge w:val="continue"/>
            <w:tcBorders>
              <w:tl2br w:val="nil"/>
              <w:tr2bl w:val="nil"/>
            </w:tcBorders>
            <w:vAlign w:val="center"/>
          </w:tcPr>
          <w:p w14:paraId="58834888">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p>
        </w:tc>
      </w:tr>
      <w:tr w14:paraId="0506B7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tcBorders>
              <w:tl2br w:val="nil"/>
              <w:tr2bl w:val="nil"/>
            </w:tcBorders>
            <w:vAlign w:val="center"/>
          </w:tcPr>
          <w:p w14:paraId="0EE49A30">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管道、港口/</w:t>
            </w:r>
          </w:p>
          <w:p w14:paraId="0F5AB99D">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码头等</w:t>
            </w:r>
          </w:p>
        </w:tc>
        <w:tc>
          <w:tcPr>
            <w:tcW w:w="2680" w:type="pct"/>
            <w:tcBorders>
              <w:tl2br w:val="nil"/>
              <w:tr2bl w:val="nil"/>
            </w:tcBorders>
            <w:vAlign w:val="center"/>
          </w:tcPr>
          <w:p w14:paraId="13104CD3">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涉及危险物质管道运输项目、港口/码头等</w:t>
            </w:r>
          </w:p>
        </w:tc>
        <w:tc>
          <w:tcPr>
            <w:tcW w:w="538" w:type="pct"/>
            <w:tcBorders>
              <w:tl2br w:val="nil"/>
              <w:tr2bl w:val="nil"/>
            </w:tcBorders>
            <w:vAlign w:val="center"/>
          </w:tcPr>
          <w:p w14:paraId="5857A088">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 分/套</w:t>
            </w:r>
          </w:p>
        </w:tc>
        <w:tc>
          <w:tcPr>
            <w:tcW w:w="772" w:type="pct"/>
            <w:tcBorders>
              <w:tl2br w:val="nil"/>
              <w:tr2bl w:val="nil"/>
            </w:tcBorders>
            <w:vAlign w:val="center"/>
          </w:tcPr>
          <w:p w14:paraId="0821E1D8">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本项目的收集运输不涉及管道、港口/码头，转运运输外委</w:t>
            </w:r>
          </w:p>
        </w:tc>
        <w:tc>
          <w:tcPr>
            <w:tcW w:w="475" w:type="pct"/>
            <w:tcBorders>
              <w:tl2br w:val="nil"/>
              <w:tr2bl w:val="nil"/>
            </w:tcBorders>
            <w:vAlign w:val="center"/>
          </w:tcPr>
          <w:p w14:paraId="110735BA">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14:paraId="228AFCE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tcBorders>
              <w:tl2br w:val="nil"/>
              <w:tr2bl w:val="nil"/>
            </w:tcBorders>
            <w:vAlign w:val="center"/>
          </w:tcPr>
          <w:p w14:paraId="36F158D1">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石油天然气</w:t>
            </w:r>
          </w:p>
        </w:tc>
        <w:tc>
          <w:tcPr>
            <w:tcW w:w="2680" w:type="pct"/>
            <w:tcBorders>
              <w:tl2br w:val="nil"/>
              <w:tr2bl w:val="nil"/>
            </w:tcBorders>
            <w:vAlign w:val="center"/>
          </w:tcPr>
          <w:p w14:paraId="7B57C300">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石油、天然气、页岩气开采（含净化），气库（不含加气站的气库），油库（不含加气站的油库）、油气管b（不含城镇燃气管线）</w:t>
            </w:r>
          </w:p>
        </w:tc>
        <w:tc>
          <w:tcPr>
            <w:tcW w:w="538" w:type="pct"/>
            <w:tcBorders>
              <w:tl2br w:val="nil"/>
              <w:tr2bl w:val="nil"/>
            </w:tcBorders>
            <w:vAlign w:val="center"/>
          </w:tcPr>
          <w:p w14:paraId="12F13DD8">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10分/套</w:t>
            </w:r>
          </w:p>
        </w:tc>
        <w:tc>
          <w:tcPr>
            <w:tcW w:w="772" w:type="pct"/>
            <w:tcBorders>
              <w:tl2br w:val="nil"/>
              <w:tr2bl w:val="nil"/>
            </w:tcBorders>
            <w:vAlign w:val="center"/>
          </w:tcPr>
          <w:p w14:paraId="39AC5943">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不涉及</w:t>
            </w:r>
          </w:p>
        </w:tc>
        <w:tc>
          <w:tcPr>
            <w:tcW w:w="475" w:type="pct"/>
            <w:tcBorders>
              <w:tl2br w:val="nil"/>
              <w:tr2bl w:val="nil"/>
            </w:tcBorders>
            <w:vAlign w:val="center"/>
          </w:tcPr>
          <w:p w14:paraId="4216CFE2">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w:t>
            </w:r>
          </w:p>
        </w:tc>
      </w:tr>
      <w:tr w14:paraId="394674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36" w:type="pct"/>
            <w:tcBorders>
              <w:tl2br w:val="nil"/>
              <w:tr2bl w:val="nil"/>
            </w:tcBorders>
            <w:vAlign w:val="center"/>
          </w:tcPr>
          <w:p w14:paraId="2976E2B3">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其他</w:t>
            </w:r>
          </w:p>
        </w:tc>
        <w:tc>
          <w:tcPr>
            <w:tcW w:w="2680" w:type="pct"/>
            <w:tcBorders>
              <w:tl2br w:val="nil"/>
              <w:tr2bl w:val="nil"/>
            </w:tcBorders>
            <w:vAlign w:val="center"/>
          </w:tcPr>
          <w:p w14:paraId="2BE496C0">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涉及危险物质使用、贮存的项目</w:t>
            </w:r>
          </w:p>
        </w:tc>
        <w:tc>
          <w:tcPr>
            <w:tcW w:w="538" w:type="pct"/>
            <w:tcBorders>
              <w:tl2br w:val="nil"/>
              <w:tr2bl w:val="nil"/>
            </w:tcBorders>
            <w:vAlign w:val="center"/>
          </w:tcPr>
          <w:p w14:paraId="022016A0">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5分/套</w:t>
            </w:r>
          </w:p>
        </w:tc>
        <w:tc>
          <w:tcPr>
            <w:tcW w:w="772" w:type="pct"/>
            <w:tcBorders>
              <w:tl2br w:val="nil"/>
              <w:tr2bl w:val="nil"/>
            </w:tcBorders>
            <w:vAlign w:val="center"/>
          </w:tcPr>
          <w:p w14:paraId="4A04DF8E">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本项目为危险废物贮存和利用项目</w:t>
            </w:r>
          </w:p>
        </w:tc>
        <w:tc>
          <w:tcPr>
            <w:tcW w:w="475" w:type="pct"/>
            <w:tcBorders>
              <w:tl2br w:val="nil"/>
              <w:tr2bl w:val="nil"/>
            </w:tcBorders>
            <w:vAlign w:val="center"/>
          </w:tcPr>
          <w:p w14:paraId="0EFFBF56">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14:paraId="5769BB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tcBorders>
              <w:tl2br w:val="nil"/>
              <w:tr2bl w:val="nil"/>
            </w:tcBorders>
            <w:vAlign w:val="center"/>
          </w:tcPr>
          <w:p w14:paraId="414ED2D1">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a、高温指工艺温度≥300 ℃，高压指压力容器的设计压力（P）≥10.0 MPa；</w:t>
            </w:r>
          </w:p>
          <w:p w14:paraId="0F5B47DC">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b、长输管道运输项目应按站场、管线分段进行评价。</w:t>
            </w:r>
          </w:p>
        </w:tc>
      </w:tr>
      <w:tr w14:paraId="5BC44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754" w:type="pct"/>
            <w:gridSpan w:val="3"/>
            <w:tcBorders>
              <w:tl2br w:val="nil"/>
              <w:tr2bl w:val="nil"/>
            </w:tcBorders>
            <w:vAlign w:val="center"/>
          </w:tcPr>
          <w:p w14:paraId="73D50B19">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判定结果</w:t>
            </w:r>
          </w:p>
        </w:tc>
        <w:tc>
          <w:tcPr>
            <w:tcW w:w="1246" w:type="pct"/>
            <w:gridSpan w:val="2"/>
            <w:tcBorders>
              <w:tl2br w:val="nil"/>
              <w:tr2bl w:val="nil"/>
            </w:tcBorders>
            <w:vAlign w:val="center"/>
          </w:tcPr>
          <w:p w14:paraId="38058E56">
            <w:pPr>
              <w:pStyle w:val="72"/>
              <w:keepNext w:val="0"/>
              <w:keepLines w:val="0"/>
              <w:suppressLineNumbers w:val="0"/>
              <w:snapToGrid w:val="0"/>
              <w:spacing w:before="0" w:beforeAutospacing="0" w:after="0" w:afterAutospacing="0" w:line="240" w:lineRule="auto"/>
              <w:ind w:left="0" w:right="0" w:firstLine="0"/>
              <w:jc w:val="center"/>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M3</w:t>
            </w:r>
          </w:p>
        </w:tc>
      </w:tr>
    </w:tbl>
    <w:p w14:paraId="25546FF6">
      <w:pPr>
        <w:pStyle w:val="12"/>
        <w:spacing w:line="360" w:lineRule="auto"/>
        <w:ind w:left="0" w:firstLine="480" w:firstLineChars="200"/>
        <w:rPr>
          <w:rFonts w:hint="default" w:ascii="Times New Roman" w:hAnsi="Times New Roman" w:eastAsia="宋体" w:cs="Times New Roman"/>
        </w:rPr>
      </w:pPr>
      <w:r>
        <w:rPr>
          <w:rFonts w:hint="default" w:ascii="Times New Roman" w:hAnsi="Times New Roman" w:eastAsia="宋体" w:cs="Times New Roman"/>
        </w:rPr>
        <w:t>3、危险物质及工艺系统危险性P分级</w:t>
      </w:r>
    </w:p>
    <w:p w14:paraId="64C31756">
      <w:pPr>
        <w:pStyle w:val="12"/>
        <w:spacing w:line="360" w:lineRule="auto"/>
        <w:ind w:left="0" w:firstLine="480" w:firstLineChars="200"/>
        <w:rPr>
          <w:rFonts w:hint="default" w:ascii="Times New Roman" w:hAnsi="Times New Roman" w:eastAsia="宋体" w:cs="Times New Roman"/>
        </w:rPr>
      </w:pPr>
      <w:r>
        <w:rPr>
          <w:rFonts w:hint="default" w:ascii="Times New Roman" w:hAnsi="Times New Roman" w:eastAsia="宋体" w:cs="Times New Roman"/>
        </w:rPr>
        <w:t>根据危险物质数量与临界量比值Q（</w:t>
      </w:r>
      <w:r>
        <w:rPr>
          <w:rFonts w:hint="default" w:ascii="Times New Roman" w:hAnsi="Times New Roman" w:eastAsia="宋体" w:cs="Times New Roman"/>
          <w:lang w:eastAsia="zh-CN"/>
        </w:rPr>
        <w:t>7.3624</w:t>
      </w:r>
      <w:r>
        <w:rPr>
          <w:rFonts w:hint="default" w:ascii="Times New Roman" w:hAnsi="Times New Roman" w:eastAsia="宋体" w:cs="Times New Roman"/>
        </w:rPr>
        <w:t>4）和行业生产工艺M（M3），按照下表确定危险物质及工艺系统危险性等级为P4。</w:t>
      </w:r>
    </w:p>
    <w:p w14:paraId="52CF75AE">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表9.3-4 危险物质及工艺系统危险性等级判断（P）</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795"/>
        <w:gridCol w:w="1636"/>
        <w:gridCol w:w="1637"/>
        <w:gridCol w:w="1637"/>
        <w:gridCol w:w="1631"/>
      </w:tblGrid>
      <w:tr w14:paraId="0CC08E6C">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10" w:hRule="atLeast"/>
        </w:trPr>
        <w:tc>
          <w:tcPr>
            <w:tcW w:w="1077" w:type="pct"/>
            <w:vMerge w:val="restart"/>
            <w:vAlign w:val="center"/>
          </w:tcPr>
          <w:p w14:paraId="5FDBC801">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危险物质数量与临界量比值（Q）</w:t>
            </w:r>
          </w:p>
        </w:tc>
        <w:tc>
          <w:tcPr>
            <w:tcW w:w="3923" w:type="pct"/>
            <w:gridSpan w:val="4"/>
            <w:vAlign w:val="center"/>
          </w:tcPr>
          <w:p w14:paraId="63272A9F">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行业及生产工艺（M）</w:t>
            </w:r>
          </w:p>
        </w:tc>
      </w:tr>
      <w:tr w14:paraId="39B0A4E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1077" w:type="pct"/>
            <w:vMerge w:val="continue"/>
            <w:vAlign w:val="center"/>
          </w:tcPr>
          <w:p w14:paraId="65D41C59">
            <w:pPr>
              <w:autoSpaceDE w:val="0"/>
              <w:autoSpaceDN w:val="0"/>
              <w:jc w:val="center"/>
              <w:rPr>
                <w:rFonts w:hint="default" w:ascii="Times New Roman" w:hAnsi="Times New Roman" w:eastAsia="宋体" w:cs="Times New Roman"/>
                <w:kern w:val="0"/>
                <w:sz w:val="2"/>
                <w:szCs w:val="2"/>
                <w:lang w:eastAsia="zh-CN"/>
              </w:rPr>
            </w:pPr>
          </w:p>
        </w:tc>
        <w:tc>
          <w:tcPr>
            <w:tcW w:w="981" w:type="pct"/>
            <w:vAlign w:val="center"/>
          </w:tcPr>
          <w:p w14:paraId="34B078A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M1</w:t>
            </w:r>
          </w:p>
        </w:tc>
        <w:tc>
          <w:tcPr>
            <w:tcW w:w="982" w:type="pct"/>
            <w:vAlign w:val="center"/>
          </w:tcPr>
          <w:p w14:paraId="3A8F6F0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M2</w:t>
            </w:r>
          </w:p>
        </w:tc>
        <w:tc>
          <w:tcPr>
            <w:tcW w:w="982" w:type="pct"/>
            <w:vAlign w:val="center"/>
          </w:tcPr>
          <w:p w14:paraId="07D66DF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M3</w:t>
            </w:r>
          </w:p>
        </w:tc>
        <w:tc>
          <w:tcPr>
            <w:tcW w:w="978" w:type="pct"/>
            <w:vAlign w:val="center"/>
          </w:tcPr>
          <w:p w14:paraId="0316D49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M4</w:t>
            </w:r>
          </w:p>
        </w:tc>
      </w:tr>
      <w:tr w14:paraId="39AFC43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29" w:hRule="atLeast"/>
        </w:trPr>
        <w:tc>
          <w:tcPr>
            <w:tcW w:w="1077" w:type="pct"/>
            <w:vAlign w:val="center"/>
          </w:tcPr>
          <w:p w14:paraId="240FDFA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Q≥100</w:t>
            </w:r>
          </w:p>
        </w:tc>
        <w:tc>
          <w:tcPr>
            <w:tcW w:w="981" w:type="pct"/>
            <w:vAlign w:val="center"/>
          </w:tcPr>
          <w:p w14:paraId="13FD1BF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P1</w:t>
            </w:r>
          </w:p>
        </w:tc>
        <w:tc>
          <w:tcPr>
            <w:tcW w:w="982" w:type="pct"/>
            <w:vAlign w:val="center"/>
          </w:tcPr>
          <w:p w14:paraId="09A3E03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P1</w:t>
            </w:r>
          </w:p>
        </w:tc>
        <w:tc>
          <w:tcPr>
            <w:tcW w:w="982" w:type="pct"/>
            <w:vAlign w:val="center"/>
          </w:tcPr>
          <w:p w14:paraId="007AFF9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P2</w:t>
            </w:r>
          </w:p>
        </w:tc>
        <w:tc>
          <w:tcPr>
            <w:tcW w:w="978" w:type="pct"/>
            <w:vAlign w:val="center"/>
          </w:tcPr>
          <w:p w14:paraId="724E488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P3</w:t>
            </w:r>
          </w:p>
        </w:tc>
      </w:tr>
      <w:tr w14:paraId="2263E0F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77" w:type="pct"/>
            <w:vAlign w:val="center"/>
          </w:tcPr>
          <w:p w14:paraId="5703B7A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10≤Q＜100</w:t>
            </w:r>
          </w:p>
        </w:tc>
        <w:tc>
          <w:tcPr>
            <w:tcW w:w="981" w:type="pct"/>
            <w:vAlign w:val="center"/>
          </w:tcPr>
          <w:p w14:paraId="1E0AD6E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P1</w:t>
            </w:r>
          </w:p>
        </w:tc>
        <w:tc>
          <w:tcPr>
            <w:tcW w:w="982" w:type="pct"/>
            <w:vAlign w:val="center"/>
          </w:tcPr>
          <w:p w14:paraId="2E2463A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P2</w:t>
            </w:r>
          </w:p>
        </w:tc>
        <w:tc>
          <w:tcPr>
            <w:tcW w:w="982" w:type="pct"/>
            <w:tcBorders>
              <w:bottom w:val="single" w:color="000000" w:sz="6" w:space="0"/>
            </w:tcBorders>
            <w:vAlign w:val="center"/>
          </w:tcPr>
          <w:p w14:paraId="54240B6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P3</w:t>
            </w:r>
          </w:p>
        </w:tc>
        <w:tc>
          <w:tcPr>
            <w:tcW w:w="978" w:type="pct"/>
            <w:vAlign w:val="center"/>
          </w:tcPr>
          <w:p w14:paraId="5C68487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P4</w:t>
            </w:r>
          </w:p>
        </w:tc>
      </w:tr>
      <w:tr w14:paraId="7A249D8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1077" w:type="pct"/>
            <w:vAlign w:val="center"/>
          </w:tcPr>
          <w:p w14:paraId="24F7811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1≤Q＜10</w:t>
            </w:r>
          </w:p>
        </w:tc>
        <w:tc>
          <w:tcPr>
            <w:tcW w:w="981" w:type="pct"/>
            <w:vAlign w:val="center"/>
          </w:tcPr>
          <w:p w14:paraId="4047A53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P2</w:t>
            </w:r>
          </w:p>
        </w:tc>
        <w:tc>
          <w:tcPr>
            <w:tcW w:w="982" w:type="pct"/>
            <w:vAlign w:val="center"/>
          </w:tcPr>
          <w:p w14:paraId="6BA07F9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P3</w:t>
            </w:r>
          </w:p>
        </w:tc>
        <w:tc>
          <w:tcPr>
            <w:tcW w:w="982" w:type="pct"/>
            <w:tcBorders>
              <w:top w:val="single" w:color="000000" w:sz="6" w:space="0"/>
              <w:bottom w:val="single" w:color="000000" w:sz="12" w:space="0"/>
            </w:tcBorders>
            <w:shd w:val="clear" w:color="auto" w:fill="FFC000"/>
            <w:vAlign w:val="center"/>
          </w:tcPr>
          <w:p w14:paraId="2291969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P4</w:t>
            </w:r>
          </w:p>
        </w:tc>
        <w:tc>
          <w:tcPr>
            <w:tcW w:w="978" w:type="pct"/>
            <w:vAlign w:val="center"/>
          </w:tcPr>
          <w:p w14:paraId="506C275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P4</w:t>
            </w:r>
          </w:p>
        </w:tc>
      </w:tr>
    </w:tbl>
    <w:p w14:paraId="02EB4CDC">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9.3.3 E的分级确定</w:t>
      </w:r>
    </w:p>
    <w:p w14:paraId="6A4F63DC">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根据现场踏勘调查结果，本项目环境敏感特征如下表所示。</w:t>
      </w:r>
    </w:p>
    <w:p w14:paraId="06F97DA1">
      <w:pPr>
        <w:pStyle w:val="48"/>
        <w:spacing w:before="0" w:line="360" w:lineRule="auto"/>
        <w:ind w:firstLine="422"/>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表9.3-5 建设项目环境敏感特征表</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500"/>
        <w:gridCol w:w="1075"/>
        <w:gridCol w:w="1419"/>
        <w:gridCol w:w="1172"/>
        <w:gridCol w:w="410"/>
        <w:gridCol w:w="745"/>
        <w:gridCol w:w="142"/>
        <w:gridCol w:w="607"/>
        <w:gridCol w:w="689"/>
        <w:gridCol w:w="203"/>
        <w:gridCol w:w="1374"/>
      </w:tblGrid>
      <w:tr w14:paraId="34F4D40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7" w:hRule="atLeast"/>
        </w:trPr>
        <w:tc>
          <w:tcPr>
            <w:tcW w:w="300" w:type="pct"/>
            <w:vAlign w:val="center"/>
          </w:tcPr>
          <w:p w14:paraId="45588336">
            <w:pPr>
              <w:pStyle w:val="60"/>
              <w:rPr>
                <w:rFonts w:hint="default" w:ascii="Times New Roman" w:hAnsi="Times New Roman" w:eastAsia="宋体" w:cs="Times New Roman"/>
                <w:sz w:val="20"/>
                <w:lang w:eastAsia="en-US"/>
              </w:rPr>
            </w:pPr>
            <w:r>
              <w:rPr>
                <w:rFonts w:hint="default" w:ascii="Times New Roman" w:hAnsi="Times New Roman" w:eastAsia="宋体" w:cs="Times New Roman"/>
                <w:sz w:val="21"/>
                <w:lang w:eastAsia="en-US"/>
              </w:rPr>
              <w:t>环境空气</w:t>
            </w:r>
          </w:p>
        </w:tc>
        <w:tc>
          <w:tcPr>
            <w:tcW w:w="3876" w:type="pct"/>
            <w:gridSpan w:val="9"/>
            <w:vAlign w:val="center"/>
          </w:tcPr>
          <w:p w14:paraId="620485BB">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大气环境敏感程度E值</w:t>
            </w:r>
          </w:p>
        </w:tc>
        <w:tc>
          <w:tcPr>
            <w:tcW w:w="824" w:type="pct"/>
            <w:vAlign w:val="center"/>
          </w:tcPr>
          <w:p w14:paraId="1C796D58">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en-US"/>
              </w:rPr>
              <w:t>E2</w:t>
            </w:r>
          </w:p>
        </w:tc>
      </w:tr>
      <w:tr w14:paraId="4981C97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0" w:type="pct"/>
            <w:vMerge w:val="restart"/>
            <w:vAlign w:val="center"/>
          </w:tcPr>
          <w:p w14:paraId="1DC5402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地表水</w:t>
            </w:r>
          </w:p>
        </w:tc>
        <w:tc>
          <w:tcPr>
            <w:tcW w:w="4700" w:type="pct"/>
            <w:gridSpan w:val="10"/>
            <w:vAlign w:val="center"/>
          </w:tcPr>
          <w:p w14:paraId="45819F6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受纳水体</w:t>
            </w:r>
          </w:p>
        </w:tc>
      </w:tr>
      <w:tr w14:paraId="0491824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0" w:type="pct"/>
            <w:vMerge w:val="continue"/>
            <w:vAlign w:val="center"/>
          </w:tcPr>
          <w:p w14:paraId="53CCAF33">
            <w:pPr>
              <w:autoSpaceDE w:val="0"/>
              <w:autoSpaceDN w:val="0"/>
              <w:jc w:val="center"/>
              <w:rPr>
                <w:rFonts w:hint="default" w:ascii="Times New Roman" w:hAnsi="Times New Roman" w:eastAsia="宋体" w:cs="Times New Roman"/>
                <w:kern w:val="0"/>
                <w:sz w:val="2"/>
                <w:szCs w:val="2"/>
                <w:lang w:eastAsia="en-US"/>
              </w:rPr>
            </w:pPr>
          </w:p>
        </w:tc>
        <w:tc>
          <w:tcPr>
            <w:tcW w:w="645" w:type="pct"/>
            <w:vAlign w:val="center"/>
          </w:tcPr>
          <w:p w14:paraId="1CDEBD1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序号</w:t>
            </w:r>
          </w:p>
        </w:tc>
        <w:tc>
          <w:tcPr>
            <w:tcW w:w="851" w:type="pct"/>
            <w:vAlign w:val="center"/>
          </w:tcPr>
          <w:p w14:paraId="0F8BAA8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受纳水体名称</w:t>
            </w:r>
          </w:p>
        </w:tc>
        <w:tc>
          <w:tcPr>
            <w:tcW w:w="1481" w:type="pct"/>
            <w:gridSpan w:val="4"/>
            <w:vAlign w:val="center"/>
          </w:tcPr>
          <w:p w14:paraId="129B80A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排放点水域环境功能</w:t>
            </w:r>
          </w:p>
        </w:tc>
        <w:tc>
          <w:tcPr>
            <w:tcW w:w="1723" w:type="pct"/>
            <w:gridSpan w:val="4"/>
            <w:vAlign w:val="center"/>
          </w:tcPr>
          <w:p w14:paraId="5278426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24h内流经范围/km</w:t>
            </w:r>
          </w:p>
        </w:tc>
      </w:tr>
      <w:tr w14:paraId="2AAFAA4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00" w:type="pct"/>
            <w:vMerge w:val="continue"/>
            <w:vAlign w:val="center"/>
          </w:tcPr>
          <w:p w14:paraId="5E37252B">
            <w:pPr>
              <w:autoSpaceDE w:val="0"/>
              <w:autoSpaceDN w:val="0"/>
              <w:jc w:val="center"/>
              <w:rPr>
                <w:rFonts w:hint="default" w:ascii="Times New Roman" w:hAnsi="Times New Roman" w:eastAsia="宋体" w:cs="Times New Roman"/>
                <w:kern w:val="0"/>
                <w:sz w:val="2"/>
                <w:szCs w:val="2"/>
                <w:lang w:eastAsia="en-US"/>
              </w:rPr>
            </w:pPr>
          </w:p>
        </w:tc>
        <w:tc>
          <w:tcPr>
            <w:tcW w:w="645" w:type="pct"/>
            <w:vAlign w:val="center"/>
          </w:tcPr>
          <w:p w14:paraId="3D44011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w:t>
            </w:r>
          </w:p>
        </w:tc>
        <w:tc>
          <w:tcPr>
            <w:tcW w:w="851" w:type="pct"/>
            <w:vAlign w:val="center"/>
          </w:tcPr>
          <w:p w14:paraId="34437C0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zh-CN"/>
              </w:rPr>
              <w:t>湘江</w:t>
            </w:r>
          </w:p>
        </w:tc>
        <w:tc>
          <w:tcPr>
            <w:tcW w:w="1481" w:type="pct"/>
            <w:gridSpan w:val="4"/>
            <w:vAlign w:val="center"/>
          </w:tcPr>
          <w:p w14:paraId="17879F9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Ⅲ类标准</w:t>
            </w:r>
          </w:p>
        </w:tc>
        <w:tc>
          <w:tcPr>
            <w:tcW w:w="1723" w:type="pct"/>
            <w:gridSpan w:val="4"/>
            <w:vAlign w:val="center"/>
          </w:tcPr>
          <w:p w14:paraId="10D311B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15</w:t>
            </w:r>
          </w:p>
        </w:tc>
      </w:tr>
      <w:tr w14:paraId="4D51C03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0" w:type="pct"/>
            <w:vMerge w:val="continue"/>
            <w:vAlign w:val="center"/>
          </w:tcPr>
          <w:p w14:paraId="51122E1D">
            <w:pPr>
              <w:autoSpaceDE w:val="0"/>
              <w:autoSpaceDN w:val="0"/>
              <w:jc w:val="center"/>
              <w:rPr>
                <w:rFonts w:hint="default" w:ascii="Times New Roman" w:hAnsi="Times New Roman" w:eastAsia="宋体" w:cs="Times New Roman"/>
                <w:kern w:val="0"/>
                <w:sz w:val="2"/>
                <w:szCs w:val="2"/>
                <w:lang w:eastAsia="en-US"/>
              </w:rPr>
            </w:pPr>
          </w:p>
        </w:tc>
        <w:tc>
          <w:tcPr>
            <w:tcW w:w="4700" w:type="pct"/>
            <w:gridSpan w:val="10"/>
            <w:vAlign w:val="center"/>
          </w:tcPr>
          <w:p w14:paraId="14A59661">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内陆水体排放点下游10km范围内敏感目标</w:t>
            </w:r>
          </w:p>
        </w:tc>
      </w:tr>
      <w:tr w14:paraId="0FBFC6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0" w:type="pct"/>
            <w:vMerge w:val="continue"/>
            <w:vAlign w:val="center"/>
          </w:tcPr>
          <w:p w14:paraId="35C3E5F8">
            <w:pPr>
              <w:autoSpaceDE w:val="0"/>
              <w:autoSpaceDN w:val="0"/>
              <w:jc w:val="center"/>
              <w:rPr>
                <w:rFonts w:hint="default" w:ascii="Times New Roman" w:hAnsi="Times New Roman" w:eastAsia="宋体" w:cs="Times New Roman"/>
                <w:kern w:val="0"/>
                <w:sz w:val="2"/>
                <w:szCs w:val="2"/>
                <w:lang w:eastAsia="zh-CN"/>
              </w:rPr>
            </w:pPr>
          </w:p>
        </w:tc>
        <w:tc>
          <w:tcPr>
            <w:tcW w:w="645" w:type="pct"/>
            <w:vAlign w:val="center"/>
          </w:tcPr>
          <w:p w14:paraId="03DB86A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序号</w:t>
            </w:r>
          </w:p>
        </w:tc>
        <w:tc>
          <w:tcPr>
            <w:tcW w:w="851" w:type="pct"/>
            <w:vAlign w:val="center"/>
          </w:tcPr>
          <w:p w14:paraId="79FA0D5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敏感目标名称</w:t>
            </w:r>
          </w:p>
        </w:tc>
        <w:tc>
          <w:tcPr>
            <w:tcW w:w="949" w:type="pct"/>
            <w:gridSpan w:val="2"/>
            <w:vAlign w:val="center"/>
          </w:tcPr>
          <w:p w14:paraId="229B173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环境敏感特征</w:t>
            </w:r>
          </w:p>
        </w:tc>
        <w:tc>
          <w:tcPr>
            <w:tcW w:w="896" w:type="pct"/>
            <w:gridSpan w:val="3"/>
            <w:vAlign w:val="center"/>
          </w:tcPr>
          <w:p w14:paraId="58E242B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水质目标</w:t>
            </w:r>
          </w:p>
        </w:tc>
        <w:tc>
          <w:tcPr>
            <w:tcW w:w="1359" w:type="pct"/>
            <w:gridSpan w:val="3"/>
            <w:vAlign w:val="center"/>
          </w:tcPr>
          <w:p w14:paraId="1705EEC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与排放点距离/m</w:t>
            </w:r>
          </w:p>
        </w:tc>
      </w:tr>
      <w:tr w14:paraId="027C30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300" w:type="pct"/>
            <w:vMerge w:val="continue"/>
            <w:vAlign w:val="center"/>
          </w:tcPr>
          <w:p w14:paraId="28C49A4D">
            <w:pPr>
              <w:autoSpaceDE w:val="0"/>
              <w:autoSpaceDN w:val="0"/>
              <w:jc w:val="center"/>
              <w:rPr>
                <w:rFonts w:hint="default" w:ascii="Times New Roman" w:hAnsi="Times New Roman" w:eastAsia="宋体" w:cs="Times New Roman"/>
                <w:kern w:val="0"/>
                <w:sz w:val="2"/>
                <w:szCs w:val="2"/>
                <w:lang w:eastAsia="en-US"/>
              </w:rPr>
            </w:pPr>
          </w:p>
        </w:tc>
        <w:tc>
          <w:tcPr>
            <w:tcW w:w="645" w:type="pct"/>
            <w:vAlign w:val="center"/>
          </w:tcPr>
          <w:p w14:paraId="3F3D298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851" w:type="pct"/>
            <w:vAlign w:val="center"/>
          </w:tcPr>
          <w:p w14:paraId="4094364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无</w:t>
            </w:r>
          </w:p>
        </w:tc>
        <w:tc>
          <w:tcPr>
            <w:tcW w:w="949" w:type="pct"/>
            <w:gridSpan w:val="2"/>
            <w:vAlign w:val="center"/>
          </w:tcPr>
          <w:p w14:paraId="0E0773B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896" w:type="pct"/>
            <w:gridSpan w:val="3"/>
            <w:vAlign w:val="center"/>
          </w:tcPr>
          <w:p w14:paraId="4B47ACD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1359" w:type="pct"/>
            <w:gridSpan w:val="3"/>
            <w:vAlign w:val="center"/>
          </w:tcPr>
          <w:p w14:paraId="23E7080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03D0138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300" w:type="pct"/>
            <w:vMerge w:val="continue"/>
            <w:vAlign w:val="center"/>
          </w:tcPr>
          <w:p w14:paraId="36D1946D">
            <w:pPr>
              <w:autoSpaceDE w:val="0"/>
              <w:autoSpaceDN w:val="0"/>
              <w:jc w:val="center"/>
              <w:rPr>
                <w:rFonts w:hint="default" w:ascii="Times New Roman" w:hAnsi="Times New Roman" w:eastAsia="宋体" w:cs="Times New Roman"/>
                <w:kern w:val="0"/>
                <w:sz w:val="2"/>
                <w:szCs w:val="2"/>
                <w:lang w:eastAsia="en-US"/>
              </w:rPr>
            </w:pPr>
          </w:p>
        </w:tc>
        <w:tc>
          <w:tcPr>
            <w:tcW w:w="3754" w:type="pct"/>
            <w:gridSpan w:val="8"/>
            <w:vAlign w:val="center"/>
          </w:tcPr>
          <w:p w14:paraId="5AFC73C4">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地表水环境敏感程度E值</w:t>
            </w:r>
          </w:p>
        </w:tc>
        <w:tc>
          <w:tcPr>
            <w:tcW w:w="946" w:type="pct"/>
            <w:gridSpan w:val="2"/>
            <w:vAlign w:val="center"/>
          </w:tcPr>
          <w:p w14:paraId="4366658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E2（F2,S3）</w:t>
            </w:r>
          </w:p>
        </w:tc>
      </w:tr>
      <w:tr w14:paraId="3F45CE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534" w:hRule="atLeast"/>
        </w:trPr>
        <w:tc>
          <w:tcPr>
            <w:tcW w:w="300" w:type="pct"/>
            <w:vMerge w:val="restart"/>
            <w:vAlign w:val="center"/>
          </w:tcPr>
          <w:p w14:paraId="74CDD08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地下水</w:t>
            </w:r>
          </w:p>
        </w:tc>
        <w:tc>
          <w:tcPr>
            <w:tcW w:w="645" w:type="pct"/>
            <w:vAlign w:val="center"/>
          </w:tcPr>
          <w:p w14:paraId="0DEF71A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序号</w:t>
            </w:r>
          </w:p>
        </w:tc>
        <w:tc>
          <w:tcPr>
            <w:tcW w:w="851" w:type="pct"/>
            <w:vAlign w:val="center"/>
          </w:tcPr>
          <w:p w14:paraId="2639948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环境敏感区名称</w:t>
            </w:r>
          </w:p>
        </w:tc>
        <w:tc>
          <w:tcPr>
            <w:tcW w:w="703" w:type="pct"/>
            <w:vAlign w:val="center"/>
          </w:tcPr>
          <w:p w14:paraId="13A8CE5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环境敏感特</w:t>
            </w:r>
          </w:p>
          <w:p w14:paraId="0A508FC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征</w:t>
            </w:r>
          </w:p>
        </w:tc>
        <w:tc>
          <w:tcPr>
            <w:tcW w:w="693" w:type="pct"/>
            <w:gridSpan w:val="2"/>
            <w:vAlign w:val="center"/>
          </w:tcPr>
          <w:p w14:paraId="051F14B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水质目标</w:t>
            </w:r>
          </w:p>
        </w:tc>
        <w:tc>
          <w:tcPr>
            <w:tcW w:w="862" w:type="pct"/>
            <w:gridSpan w:val="3"/>
            <w:vAlign w:val="center"/>
          </w:tcPr>
          <w:p w14:paraId="15865BD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包气带防污性能</w:t>
            </w:r>
          </w:p>
        </w:tc>
        <w:tc>
          <w:tcPr>
            <w:tcW w:w="946" w:type="pct"/>
            <w:gridSpan w:val="2"/>
            <w:vAlign w:val="center"/>
          </w:tcPr>
          <w:p w14:paraId="7F41C61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与下游厂界距离</w:t>
            </w:r>
          </w:p>
          <w:p w14:paraId="17DEF3C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/m</w:t>
            </w:r>
          </w:p>
        </w:tc>
      </w:tr>
      <w:tr w14:paraId="2B20EA3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20" w:hRule="atLeast"/>
        </w:trPr>
        <w:tc>
          <w:tcPr>
            <w:tcW w:w="300" w:type="pct"/>
            <w:vMerge w:val="continue"/>
            <w:vAlign w:val="center"/>
          </w:tcPr>
          <w:p w14:paraId="238DD4F3">
            <w:pPr>
              <w:autoSpaceDE w:val="0"/>
              <w:autoSpaceDN w:val="0"/>
              <w:jc w:val="center"/>
              <w:rPr>
                <w:rFonts w:hint="default" w:ascii="Times New Roman" w:hAnsi="Times New Roman" w:eastAsia="宋体" w:cs="Times New Roman"/>
                <w:kern w:val="0"/>
                <w:sz w:val="2"/>
                <w:szCs w:val="2"/>
                <w:lang w:eastAsia="en-US"/>
              </w:rPr>
            </w:pPr>
          </w:p>
        </w:tc>
        <w:tc>
          <w:tcPr>
            <w:tcW w:w="645" w:type="pct"/>
            <w:vAlign w:val="center"/>
          </w:tcPr>
          <w:p w14:paraId="70B5296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851" w:type="pct"/>
            <w:vAlign w:val="center"/>
          </w:tcPr>
          <w:p w14:paraId="4FF05A9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703" w:type="pct"/>
            <w:vAlign w:val="center"/>
          </w:tcPr>
          <w:p w14:paraId="6F48991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693" w:type="pct"/>
            <w:gridSpan w:val="2"/>
            <w:vAlign w:val="center"/>
          </w:tcPr>
          <w:p w14:paraId="08125BA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862" w:type="pct"/>
            <w:gridSpan w:val="3"/>
            <w:vAlign w:val="center"/>
          </w:tcPr>
          <w:p w14:paraId="4674666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946" w:type="pct"/>
            <w:gridSpan w:val="2"/>
            <w:vAlign w:val="center"/>
          </w:tcPr>
          <w:p w14:paraId="345532F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7904CA7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0" w:hRule="atLeast"/>
        </w:trPr>
        <w:tc>
          <w:tcPr>
            <w:tcW w:w="300" w:type="pct"/>
            <w:vMerge w:val="continue"/>
            <w:vAlign w:val="center"/>
          </w:tcPr>
          <w:p w14:paraId="67918162">
            <w:pPr>
              <w:autoSpaceDE w:val="0"/>
              <w:autoSpaceDN w:val="0"/>
              <w:jc w:val="center"/>
              <w:rPr>
                <w:rFonts w:hint="default" w:ascii="Times New Roman" w:hAnsi="Times New Roman" w:eastAsia="宋体" w:cs="Times New Roman"/>
                <w:kern w:val="0"/>
                <w:sz w:val="2"/>
                <w:szCs w:val="2"/>
                <w:lang w:eastAsia="en-US"/>
              </w:rPr>
            </w:pPr>
          </w:p>
        </w:tc>
        <w:tc>
          <w:tcPr>
            <w:tcW w:w="3754" w:type="pct"/>
            <w:gridSpan w:val="8"/>
            <w:vAlign w:val="center"/>
          </w:tcPr>
          <w:p w14:paraId="3514DCFE">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地下水环境敏感程度E值</w:t>
            </w:r>
          </w:p>
        </w:tc>
        <w:tc>
          <w:tcPr>
            <w:tcW w:w="946" w:type="pct"/>
            <w:gridSpan w:val="2"/>
            <w:vAlign w:val="center"/>
          </w:tcPr>
          <w:p w14:paraId="0CBB7F3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E2（G3,D1）</w:t>
            </w:r>
          </w:p>
        </w:tc>
      </w:tr>
    </w:tbl>
    <w:p w14:paraId="7F331B5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1、大气环境</w:t>
      </w:r>
    </w:p>
    <w:p w14:paraId="44C8DABA">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依据环境敏感目标环境敏感性及人口密度划分环境风险受体的敏感性，确定本项目的大气环境敏感程度分级为E2。分级原则见下表。</w:t>
      </w:r>
    </w:p>
    <w:p w14:paraId="5FFDB3EE">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表9.3-6 大气环境敏感程度分级</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929"/>
        <w:gridCol w:w="7407"/>
      </w:tblGrid>
      <w:tr w14:paraId="63726DB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557" w:type="pct"/>
            <w:tcBorders>
              <w:bottom w:val="single" w:color="000000" w:sz="4" w:space="0"/>
              <w:right w:val="single" w:color="000000" w:sz="4" w:space="0"/>
            </w:tcBorders>
            <w:vAlign w:val="center"/>
          </w:tcPr>
          <w:p w14:paraId="6C0CDDD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分级</w:t>
            </w:r>
          </w:p>
        </w:tc>
        <w:tc>
          <w:tcPr>
            <w:tcW w:w="4443" w:type="pct"/>
            <w:tcBorders>
              <w:left w:val="single" w:color="000000" w:sz="4" w:space="0"/>
              <w:bottom w:val="single" w:color="000000" w:sz="4" w:space="0"/>
            </w:tcBorders>
            <w:vAlign w:val="center"/>
          </w:tcPr>
          <w:p w14:paraId="723B8FB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大气环境敏感性</w:t>
            </w:r>
          </w:p>
        </w:tc>
      </w:tr>
      <w:tr w14:paraId="4299535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557" w:type="pct"/>
            <w:tcBorders>
              <w:top w:val="single" w:color="000000" w:sz="4" w:space="0"/>
              <w:bottom w:val="single" w:color="000000" w:sz="4" w:space="0"/>
              <w:right w:val="single" w:color="000000" w:sz="4" w:space="0"/>
            </w:tcBorders>
            <w:vAlign w:val="center"/>
          </w:tcPr>
          <w:p w14:paraId="45CC66A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E1</w:t>
            </w:r>
          </w:p>
        </w:tc>
        <w:tc>
          <w:tcPr>
            <w:tcW w:w="4443" w:type="pct"/>
            <w:tcBorders>
              <w:top w:val="single" w:color="000000" w:sz="4" w:space="0"/>
              <w:left w:val="single" w:color="000000" w:sz="4" w:space="0"/>
              <w:bottom w:val="single" w:color="000000" w:sz="4" w:space="0"/>
            </w:tcBorders>
            <w:vAlign w:val="center"/>
          </w:tcPr>
          <w:p w14:paraId="530ECA71">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周边5km范围内居住区、医疗卫生、文化教育、科研、行政办公等机构人口总数大于5万人，或其他需要特殊保护区域；或周边500m范围内人口总数大于1000人；油气、化学品输送管线管段周边200m范围内，每千米管段人口数大于200人</w:t>
            </w:r>
          </w:p>
        </w:tc>
      </w:tr>
      <w:tr w14:paraId="4A7A5E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7" w:hRule="atLeast"/>
        </w:trPr>
        <w:tc>
          <w:tcPr>
            <w:tcW w:w="557" w:type="pct"/>
            <w:tcBorders>
              <w:top w:val="single" w:color="000000" w:sz="4" w:space="0"/>
              <w:bottom w:val="single" w:color="000000" w:sz="4" w:space="0"/>
              <w:right w:val="single" w:color="000000" w:sz="4" w:space="0"/>
            </w:tcBorders>
            <w:vAlign w:val="center"/>
          </w:tcPr>
          <w:p w14:paraId="7AB48CF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4443" w:type="pct"/>
            <w:tcBorders>
              <w:top w:val="single" w:color="000000" w:sz="4" w:space="0"/>
              <w:left w:val="single" w:color="000000" w:sz="4" w:space="0"/>
              <w:bottom w:val="single" w:color="000000" w:sz="4" w:space="0"/>
            </w:tcBorders>
            <w:vAlign w:val="center"/>
          </w:tcPr>
          <w:p w14:paraId="65E0516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周边5km范围内居住区、医疗卫生、文化教育、科研、行政办公等机构人口总数大于1万人，小于5万人；或周边500m范围内人口总数大于500人，小于1000人；油气、化学品输送管线管段周边200m范围内，每千米管段人口数大于100人，小于200人</w:t>
            </w:r>
          </w:p>
        </w:tc>
      </w:tr>
      <w:tr w14:paraId="573FC0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557" w:type="pct"/>
            <w:tcBorders>
              <w:top w:val="single" w:color="000000" w:sz="4" w:space="0"/>
              <w:bottom w:val="single" w:color="000000" w:sz="4" w:space="0"/>
              <w:right w:val="single" w:color="000000" w:sz="4" w:space="0"/>
            </w:tcBorders>
            <w:vAlign w:val="center"/>
          </w:tcPr>
          <w:p w14:paraId="3D03D17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E3</w:t>
            </w:r>
          </w:p>
        </w:tc>
        <w:tc>
          <w:tcPr>
            <w:tcW w:w="4443" w:type="pct"/>
            <w:tcBorders>
              <w:top w:val="single" w:color="000000" w:sz="4" w:space="0"/>
              <w:left w:val="single" w:color="000000" w:sz="4" w:space="0"/>
              <w:bottom w:val="single" w:color="000000" w:sz="4" w:space="0"/>
            </w:tcBorders>
            <w:vAlign w:val="center"/>
          </w:tcPr>
          <w:p w14:paraId="15B2CC8D">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周边5km范围内居住区、医疗卫生、文化教育、科研、行政办公等机构人口总数小于1万人；或周边500 m范围内人口总数小于500人；油气、化学品输送管线管段周边200 m范围内，每千米管段人口数小于100人</w:t>
            </w:r>
          </w:p>
        </w:tc>
      </w:tr>
      <w:tr w14:paraId="598AF1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557" w:type="pct"/>
            <w:tcBorders>
              <w:top w:val="single" w:color="000000" w:sz="4" w:space="0"/>
              <w:right w:val="single" w:color="000000" w:sz="4" w:space="0"/>
            </w:tcBorders>
            <w:vAlign w:val="center"/>
          </w:tcPr>
          <w:p w14:paraId="04B36E4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本项目情</w:t>
            </w:r>
          </w:p>
          <w:p w14:paraId="66925A7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况</w:t>
            </w:r>
          </w:p>
        </w:tc>
        <w:tc>
          <w:tcPr>
            <w:tcW w:w="4443" w:type="pct"/>
            <w:tcBorders>
              <w:top w:val="single" w:color="000000" w:sz="4" w:space="0"/>
              <w:left w:val="single" w:color="000000" w:sz="4" w:space="0"/>
            </w:tcBorders>
            <w:vAlign w:val="center"/>
          </w:tcPr>
          <w:p w14:paraId="3891DDA7">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根据环境敏感目标调查，本项目周围5km范围内人口数量大于1万人，小于5万人，500m范围内人口数量小于1000人，属于E2。</w:t>
            </w:r>
          </w:p>
        </w:tc>
      </w:tr>
    </w:tbl>
    <w:p w14:paraId="2B241D39">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周边5km范围内居住区、医疗卫生、文化教育、科研、行政办公等机构人口总数大于1万人、小于5万人；根据项目周边环境敏感保护目标统计表，项目周边500m范围内主要为工厂，人口总数小于1000人，根据导则《HJ 169—2018》附录D大气环境敏感程度分级表，确认本项目大气环境敏感程度为E2。</w:t>
      </w:r>
    </w:p>
    <w:p w14:paraId="5AF5EC66">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2、地表水环境</w:t>
      </w:r>
    </w:p>
    <w:p w14:paraId="71DD1D98">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依据事故情况下危险物质泄漏到水体的排放点受纳地表水体功能敏感性，与下游环境敏感目标情况，确定本项目地表水环境敏感程度分级为E2。具体分级过程见下表。</w:t>
      </w:r>
    </w:p>
    <w:p w14:paraId="6D1486EF">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表9.3-7 地表水环境敏感程度分级</w:t>
      </w:r>
    </w:p>
    <w:tbl>
      <w:tblPr>
        <w:tblStyle w:val="59"/>
        <w:tblW w:w="4985"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1985"/>
        <w:gridCol w:w="2172"/>
        <w:gridCol w:w="2078"/>
        <w:gridCol w:w="2076"/>
      </w:tblGrid>
      <w:tr w14:paraId="3FC3D1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194" w:type="pct"/>
            <w:vMerge w:val="restart"/>
            <w:vAlign w:val="center"/>
          </w:tcPr>
          <w:p w14:paraId="084AB4F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环境敏感目标</w:t>
            </w:r>
          </w:p>
        </w:tc>
        <w:tc>
          <w:tcPr>
            <w:tcW w:w="3806" w:type="pct"/>
            <w:gridSpan w:val="3"/>
            <w:vAlign w:val="center"/>
          </w:tcPr>
          <w:p w14:paraId="2DB36B5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地表水环境敏感特征</w:t>
            </w:r>
          </w:p>
        </w:tc>
      </w:tr>
      <w:tr w14:paraId="4F50988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194" w:type="pct"/>
            <w:vMerge w:val="continue"/>
            <w:vAlign w:val="center"/>
          </w:tcPr>
          <w:p w14:paraId="709A07C7">
            <w:pPr>
              <w:pStyle w:val="60"/>
              <w:rPr>
                <w:rFonts w:hint="default" w:ascii="Times New Roman" w:hAnsi="Times New Roman" w:eastAsia="宋体" w:cs="Times New Roman"/>
                <w:sz w:val="20"/>
                <w:lang w:eastAsia="en-US"/>
              </w:rPr>
            </w:pPr>
          </w:p>
        </w:tc>
        <w:tc>
          <w:tcPr>
            <w:tcW w:w="1307" w:type="pct"/>
            <w:vAlign w:val="center"/>
          </w:tcPr>
          <w:p w14:paraId="5E55377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F1</w:t>
            </w:r>
          </w:p>
        </w:tc>
        <w:tc>
          <w:tcPr>
            <w:tcW w:w="1250" w:type="pct"/>
            <w:vAlign w:val="center"/>
          </w:tcPr>
          <w:p w14:paraId="207A132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F2</w:t>
            </w:r>
          </w:p>
        </w:tc>
        <w:tc>
          <w:tcPr>
            <w:tcW w:w="1249" w:type="pct"/>
            <w:vAlign w:val="center"/>
          </w:tcPr>
          <w:p w14:paraId="27AA9FE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F3</w:t>
            </w:r>
          </w:p>
        </w:tc>
      </w:tr>
      <w:tr w14:paraId="1A34B0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1194" w:type="pct"/>
            <w:vAlign w:val="center"/>
          </w:tcPr>
          <w:p w14:paraId="3E82244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S1</w:t>
            </w:r>
          </w:p>
        </w:tc>
        <w:tc>
          <w:tcPr>
            <w:tcW w:w="1307" w:type="pct"/>
            <w:vAlign w:val="center"/>
          </w:tcPr>
          <w:p w14:paraId="00D2105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E1</w:t>
            </w:r>
          </w:p>
        </w:tc>
        <w:tc>
          <w:tcPr>
            <w:tcW w:w="1250" w:type="pct"/>
            <w:vAlign w:val="center"/>
          </w:tcPr>
          <w:p w14:paraId="5897D4B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E1</w:t>
            </w:r>
          </w:p>
        </w:tc>
        <w:tc>
          <w:tcPr>
            <w:tcW w:w="1249" w:type="pct"/>
            <w:vAlign w:val="center"/>
          </w:tcPr>
          <w:p w14:paraId="7E1C5F0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r>
      <w:tr w14:paraId="60BABEC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194" w:type="pct"/>
            <w:vAlign w:val="center"/>
          </w:tcPr>
          <w:p w14:paraId="2BCEB09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S2</w:t>
            </w:r>
          </w:p>
        </w:tc>
        <w:tc>
          <w:tcPr>
            <w:tcW w:w="1307" w:type="pct"/>
            <w:vAlign w:val="center"/>
          </w:tcPr>
          <w:p w14:paraId="1A88B21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E1</w:t>
            </w:r>
          </w:p>
        </w:tc>
        <w:tc>
          <w:tcPr>
            <w:tcW w:w="1250" w:type="pct"/>
            <w:vAlign w:val="center"/>
          </w:tcPr>
          <w:p w14:paraId="71C03A7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249" w:type="pct"/>
            <w:vAlign w:val="center"/>
          </w:tcPr>
          <w:p w14:paraId="6B86133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E3</w:t>
            </w:r>
          </w:p>
        </w:tc>
      </w:tr>
      <w:tr w14:paraId="79BCEF6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194" w:type="pct"/>
            <w:vAlign w:val="center"/>
          </w:tcPr>
          <w:p w14:paraId="69D054D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S3</w:t>
            </w:r>
          </w:p>
        </w:tc>
        <w:tc>
          <w:tcPr>
            <w:tcW w:w="1307" w:type="pct"/>
            <w:vAlign w:val="center"/>
          </w:tcPr>
          <w:p w14:paraId="019E9FC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E1</w:t>
            </w:r>
          </w:p>
        </w:tc>
        <w:tc>
          <w:tcPr>
            <w:tcW w:w="1250" w:type="pct"/>
            <w:vAlign w:val="center"/>
          </w:tcPr>
          <w:p w14:paraId="578D1B1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249" w:type="pct"/>
            <w:vAlign w:val="center"/>
          </w:tcPr>
          <w:p w14:paraId="71259BC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E3</w:t>
            </w:r>
          </w:p>
        </w:tc>
      </w:tr>
      <w:tr w14:paraId="23DC9D8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1194" w:type="pct"/>
            <w:vAlign w:val="center"/>
          </w:tcPr>
          <w:p w14:paraId="6E67561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本项目情况</w:t>
            </w:r>
          </w:p>
        </w:tc>
        <w:tc>
          <w:tcPr>
            <w:tcW w:w="3806" w:type="pct"/>
            <w:gridSpan w:val="3"/>
            <w:vAlign w:val="center"/>
          </w:tcPr>
          <w:p w14:paraId="6C167E2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r>
    </w:tbl>
    <w:p w14:paraId="3FDFE82D">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表9.3-8 地表水功能敏感性分区</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447"/>
        <w:gridCol w:w="6889"/>
      </w:tblGrid>
      <w:tr w14:paraId="3304029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68" w:type="pct"/>
            <w:tcBorders>
              <w:bottom w:val="single" w:color="000000" w:sz="4" w:space="0"/>
              <w:right w:val="single" w:color="000000" w:sz="4" w:space="0"/>
            </w:tcBorders>
            <w:vAlign w:val="center"/>
          </w:tcPr>
          <w:p w14:paraId="723F754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敏感性</w:t>
            </w:r>
          </w:p>
        </w:tc>
        <w:tc>
          <w:tcPr>
            <w:tcW w:w="4132" w:type="pct"/>
            <w:tcBorders>
              <w:left w:val="single" w:color="000000" w:sz="4" w:space="0"/>
              <w:bottom w:val="single" w:color="000000" w:sz="4" w:space="0"/>
            </w:tcBorders>
            <w:vAlign w:val="center"/>
          </w:tcPr>
          <w:p w14:paraId="0D319C2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地表水环境敏感特征</w:t>
            </w:r>
          </w:p>
        </w:tc>
      </w:tr>
      <w:tr w14:paraId="4D8F2DD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868" w:type="pct"/>
            <w:tcBorders>
              <w:top w:val="single" w:color="000000" w:sz="4" w:space="0"/>
              <w:bottom w:val="single" w:color="000000" w:sz="4" w:space="0"/>
              <w:right w:val="single" w:color="000000" w:sz="4" w:space="0"/>
            </w:tcBorders>
            <w:vAlign w:val="center"/>
          </w:tcPr>
          <w:p w14:paraId="387F090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敏感F1</w:t>
            </w:r>
          </w:p>
        </w:tc>
        <w:tc>
          <w:tcPr>
            <w:tcW w:w="4132" w:type="pct"/>
            <w:tcBorders>
              <w:top w:val="single" w:color="000000" w:sz="4" w:space="0"/>
              <w:left w:val="single" w:color="000000" w:sz="4" w:space="0"/>
              <w:bottom w:val="single" w:color="000000" w:sz="4" w:space="0"/>
            </w:tcBorders>
            <w:vAlign w:val="center"/>
          </w:tcPr>
          <w:p w14:paraId="4220BC5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排放点进入地表水水域环境功能为Ⅱ类及以上，或海水水质分类第一类；或以发生事故时，危险物质泄漏到水体的排放点算起，排放进入受纳河流最大流速时，24h流经范围内涉跨国界的</w:t>
            </w:r>
          </w:p>
        </w:tc>
      </w:tr>
      <w:tr w14:paraId="2084F715">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416" w:hRule="atLeast"/>
        </w:trPr>
        <w:tc>
          <w:tcPr>
            <w:tcW w:w="868" w:type="pct"/>
            <w:tcBorders>
              <w:top w:val="single" w:color="000000" w:sz="4" w:space="0"/>
              <w:bottom w:val="single" w:color="000000" w:sz="4" w:space="0"/>
              <w:right w:val="single" w:color="000000" w:sz="4" w:space="0"/>
            </w:tcBorders>
            <w:vAlign w:val="center"/>
          </w:tcPr>
          <w:p w14:paraId="3562DFB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较敏感F2</w:t>
            </w:r>
          </w:p>
        </w:tc>
        <w:tc>
          <w:tcPr>
            <w:tcW w:w="4132" w:type="pct"/>
            <w:tcBorders>
              <w:top w:val="single" w:color="000000" w:sz="4" w:space="0"/>
              <w:left w:val="single" w:color="000000" w:sz="4" w:space="0"/>
              <w:bottom w:val="single" w:color="000000" w:sz="4" w:space="0"/>
            </w:tcBorders>
            <w:vAlign w:val="center"/>
          </w:tcPr>
          <w:p w14:paraId="26BD8B30">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排放点进入地表水水域环境功能为Ⅲ类，或海水水质分类第二类；或以发生事故时，危险物质泄漏到水体的排放点算起，排放进入受纳河流最大流速时，24h流经范围内涉跨省界的</w:t>
            </w:r>
          </w:p>
        </w:tc>
      </w:tr>
      <w:tr w14:paraId="28DA380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68" w:type="pct"/>
            <w:tcBorders>
              <w:top w:val="single" w:color="000000" w:sz="4" w:space="0"/>
              <w:bottom w:val="single" w:color="000000" w:sz="4" w:space="0"/>
              <w:right w:val="single" w:color="000000" w:sz="4" w:space="0"/>
            </w:tcBorders>
            <w:vAlign w:val="center"/>
          </w:tcPr>
          <w:p w14:paraId="18B7038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低敏感F3</w:t>
            </w:r>
          </w:p>
        </w:tc>
        <w:tc>
          <w:tcPr>
            <w:tcW w:w="4132" w:type="pct"/>
            <w:tcBorders>
              <w:top w:val="single" w:color="000000" w:sz="4" w:space="0"/>
              <w:left w:val="single" w:color="000000" w:sz="4" w:space="0"/>
              <w:bottom w:val="single" w:color="000000" w:sz="4" w:space="0"/>
            </w:tcBorders>
            <w:vAlign w:val="center"/>
          </w:tcPr>
          <w:p w14:paraId="0E02D276">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上述地区之外的其他地区</w:t>
            </w:r>
          </w:p>
        </w:tc>
      </w:tr>
      <w:tr w14:paraId="5B5FC3B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868" w:type="pct"/>
            <w:tcBorders>
              <w:top w:val="single" w:color="000000" w:sz="4" w:space="0"/>
              <w:right w:val="single" w:color="000000" w:sz="4" w:space="0"/>
            </w:tcBorders>
            <w:vAlign w:val="center"/>
          </w:tcPr>
          <w:p w14:paraId="459FA44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本项目</w:t>
            </w:r>
          </w:p>
        </w:tc>
        <w:tc>
          <w:tcPr>
            <w:tcW w:w="4132" w:type="pct"/>
            <w:tcBorders>
              <w:top w:val="single" w:color="000000" w:sz="4" w:space="0"/>
              <w:left w:val="single" w:color="000000" w:sz="4" w:space="0"/>
            </w:tcBorders>
            <w:vAlign w:val="center"/>
          </w:tcPr>
          <w:p w14:paraId="0F8F550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事故发生时，若不采取任何防治措施，排放点事故废水会经厂区雨水管网汇入园区雨水管网，最终进入湘江，属于较敏感区F2。</w:t>
            </w:r>
          </w:p>
        </w:tc>
      </w:tr>
    </w:tbl>
    <w:p w14:paraId="6D26CA07">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表8.3-9 环境敏感目标分级</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279"/>
        <w:gridCol w:w="7057"/>
      </w:tblGrid>
      <w:tr w14:paraId="29CBB83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67" w:type="pct"/>
            <w:tcBorders>
              <w:bottom w:val="single" w:color="000000" w:sz="4" w:space="0"/>
              <w:right w:val="single" w:color="000000" w:sz="4" w:space="0"/>
            </w:tcBorders>
            <w:vAlign w:val="center"/>
          </w:tcPr>
          <w:p w14:paraId="7ECAC72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分级</w:t>
            </w:r>
          </w:p>
        </w:tc>
        <w:tc>
          <w:tcPr>
            <w:tcW w:w="4233" w:type="pct"/>
            <w:tcBorders>
              <w:left w:val="single" w:color="000000" w:sz="4" w:space="0"/>
              <w:bottom w:val="single" w:color="000000" w:sz="4" w:space="0"/>
            </w:tcBorders>
            <w:vAlign w:val="center"/>
          </w:tcPr>
          <w:p w14:paraId="0A592F4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环境敏感目标</w:t>
            </w:r>
          </w:p>
        </w:tc>
      </w:tr>
      <w:tr w14:paraId="237AD10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451" w:hRule="atLeast"/>
        </w:trPr>
        <w:tc>
          <w:tcPr>
            <w:tcW w:w="767" w:type="pct"/>
            <w:tcBorders>
              <w:top w:val="single" w:color="000000" w:sz="4" w:space="0"/>
              <w:bottom w:val="single" w:color="000000" w:sz="4" w:space="0"/>
              <w:right w:val="single" w:color="000000" w:sz="4" w:space="0"/>
            </w:tcBorders>
            <w:vAlign w:val="center"/>
          </w:tcPr>
          <w:p w14:paraId="2D29C8B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S1</w:t>
            </w:r>
          </w:p>
        </w:tc>
        <w:tc>
          <w:tcPr>
            <w:tcW w:w="4233" w:type="pct"/>
            <w:tcBorders>
              <w:top w:val="single" w:color="000000" w:sz="4" w:space="0"/>
              <w:left w:val="single" w:color="000000" w:sz="4" w:space="0"/>
              <w:bottom w:val="single" w:color="000000" w:sz="4" w:space="0"/>
            </w:tcBorders>
            <w:vAlign w:val="center"/>
          </w:tcPr>
          <w:p w14:paraId="485A8EF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发生事故时，危险物质泄漏到内陆水体的排放点下游（顺水流向）10 km范围内、近岸海域一个潮周期水质点可能达到的最大水平距离的两倍范围内，有如下一类或多类环境风险受体：集中式地表 水饮用水水源保护区（包括一级保护区、二级保护区及准保护区）；农村及分散式饮用水水源保护区； 自然保护区；重要湿地；珍稀濒危野生动植物天然集中分布区；重要水生生物的自然产卵场及索饵场、越冬场和洄游通道；世界文化和自然遗产地；红树林、珊瑚礁等滨海湿地生态系统；珍稀、濒 危海洋生物的天然集中分布区；海洋特别保护区；海上自然保护区；盐场保护区；海水浴场；海洋 自然历史遗迹；风景名胜区；或其他特殊重要保护区域</w:t>
            </w:r>
          </w:p>
        </w:tc>
      </w:tr>
      <w:tr w14:paraId="7AD38EA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74" w:hRule="atLeast"/>
        </w:trPr>
        <w:tc>
          <w:tcPr>
            <w:tcW w:w="767" w:type="pct"/>
            <w:tcBorders>
              <w:top w:val="single" w:color="000000" w:sz="4" w:space="0"/>
              <w:bottom w:val="single" w:color="000000" w:sz="4" w:space="0"/>
              <w:right w:val="single" w:color="000000" w:sz="4" w:space="0"/>
            </w:tcBorders>
            <w:vAlign w:val="center"/>
          </w:tcPr>
          <w:p w14:paraId="475E3EF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S2</w:t>
            </w:r>
          </w:p>
        </w:tc>
        <w:tc>
          <w:tcPr>
            <w:tcW w:w="4233" w:type="pct"/>
            <w:tcBorders>
              <w:top w:val="single" w:color="000000" w:sz="4" w:space="0"/>
              <w:left w:val="single" w:color="000000" w:sz="4" w:space="0"/>
              <w:bottom w:val="single" w:color="000000" w:sz="4" w:space="0"/>
            </w:tcBorders>
            <w:vAlign w:val="center"/>
          </w:tcPr>
          <w:p w14:paraId="28A865A9">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发生事故时，危险物质泄漏到内陆水体的排放点下游（顺水流向）10 km范围内、近岸海域一个潮 周期水质点可能达到的最大水平距离的两倍范围内，有如下一类或多类环境风险受体的：水产养殖区；天然渔场；森林公园；地质公园；海滨风景游览区；具有重要经济价值的海洋生物生存区域</w:t>
            </w:r>
          </w:p>
        </w:tc>
      </w:tr>
      <w:tr w14:paraId="478C987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767" w:type="pct"/>
            <w:tcBorders>
              <w:top w:val="single" w:color="000000" w:sz="4" w:space="0"/>
              <w:bottom w:val="single" w:color="000000" w:sz="4" w:space="0"/>
              <w:right w:val="single" w:color="000000" w:sz="4" w:space="0"/>
            </w:tcBorders>
            <w:vAlign w:val="center"/>
          </w:tcPr>
          <w:p w14:paraId="06F5CE3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S3</w:t>
            </w:r>
          </w:p>
        </w:tc>
        <w:tc>
          <w:tcPr>
            <w:tcW w:w="4233" w:type="pct"/>
            <w:tcBorders>
              <w:top w:val="single" w:color="000000" w:sz="4" w:space="0"/>
              <w:left w:val="single" w:color="000000" w:sz="4" w:space="0"/>
              <w:bottom w:val="single" w:color="000000" w:sz="4" w:space="0"/>
            </w:tcBorders>
            <w:vAlign w:val="center"/>
          </w:tcPr>
          <w:p w14:paraId="11E0E3D9">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排放点下游（顺水流向）10 km范围、近岸海域一个潮周期水质点可能达到的最大水平距离的两倍范围内无上述类型1和类型2包括的敏感保护目标</w:t>
            </w:r>
          </w:p>
        </w:tc>
      </w:tr>
      <w:tr w14:paraId="6267D17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67" w:type="pct"/>
            <w:tcBorders>
              <w:top w:val="single" w:color="000000" w:sz="4" w:space="0"/>
              <w:right w:val="single" w:color="000000" w:sz="4" w:space="0"/>
            </w:tcBorders>
            <w:vAlign w:val="center"/>
          </w:tcPr>
          <w:p w14:paraId="264AE83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本项目</w:t>
            </w:r>
          </w:p>
        </w:tc>
        <w:tc>
          <w:tcPr>
            <w:tcW w:w="4233" w:type="pct"/>
            <w:tcBorders>
              <w:top w:val="single" w:color="000000" w:sz="4" w:space="0"/>
              <w:left w:val="single" w:color="000000" w:sz="4" w:space="0"/>
            </w:tcBorders>
            <w:vAlign w:val="center"/>
          </w:tcPr>
          <w:p w14:paraId="557EF7B0">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不涉及S1、S2区域。属于S3。</w:t>
            </w:r>
          </w:p>
        </w:tc>
      </w:tr>
    </w:tbl>
    <w:p w14:paraId="15B6FD2C">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3、地下水环境</w:t>
      </w:r>
    </w:p>
    <w:p w14:paraId="7C103697">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依据地下水功能敏感性与包气带防污性能，确定本项目地下水环境敏感程度分级为E2。分级原则见表9.3-10～表9.3-12。</w:t>
      </w:r>
    </w:p>
    <w:p w14:paraId="3CE00494">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表9.3-10地下水环境敏感程度分级</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2082"/>
        <w:gridCol w:w="2082"/>
        <w:gridCol w:w="2086"/>
        <w:gridCol w:w="2086"/>
      </w:tblGrid>
      <w:tr w14:paraId="718F02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1249" w:type="pct"/>
            <w:vMerge w:val="restart"/>
            <w:vAlign w:val="center"/>
          </w:tcPr>
          <w:p w14:paraId="4AB1B89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包气带防污性能</w:t>
            </w:r>
          </w:p>
        </w:tc>
        <w:tc>
          <w:tcPr>
            <w:tcW w:w="3751" w:type="pct"/>
            <w:gridSpan w:val="3"/>
            <w:vAlign w:val="center"/>
          </w:tcPr>
          <w:p w14:paraId="23B0081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地下水功能敏感性</w:t>
            </w:r>
          </w:p>
        </w:tc>
      </w:tr>
      <w:tr w14:paraId="217A64AE">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249" w:type="pct"/>
            <w:vMerge w:val="continue"/>
            <w:vAlign w:val="center"/>
          </w:tcPr>
          <w:p w14:paraId="41DCB6C8">
            <w:pPr>
              <w:autoSpaceDE w:val="0"/>
              <w:autoSpaceDN w:val="0"/>
              <w:jc w:val="center"/>
              <w:rPr>
                <w:rFonts w:hint="default" w:ascii="Times New Roman" w:hAnsi="Times New Roman" w:eastAsia="宋体" w:cs="Times New Roman"/>
                <w:kern w:val="0"/>
                <w:sz w:val="2"/>
                <w:szCs w:val="2"/>
                <w:lang w:eastAsia="en-US"/>
              </w:rPr>
            </w:pPr>
          </w:p>
        </w:tc>
        <w:tc>
          <w:tcPr>
            <w:tcW w:w="1249" w:type="pct"/>
            <w:vAlign w:val="center"/>
          </w:tcPr>
          <w:p w14:paraId="58CC32D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G1</w:t>
            </w:r>
          </w:p>
        </w:tc>
        <w:tc>
          <w:tcPr>
            <w:tcW w:w="1251" w:type="pct"/>
            <w:vAlign w:val="center"/>
          </w:tcPr>
          <w:p w14:paraId="5797A63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G2</w:t>
            </w:r>
          </w:p>
        </w:tc>
        <w:tc>
          <w:tcPr>
            <w:tcW w:w="1250" w:type="pct"/>
            <w:vAlign w:val="center"/>
          </w:tcPr>
          <w:p w14:paraId="21FD7C2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G3</w:t>
            </w:r>
          </w:p>
        </w:tc>
      </w:tr>
      <w:tr w14:paraId="412C305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39" w:hRule="atLeast"/>
        </w:trPr>
        <w:tc>
          <w:tcPr>
            <w:tcW w:w="1249" w:type="pct"/>
            <w:vAlign w:val="center"/>
          </w:tcPr>
          <w:p w14:paraId="401F46C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D1</w:t>
            </w:r>
          </w:p>
        </w:tc>
        <w:tc>
          <w:tcPr>
            <w:tcW w:w="1249" w:type="pct"/>
            <w:vAlign w:val="center"/>
          </w:tcPr>
          <w:p w14:paraId="594D553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E1</w:t>
            </w:r>
          </w:p>
        </w:tc>
        <w:tc>
          <w:tcPr>
            <w:tcW w:w="1251" w:type="pct"/>
            <w:vAlign w:val="center"/>
          </w:tcPr>
          <w:p w14:paraId="5230235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E1</w:t>
            </w:r>
          </w:p>
        </w:tc>
        <w:tc>
          <w:tcPr>
            <w:tcW w:w="1250" w:type="pct"/>
            <w:vAlign w:val="center"/>
          </w:tcPr>
          <w:p w14:paraId="30AD673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r>
      <w:tr w14:paraId="4EE455B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249" w:type="pct"/>
            <w:vAlign w:val="center"/>
          </w:tcPr>
          <w:p w14:paraId="41B170D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D2</w:t>
            </w:r>
          </w:p>
        </w:tc>
        <w:tc>
          <w:tcPr>
            <w:tcW w:w="1249" w:type="pct"/>
            <w:vAlign w:val="center"/>
          </w:tcPr>
          <w:p w14:paraId="7931097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E1</w:t>
            </w:r>
          </w:p>
        </w:tc>
        <w:tc>
          <w:tcPr>
            <w:tcW w:w="1251" w:type="pct"/>
            <w:vAlign w:val="center"/>
          </w:tcPr>
          <w:p w14:paraId="3B923EF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250" w:type="pct"/>
            <w:vAlign w:val="center"/>
          </w:tcPr>
          <w:p w14:paraId="21F32A6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E3</w:t>
            </w:r>
          </w:p>
        </w:tc>
      </w:tr>
      <w:tr w14:paraId="5305C2C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249" w:type="pct"/>
            <w:vAlign w:val="center"/>
          </w:tcPr>
          <w:p w14:paraId="6B04833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D3</w:t>
            </w:r>
          </w:p>
        </w:tc>
        <w:tc>
          <w:tcPr>
            <w:tcW w:w="1249" w:type="pct"/>
            <w:vAlign w:val="center"/>
          </w:tcPr>
          <w:p w14:paraId="2E9BC02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251" w:type="pct"/>
            <w:vAlign w:val="center"/>
          </w:tcPr>
          <w:p w14:paraId="1BE2AB4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E3</w:t>
            </w:r>
          </w:p>
        </w:tc>
        <w:tc>
          <w:tcPr>
            <w:tcW w:w="1250" w:type="pct"/>
            <w:vAlign w:val="center"/>
          </w:tcPr>
          <w:p w14:paraId="29F0570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E3</w:t>
            </w:r>
          </w:p>
        </w:tc>
      </w:tr>
      <w:tr w14:paraId="3A488C2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40" w:hRule="atLeast"/>
        </w:trPr>
        <w:tc>
          <w:tcPr>
            <w:tcW w:w="1249" w:type="pct"/>
            <w:vAlign w:val="center"/>
          </w:tcPr>
          <w:p w14:paraId="10F3C06B">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本项目</w:t>
            </w:r>
          </w:p>
        </w:tc>
        <w:tc>
          <w:tcPr>
            <w:tcW w:w="3751" w:type="pct"/>
            <w:gridSpan w:val="3"/>
            <w:vAlign w:val="center"/>
          </w:tcPr>
          <w:p w14:paraId="5BCF0FF4">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E2</w:t>
            </w:r>
          </w:p>
        </w:tc>
      </w:tr>
    </w:tbl>
    <w:p w14:paraId="0D3295EE">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表9.3-11地下水功能敏感性分区</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354"/>
        <w:gridCol w:w="6982"/>
      </w:tblGrid>
      <w:tr w14:paraId="4532BE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1" w:hRule="atLeast"/>
        </w:trPr>
        <w:tc>
          <w:tcPr>
            <w:tcW w:w="812" w:type="pct"/>
            <w:tcBorders>
              <w:bottom w:val="single" w:color="000000" w:sz="4" w:space="0"/>
              <w:right w:val="single" w:color="000000" w:sz="4" w:space="0"/>
            </w:tcBorders>
            <w:vAlign w:val="center"/>
          </w:tcPr>
          <w:p w14:paraId="6973F45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敏感性</w:t>
            </w:r>
          </w:p>
        </w:tc>
        <w:tc>
          <w:tcPr>
            <w:tcW w:w="4188" w:type="pct"/>
            <w:tcBorders>
              <w:left w:val="single" w:color="000000" w:sz="4" w:space="0"/>
              <w:bottom w:val="single" w:color="000000" w:sz="4" w:space="0"/>
            </w:tcBorders>
            <w:vAlign w:val="center"/>
          </w:tcPr>
          <w:p w14:paraId="06410C6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地下水环境敏感特征</w:t>
            </w:r>
          </w:p>
        </w:tc>
      </w:tr>
      <w:tr w14:paraId="14C42D7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812" w:type="pct"/>
            <w:tcBorders>
              <w:top w:val="single" w:color="000000" w:sz="4" w:space="0"/>
              <w:bottom w:val="single" w:color="000000" w:sz="4" w:space="0"/>
              <w:right w:val="single" w:color="000000" w:sz="4" w:space="0"/>
            </w:tcBorders>
            <w:vAlign w:val="center"/>
          </w:tcPr>
          <w:p w14:paraId="461A23B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敏感G1</w:t>
            </w:r>
          </w:p>
        </w:tc>
        <w:tc>
          <w:tcPr>
            <w:tcW w:w="4188" w:type="pct"/>
            <w:tcBorders>
              <w:top w:val="single" w:color="000000" w:sz="4" w:space="0"/>
              <w:left w:val="single" w:color="000000" w:sz="4" w:space="0"/>
              <w:bottom w:val="single" w:color="000000" w:sz="4" w:space="0"/>
            </w:tcBorders>
            <w:vAlign w:val="center"/>
          </w:tcPr>
          <w:p w14:paraId="220265BC">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3146234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1" w:hRule="atLeast"/>
        </w:trPr>
        <w:tc>
          <w:tcPr>
            <w:tcW w:w="812" w:type="pct"/>
            <w:tcBorders>
              <w:top w:val="single" w:color="000000" w:sz="4" w:space="0"/>
              <w:bottom w:val="single" w:color="000000" w:sz="4" w:space="0"/>
              <w:right w:val="single" w:color="000000" w:sz="4" w:space="0"/>
            </w:tcBorders>
            <w:vAlign w:val="center"/>
          </w:tcPr>
          <w:p w14:paraId="15AF044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较敏感G2</w:t>
            </w:r>
          </w:p>
        </w:tc>
        <w:tc>
          <w:tcPr>
            <w:tcW w:w="4188" w:type="pct"/>
            <w:tcBorders>
              <w:top w:val="single" w:color="000000" w:sz="4" w:space="0"/>
              <w:left w:val="single" w:color="000000" w:sz="4" w:space="0"/>
              <w:bottom w:val="single" w:color="000000" w:sz="4" w:space="0"/>
            </w:tcBorders>
            <w:vAlign w:val="center"/>
          </w:tcPr>
          <w:p w14:paraId="3B308B68">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集中式饮用水水源（包括已建成的在用、备用、应急水源，在建和规划的饮用水水源）准保护区以外的补给径流区；未划定准保护区的集中式饮用水水源， 其保护区以外的补给径流区；分散式饮用水水源地；特殊地下水资源（如热 水、矿泉水、温泉等）保护区以外的分布区等其他未列入上述敏感分级的环境敏感区</w:t>
            </w:r>
          </w:p>
        </w:tc>
      </w:tr>
      <w:tr w14:paraId="025D862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12" w:type="pct"/>
            <w:tcBorders>
              <w:top w:val="single" w:color="000000" w:sz="4" w:space="0"/>
              <w:bottom w:val="single" w:color="000000" w:sz="4" w:space="0"/>
              <w:right w:val="single" w:color="000000" w:sz="4" w:space="0"/>
            </w:tcBorders>
            <w:vAlign w:val="center"/>
          </w:tcPr>
          <w:p w14:paraId="6E0373A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不敏感G3</w:t>
            </w:r>
          </w:p>
        </w:tc>
        <w:tc>
          <w:tcPr>
            <w:tcW w:w="4188" w:type="pct"/>
            <w:tcBorders>
              <w:top w:val="single" w:color="000000" w:sz="4" w:space="0"/>
              <w:left w:val="single" w:color="000000" w:sz="4" w:space="0"/>
              <w:bottom w:val="single" w:color="000000" w:sz="4" w:space="0"/>
            </w:tcBorders>
            <w:vAlign w:val="center"/>
          </w:tcPr>
          <w:p w14:paraId="40B6E0E7">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上述地区之外的其它地区</w:t>
            </w:r>
          </w:p>
        </w:tc>
      </w:tr>
      <w:tr w14:paraId="1C92A1FC">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812" w:type="pct"/>
            <w:tcBorders>
              <w:top w:val="single" w:color="000000" w:sz="4" w:space="0"/>
              <w:right w:val="single" w:color="000000" w:sz="4" w:space="0"/>
            </w:tcBorders>
            <w:vAlign w:val="center"/>
          </w:tcPr>
          <w:p w14:paraId="72309AE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本项目</w:t>
            </w:r>
          </w:p>
        </w:tc>
        <w:tc>
          <w:tcPr>
            <w:tcW w:w="4188" w:type="pct"/>
            <w:tcBorders>
              <w:top w:val="single" w:color="000000" w:sz="4" w:space="0"/>
              <w:left w:val="single" w:color="000000" w:sz="4" w:space="0"/>
            </w:tcBorders>
            <w:vAlign w:val="center"/>
          </w:tcPr>
          <w:p w14:paraId="237154E8">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本项目属于G1、G2之外的其它区域，确定为G3。</w:t>
            </w:r>
          </w:p>
        </w:tc>
      </w:tr>
    </w:tbl>
    <w:p w14:paraId="51C1EA13">
      <w:pPr>
        <w:pStyle w:val="48"/>
        <w:spacing w:before="0" w:line="360" w:lineRule="auto"/>
        <w:ind w:firstLine="0" w:firstLineChars="0"/>
        <w:jc w:val="center"/>
        <w:rPr>
          <w:rFonts w:hint="default" w:ascii="Times New Roman" w:hAnsi="Times New Roman" w:eastAsia="宋体" w:cs="Times New Roman"/>
          <w:b/>
          <w:bCs/>
          <w:sz w:val="22"/>
          <w:szCs w:val="20"/>
        </w:rPr>
      </w:pPr>
      <w:r>
        <w:rPr>
          <w:rFonts w:hint="default" w:ascii="Times New Roman" w:hAnsi="Times New Roman" w:eastAsia="宋体" w:cs="Times New Roman"/>
          <w:b/>
          <w:bCs/>
          <w:sz w:val="22"/>
          <w:szCs w:val="20"/>
        </w:rPr>
        <w:t>表9.3-12包气带防污性能分级</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384"/>
        <w:gridCol w:w="6952"/>
      </w:tblGrid>
      <w:tr w14:paraId="414BC2E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0" w:hRule="atLeast"/>
        </w:trPr>
        <w:tc>
          <w:tcPr>
            <w:tcW w:w="830" w:type="pct"/>
            <w:tcBorders>
              <w:bottom w:val="single" w:color="000000" w:sz="4" w:space="0"/>
              <w:right w:val="single" w:color="000000" w:sz="4" w:space="0"/>
            </w:tcBorders>
            <w:vAlign w:val="center"/>
          </w:tcPr>
          <w:p w14:paraId="02D3AA9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分级</w:t>
            </w:r>
          </w:p>
        </w:tc>
        <w:tc>
          <w:tcPr>
            <w:tcW w:w="4170" w:type="pct"/>
            <w:tcBorders>
              <w:left w:val="single" w:color="000000" w:sz="4" w:space="0"/>
              <w:bottom w:val="single" w:color="000000" w:sz="4" w:space="0"/>
            </w:tcBorders>
            <w:vAlign w:val="center"/>
          </w:tcPr>
          <w:p w14:paraId="75BCD551">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包气带岩土的渗透性能</w:t>
            </w:r>
          </w:p>
        </w:tc>
      </w:tr>
      <w:tr w14:paraId="25B41FB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830" w:type="pct"/>
            <w:tcBorders>
              <w:top w:val="single" w:color="000000" w:sz="4" w:space="0"/>
              <w:bottom w:val="single" w:color="000000" w:sz="4" w:space="0"/>
              <w:right w:val="single" w:color="000000" w:sz="4" w:space="0"/>
            </w:tcBorders>
            <w:vAlign w:val="center"/>
          </w:tcPr>
          <w:p w14:paraId="6F1C88D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D3</w:t>
            </w:r>
          </w:p>
        </w:tc>
        <w:tc>
          <w:tcPr>
            <w:tcW w:w="4170" w:type="pct"/>
            <w:tcBorders>
              <w:top w:val="single" w:color="000000" w:sz="4" w:space="0"/>
              <w:left w:val="single" w:color="000000" w:sz="4" w:space="0"/>
              <w:bottom w:val="single" w:color="000000" w:sz="4" w:space="0"/>
            </w:tcBorders>
            <w:vAlign w:val="center"/>
          </w:tcPr>
          <w:p w14:paraId="14DB450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Mb≥1.0 m,K≤1.0×10</w:t>
            </w:r>
            <w:r>
              <w:rPr>
                <w:rFonts w:hint="default" w:ascii="Times New Roman" w:hAnsi="Times New Roman" w:eastAsia="宋体" w:cs="Times New Roman"/>
                <w:sz w:val="21"/>
                <w:vertAlign w:val="superscript"/>
                <w:lang w:eastAsia="en-US"/>
              </w:rPr>
              <w:t>-6</w:t>
            </w:r>
            <w:r>
              <w:rPr>
                <w:rFonts w:hint="default" w:ascii="Times New Roman" w:hAnsi="Times New Roman" w:eastAsia="宋体" w:cs="Times New Roman"/>
                <w:sz w:val="21"/>
                <w:lang w:eastAsia="en-US"/>
              </w:rPr>
              <w:t>cm/s,且分布连续、稳定</w:t>
            </w:r>
          </w:p>
        </w:tc>
      </w:tr>
      <w:tr w14:paraId="0E84988A">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5" w:hRule="atLeast"/>
        </w:trPr>
        <w:tc>
          <w:tcPr>
            <w:tcW w:w="830" w:type="pct"/>
            <w:tcBorders>
              <w:top w:val="single" w:color="000000" w:sz="4" w:space="0"/>
              <w:bottom w:val="single" w:color="000000" w:sz="4" w:space="0"/>
              <w:right w:val="single" w:color="000000" w:sz="4" w:space="0"/>
            </w:tcBorders>
            <w:vAlign w:val="center"/>
          </w:tcPr>
          <w:p w14:paraId="56A4558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D2</w:t>
            </w:r>
          </w:p>
        </w:tc>
        <w:tc>
          <w:tcPr>
            <w:tcW w:w="4170" w:type="pct"/>
            <w:tcBorders>
              <w:top w:val="single" w:color="000000" w:sz="4" w:space="0"/>
              <w:left w:val="single" w:color="000000" w:sz="4" w:space="0"/>
              <w:bottom w:val="single" w:color="000000" w:sz="4" w:space="0"/>
            </w:tcBorders>
            <w:vAlign w:val="center"/>
          </w:tcPr>
          <w:p w14:paraId="40DC4BF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0.5m≤Mb≤1.0m,K≤1.0×10</w:t>
            </w:r>
            <w:r>
              <w:rPr>
                <w:rFonts w:hint="default" w:ascii="Times New Roman" w:hAnsi="Times New Roman" w:eastAsia="宋体" w:cs="Times New Roman"/>
                <w:sz w:val="21"/>
                <w:vertAlign w:val="superscript"/>
                <w:lang w:eastAsia="en-US"/>
              </w:rPr>
              <w:t>-6</w:t>
            </w:r>
            <w:r>
              <w:rPr>
                <w:rFonts w:hint="default" w:ascii="Times New Roman" w:hAnsi="Times New Roman" w:eastAsia="宋体" w:cs="Times New Roman"/>
                <w:sz w:val="21"/>
                <w:lang w:eastAsia="en-US"/>
              </w:rPr>
              <w:t>cm/s,且分布连续、稳定</w:t>
            </w:r>
          </w:p>
          <w:p w14:paraId="6FBE9C7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Mb≥1.0m, 1.0×10</w:t>
            </w:r>
            <w:r>
              <w:rPr>
                <w:rFonts w:hint="default" w:ascii="Times New Roman" w:hAnsi="Times New Roman" w:eastAsia="宋体" w:cs="Times New Roman"/>
                <w:sz w:val="21"/>
                <w:vertAlign w:val="superscript"/>
                <w:lang w:eastAsia="en-US"/>
              </w:rPr>
              <w:t>-6</w:t>
            </w:r>
            <w:r>
              <w:rPr>
                <w:rFonts w:hint="default" w:ascii="Times New Roman" w:hAnsi="Times New Roman" w:eastAsia="宋体" w:cs="Times New Roman"/>
                <w:sz w:val="21"/>
                <w:lang w:eastAsia="en-US"/>
              </w:rPr>
              <w:t>cm/s≤K≤1.0×10</w:t>
            </w:r>
            <w:r>
              <w:rPr>
                <w:rFonts w:hint="default" w:ascii="Times New Roman" w:hAnsi="Times New Roman" w:eastAsia="宋体" w:cs="Times New Roman"/>
                <w:sz w:val="21"/>
                <w:vertAlign w:val="superscript"/>
                <w:lang w:eastAsia="en-US"/>
              </w:rPr>
              <w:t>-4</w:t>
            </w:r>
            <w:r>
              <w:rPr>
                <w:rFonts w:hint="default" w:ascii="Times New Roman" w:hAnsi="Times New Roman" w:eastAsia="宋体" w:cs="Times New Roman"/>
                <w:sz w:val="21"/>
                <w:lang w:eastAsia="en-US"/>
              </w:rPr>
              <w:t>cm/s, 且分布连续、稳定</w:t>
            </w:r>
          </w:p>
        </w:tc>
      </w:tr>
      <w:tr w14:paraId="007E594E">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830" w:type="pct"/>
            <w:tcBorders>
              <w:top w:val="single" w:color="000000" w:sz="4" w:space="0"/>
              <w:bottom w:val="single" w:color="000000" w:sz="4" w:space="0"/>
              <w:right w:val="single" w:color="000000" w:sz="4" w:space="0"/>
            </w:tcBorders>
            <w:vAlign w:val="center"/>
          </w:tcPr>
          <w:p w14:paraId="776A008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D1</w:t>
            </w:r>
          </w:p>
        </w:tc>
        <w:tc>
          <w:tcPr>
            <w:tcW w:w="4170" w:type="pct"/>
            <w:tcBorders>
              <w:top w:val="single" w:color="000000" w:sz="4" w:space="0"/>
              <w:left w:val="single" w:color="000000" w:sz="4" w:space="0"/>
              <w:bottom w:val="single" w:color="000000" w:sz="4" w:space="0"/>
            </w:tcBorders>
            <w:vAlign w:val="center"/>
          </w:tcPr>
          <w:p w14:paraId="661B8479">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岩（土）层不满足上述“D2”和“D3”条件</w:t>
            </w:r>
          </w:p>
        </w:tc>
      </w:tr>
      <w:tr w14:paraId="6CD2CEF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41" w:hRule="atLeast"/>
        </w:trPr>
        <w:tc>
          <w:tcPr>
            <w:tcW w:w="830" w:type="pct"/>
            <w:tcBorders>
              <w:top w:val="single" w:color="000000" w:sz="4" w:space="0"/>
              <w:right w:val="single" w:color="000000" w:sz="4" w:space="0"/>
            </w:tcBorders>
            <w:vAlign w:val="center"/>
          </w:tcPr>
          <w:p w14:paraId="42208AD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本项目</w:t>
            </w:r>
          </w:p>
        </w:tc>
        <w:tc>
          <w:tcPr>
            <w:tcW w:w="4170" w:type="pct"/>
            <w:tcBorders>
              <w:top w:val="single" w:color="000000" w:sz="4" w:space="0"/>
              <w:left w:val="single" w:color="000000" w:sz="4" w:space="0"/>
            </w:tcBorders>
            <w:vAlign w:val="center"/>
          </w:tcPr>
          <w:p w14:paraId="0CD5AF8C">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本项目Mb≥1.0m， K&gt;1×10 -</w:t>
            </w:r>
            <w:r>
              <w:rPr>
                <w:rFonts w:hint="default" w:ascii="Times New Roman" w:hAnsi="Times New Roman" w:eastAsia="宋体" w:cs="Times New Roman"/>
                <w:sz w:val="21"/>
                <w:vertAlign w:val="superscript"/>
                <w:lang w:eastAsia="zh-CN"/>
              </w:rPr>
              <w:t>4</w:t>
            </w:r>
            <w:r>
              <w:rPr>
                <w:rFonts w:hint="default" w:ascii="Times New Roman" w:hAnsi="Times New Roman" w:eastAsia="宋体" w:cs="Times New Roman"/>
                <w:sz w:val="21"/>
                <w:lang w:eastAsia="zh-CN"/>
              </w:rPr>
              <w:t>cm/s，且分布连续、稳定，确定为D1。</w:t>
            </w:r>
          </w:p>
        </w:tc>
      </w:tr>
    </w:tbl>
    <w:p w14:paraId="4394B5B6">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9.3.4 环境风险潜势判断</w:t>
      </w:r>
    </w:p>
    <w:p w14:paraId="3C5D159E">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环境风险潜势综合等级取各要素等级的相对高值。根据前文分析，本项目危险物质及工艺系统危险性为P4，大气、地表水、地下水环境敏感程度分别为E2、E2、E2，根据建设项目环境风险潜势划分表，经判定，本项目各环境要素风险潜势等级和环境风险潜势综合等级判定结果如下表所示。</w:t>
      </w:r>
    </w:p>
    <w:p w14:paraId="30039C3C">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表9.3-13 建设项目环境风险潜势判定结果</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822"/>
        <w:gridCol w:w="3261"/>
        <w:gridCol w:w="3253"/>
      </w:tblGrid>
      <w:tr w14:paraId="31636BA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10" w:hRule="atLeast"/>
        </w:trPr>
        <w:tc>
          <w:tcPr>
            <w:tcW w:w="1093" w:type="pct"/>
            <w:tcBorders>
              <w:bottom w:val="single" w:color="000000" w:sz="4" w:space="0"/>
              <w:right w:val="single" w:color="000000" w:sz="4" w:space="0"/>
            </w:tcBorders>
            <w:vAlign w:val="center"/>
          </w:tcPr>
          <w:p w14:paraId="324F2E7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环境要素</w:t>
            </w:r>
          </w:p>
        </w:tc>
        <w:tc>
          <w:tcPr>
            <w:tcW w:w="1956" w:type="pct"/>
            <w:tcBorders>
              <w:left w:val="single" w:color="000000" w:sz="4" w:space="0"/>
              <w:bottom w:val="single" w:color="000000" w:sz="4" w:space="0"/>
              <w:right w:val="single" w:color="000000" w:sz="4" w:space="0"/>
            </w:tcBorders>
            <w:vAlign w:val="center"/>
          </w:tcPr>
          <w:p w14:paraId="6DC14F8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环境敏感程度</w:t>
            </w:r>
          </w:p>
        </w:tc>
        <w:tc>
          <w:tcPr>
            <w:tcW w:w="1951" w:type="pct"/>
            <w:tcBorders>
              <w:left w:val="single" w:color="000000" w:sz="4" w:space="0"/>
              <w:bottom w:val="single" w:color="000000" w:sz="4" w:space="0"/>
            </w:tcBorders>
            <w:vAlign w:val="center"/>
          </w:tcPr>
          <w:p w14:paraId="78282324">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各环境要素环境风险潜势分级</w:t>
            </w:r>
          </w:p>
        </w:tc>
      </w:tr>
      <w:tr w14:paraId="095B3040">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1093" w:type="pct"/>
            <w:tcBorders>
              <w:top w:val="single" w:color="000000" w:sz="4" w:space="0"/>
              <w:bottom w:val="single" w:color="000000" w:sz="4" w:space="0"/>
              <w:right w:val="single" w:color="000000" w:sz="4" w:space="0"/>
            </w:tcBorders>
            <w:vAlign w:val="center"/>
          </w:tcPr>
          <w:p w14:paraId="01EBAFD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大气环境</w:t>
            </w:r>
          </w:p>
        </w:tc>
        <w:tc>
          <w:tcPr>
            <w:tcW w:w="1956" w:type="pct"/>
            <w:tcBorders>
              <w:top w:val="single" w:color="000000" w:sz="4" w:space="0"/>
              <w:left w:val="single" w:color="000000" w:sz="4" w:space="0"/>
              <w:bottom w:val="single" w:color="000000" w:sz="4" w:space="0"/>
              <w:right w:val="single" w:color="000000" w:sz="4" w:space="0"/>
            </w:tcBorders>
            <w:vAlign w:val="center"/>
          </w:tcPr>
          <w:p w14:paraId="477F3BB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951" w:type="pct"/>
            <w:tcBorders>
              <w:top w:val="single" w:color="000000" w:sz="4" w:space="0"/>
              <w:left w:val="single" w:color="000000" w:sz="4" w:space="0"/>
              <w:bottom w:val="single" w:color="000000" w:sz="4" w:space="0"/>
            </w:tcBorders>
            <w:vAlign w:val="center"/>
          </w:tcPr>
          <w:p w14:paraId="668765B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r>
      <w:tr w14:paraId="304AA79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1093" w:type="pct"/>
            <w:tcBorders>
              <w:top w:val="single" w:color="000000" w:sz="4" w:space="0"/>
              <w:bottom w:val="single" w:color="000000" w:sz="4" w:space="0"/>
              <w:right w:val="single" w:color="000000" w:sz="4" w:space="0"/>
            </w:tcBorders>
            <w:vAlign w:val="center"/>
          </w:tcPr>
          <w:p w14:paraId="563A3B1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地表水环境</w:t>
            </w:r>
          </w:p>
        </w:tc>
        <w:tc>
          <w:tcPr>
            <w:tcW w:w="1956" w:type="pct"/>
            <w:tcBorders>
              <w:top w:val="single" w:color="000000" w:sz="4" w:space="0"/>
              <w:left w:val="single" w:color="000000" w:sz="4" w:space="0"/>
              <w:bottom w:val="single" w:color="000000" w:sz="4" w:space="0"/>
              <w:right w:val="single" w:color="000000" w:sz="4" w:space="0"/>
            </w:tcBorders>
            <w:vAlign w:val="center"/>
          </w:tcPr>
          <w:p w14:paraId="3528D3D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951" w:type="pct"/>
            <w:tcBorders>
              <w:top w:val="single" w:color="000000" w:sz="4" w:space="0"/>
              <w:left w:val="single" w:color="000000" w:sz="4" w:space="0"/>
              <w:bottom w:val="single" w:color="000000" w:sz="4" w:space="0"/>
            </w:tcBorders>
            <w:vAlign w:val="center"/>
          </w:tcPr>
          <w:p w14:paraId="710B9DB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r>
      <w:tr w14:paraId="4F926A3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0" w:hRule="atLeast"/>
        </w:trPr>
        <w:tc>
          <w:tcPr>
            <w:tcW w:w="1093" w:type="pct"/>
            <w:tcBorders>
              <w:top w:val="single" w:color="000000" w:sz="4" w:space="0"/>
              <w:bottom w:val="single" w:color="000000" w:sz="4" w:space="0"/>
              <w:right w:val="single" w:color="000000" w:sz="4" w:space="0"/>
            </w:tcBorders>
            <w:vAlign w:val="center"/>
          </w:tcPr>
          <w:p w14:paraId="0A41655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地下水环境</w:t>
            </w:r>
          </w:p>
        </w:tc>
        <w:tc>
          <w:tcPr>
            <w:tcW w:w="1956" w:type="pct"/>
            <w:tcBorders>
              <w:top w:val="single" w:color="000000" w:sz="4" w:space="0"/>
              <w:left w:val="single" w:color="000000" w:sz="4" w:space="0"/>
              <w:bottom w:val="single" w:color="000000" w:sz="4" w:space="0"/>
              <w:right w:val="single" w:color="000000" w:sz="4" w:space="0"/>
            </w:tcBorders>
            <w:vAlign w:val="center"/>
          </w:tcPr>
          <w:p w14:paraId="04B5C27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E2</w:t>
            </w:r>
          </w:p>
        </w:tc>
        <w:tc>
          <w:tcPr>
            <w:tcW w:w="1951" w:type="pct"/>
            <w:tcBorders>
              <w:top w:val="single" w:color="000000" w:sz="4" w:space="0"/>
              <w:left w:val="single" w:color="000000" w:sz="4" w:space="0"/>
              <w:bottom w:val="single" w:color="000000" w:sz="4" w:space="0"/>
            </w:tcBorders>
            <w:vAlign w:val="center"/>
          </w:tcPr>
          <w:p w14:paraId="39E9957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r>
      <w:tr w14:paraId="3AEB7253">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29" w:hRule="atLeast"/>
        </w:trPr>
        <w:tc>
          <w:tcPr>
            <w:tcW w:w="3049" w:type="pct"/>
            <w:gridSpan w:val="2"/>
            <w:tcBorders>
              <w:top w:val="single" w:color="000000" w:sz="4" w:space="0"/>
              <w:right w:val="single" w:color="000000" w:sz="4" w:space="0"/>
            </w:tcBorders>
            <w:vAlign w:val="center"/>
          </w:tcPr>
          <w:p w14:paraId="14C21394">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建设项目环境风险潜势综合等级</w:t>
            </w:r>
          </w:p>
        </w:tc>
        <w:tc>
          <w:tcPr>
            <w:tcW w:w="1951" w:type="pct"/>
            <w:tcBorders>
              <w:top w:val="single" w:color="000000" w:sz="4" w:space="0"/>
              <w:left w:val="single" w:color="000000" w:sz="4" w:space="0"/>
            </w:tcBorders>
            <w:vAlign w:val="center"/>
          </w:tcPr>
          <w:p w14:paraId="486A9A7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Ⅱ</w:t>
            </w:r>
          </w:p>
        </w:tc>
      </w:tr>
    </w:tbl>
    <w:p w14:paraId="45B865A6">
      <w:pPr>
        <w:pStyle w:val="82"/>
        <w:spacing w:line="360" w:lineRule="auto"/>
        <w:jc w:val="center"/>
        <w:rPr>
          <w:rFonts w:hint="default" w:ascii="Times New Roman" w:hAnsi="Times New Roman" w:eastAsia="宋体" w:cs="Times New Roman"/>
          <w:b/>
          <w:bCs/>
          <w:sz w:val="21"/>
          <w:szCs w:val="15"/>
        </w:rPr>
      </w:pPr>
      <w:r>
        <w:rPr>
          <w:rFonts w:hint="default" w:ascii="Times New Roman" w:hAnsi="Times New Roman" w:eastAsia="宋体" w:cs="Times New Roman"/>
          <w:b/>
          <w:bCs/>
          <w:sz w:val="21"/>
          <w:szCs w:val="15"/>
        </w:rPr>
        <w:t>表9.3-14  评价等级判别表</w:t>
      </w:r>
    </w:p>
    <w:tbl>
      <w:tblPr>
        <w:tblStyle w:val="3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812"/>
        <w:gridCol w:w="1753"/>
        <w:gridCol w:w="1651"/>
        <w:gridCol w:w="1464"/>
        <w:gridCol w:w="1653"/>
      </w:tblGrid>
      <w:tr w14:paraId="1339DC0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7" w:type="pct"/>
            <w:vAlign w:val="center"/>
          </w:tcPr>
          <w:p w14:paraId="6711F46F">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环境风险潜势</w:t>
            </w:r>
          </w:p>
        </w:tc>
        <w:tc>
          <w:tcPr>
            <w:tcW w:w="1051" w:type="pct"/>
            <w:vAlign w:val="center"/>
          </w:tcPr>
          <w:p w14:paraId="517FF6E5">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Ⅳ、Ⅳ+</w:t>
            </w:r>
          </w:p>
        </w:tc>
        <w:tc>
          <w:tcPr>
            <w:tcW w:w="990" w:type="pct"/>
            <w:vAlign w:val="center"/>
          </w:tcPr>
          <w:p w14:paraId="1C49D8EC">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Ⅲ</w:t>
            </w:r>
          </w:p>
        </w:tc>
        <w:tc>
          <w:tcPr>
            <w:tcW w:w="878" w:type="pct"/>
            <w:vAlign w:val="center"/>
          </w:tcPr>
          <w:p w14:paraId="3520BC6C">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Ⅱ</w:t>
            </w:r>
          </w:p>
        </w:tc>
        <w:tc>
          <w:tcPr>
            <w:tcW w:w="991" w:type="pct"/>
            <w:vAlign w:val="center"/>
          </w:tcPr>
          <w:p w14:paraId="2F586D11">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Ⅰ</w:t>
            </w:r>
          </w:p>
        </w:tc>
      </w:tr>
      <w:tr w14:paraId="222CA8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087" w:type="pct"/>
            <w:vAlign w:val="center"/>
          </w:tcPr>
          <w:p w14:paraId="6889B8E8">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环境评价等级</w:t>
            </w:r>
          </w:p>
        </w:tc>
        <w:tc>
          <w:tcPr>
            <w:tcW w:w="1051" w:type="pct"/>
            <w:vAlign w:val="center"/>
          </w:tcPr>
          <w:p w14:paraId="228D0FDE">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一</w:t>
            </w:r>
          </w:p>
        </w:tc>
        <w:tc>
          <w:tcPr>
            <w:tcW w:w="990" w:type="pct"/>
            <w:vAlign w:val="center"/>
          </w:tcPr>
          <w:p w14:paraId="2F4CA7DC">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二</w:t>
            </w:r>
          </w:p>
        </w:tc>
        <w:tc>
          <w:tcPr>
            <w:tcW w:w="878" w:type="pct"/>
            <w:vAlign w:val="center"/>
          </w:tcPr>
          <w:p w14:paraId="6DA74DD4">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三</w:t>
            </w:r>
          </w:p>
        </w:tc>
        <w:tc>
          <w:tcPr>
            <w:tcW w:w="991" w:type="pct"/>
            <w:vAlign w:val="center"/>
          </w:tcPr>
          <w:p w14:paraId="0FC655E8">
            <w:pPr>
              <w:pStyle w:val="60"/>
              <w:keepNext w:val="0"/>
              <w:keepLines w:val="0"/>
              <w:suppressLineNumbers w:val="0"/>
              <w:spacing w:before="0" w:beforeAutospacing="0" w:after="0" w:afterAutospacing="0"/>
              <w:ind w:left="0" w:right="0"/>
              <w:rPr>
                <w:rFonts w:hint="default" w:ascii="Times New Roman" w:hAnsi="Times New Roman" w:eastAsia="宋体" w:cs="Times New Roman"/>
                <w:color w:val="000000"/>
              </w:rPr>
            </w:pPr>
            <w:r>
              <w:rPr>
                <w:rFonts w:hint="default" w:ascii="Times New Roman" w:hAnsi="Times New Roman" w:eastAsia="宋体" w:cs="Times New Roman"/>
                <w:color w:val="000000"/>
              </w:rPr>
              <w:t>简单分析</w:t>
            </w:r>
          </w:p>
        </w:tc>
      </w:tr>
    </w:tbl>
    <w:p w14:paraId="4DA89462">
      <w:pPr>
        <w:spacing w:line="480" w:lineRule="exact"/>
        <w:ind w:firstLine="480" w:firstLineChars="200"/>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上述风险潜势，故本项目大气环境风险评价等级为三级,地表水环境风险评价等级为三级，地下水环境风险等级为三级，评价内容主要为根据各个环节要素分别开展预测评价，三级评价需定性分析环境影响后果。</w:t>
      </w:r>
    </w:p>
    <w:p w14:paraId="4A552903">
      <w:pPr>
        <w:pStyle w:val="3"/>
        <w:spacing w:before="0" w:after="0" w:line="360" w:lineRule="auto"/>
        <w:rPr>
          <w:rFonts w:hint="default" w:ascii="Times New Roman" w:hAnsi="Times New Roman" w:eastAsia="宋体" w:cs="Times New Roman"/>
        </w:rPr>
      </w:pPr>
      <w:bookmarkStart w:id="390" w:name="_Toc20555"/>
      <w:r>
        <w:rPr>
          <w:rFonts w:hint="default" w:ascii="Times New Roman" w:hAnsi="Times New Roman" w:eastAsia="宋体" w:cs="Times New Roman"/>
        </w:rPr>
        <w:t>9.4环境风险识别</w:t>
      </w:r>
      <w:bookmarkEnd w:id="390"/>
    </w:p>
    <w:p w14:paraId="67E39F2E">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9.4.1环境风险识别范围和类型</w:t>
      </w:r>
    </w:p>
    <w:p w14:paraId="0C737B96">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1、风险识别范围</w:t>
      </w:r>
    </w:p>
    <w:p w14:paraId="4E3B4BE4">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风险识别范围包括生产设施风险识别和生产过程所涉及的物质风险识别。</w:t>
      </w:r>
    </w:p>
    <w:p w14:paraId="238C79B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（1）生产设施风险识别范围：主要生产装置、贮运系统、公用工程系统、工程环保设施及辅助生产设施等；</w:t>
      </w:r>
    </w:p>
    <w:p w14:paraId="51C5DBF8">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（2）物质风险识别范围：主要原材料及辅助材料、中间产物、最终产品以及生产过程排放的“三废”污染物等。</w:t>
      </w:r>
    </w:p>
    <w:p w14:paraId="2B4EFED4">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2、风险类型</w:t>
      </w:r>
    </w:p>
    <w:p w14:paraId="2F4F779E">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在《建设项目环境风险评价技术导则》（HJ169-2018）中，根据有毒有害物质的放散起因，将风险事故分为火灾、爆炸和泄漏三种类型。</w:t>
      </w:r>
    </w:p>
    <w:p w14:paraId="08D37B49">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本项目可能发生的风险事故主要为：危险化学品及危险废物的事故性泄漏、火灾风险。</w:t>
      </w:r>
    </w:p>
    <w:p w14:paraId="577FBC96">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9.4.2环境风险识别内容</w:t>
      </w:r>
    </w:p>
    <w:p w14:paraId="6CFF408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1、物质危险性识别</w:t>
      </w:r>
    </w:p>
    <w:p w14:paraId="37CA249C">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拟建项目生产过程中主要涉及的危险物质为生产过程中收集的废弃包装物及容器附着、残留的废矿物油、废染料、废涂料、废树脂、废有机溶剂等，具体介绍如下：有机溶剂主要指那些可以溶解不溶于水的某些有机物（如油脂、树脂、蜡、烃类、染料等），其本身也均是有机化合物，常温常压下呈液态存在；在溶解过程中，它与溶质的性质均无改变。有机溶剂由于种类繁多，化学结构各异，故理化性质差异甚大，但也具有几点共性： 常温常压下呈液态，挥发性强，具有各自独特气味及一定刺激性；大部分（除酯类、部分卤烃外）具易燃易爆性；具优良脂溶性，可经皮肤吸收，易透过血脑屏障。上述共同性质也决定有机溶剂具有两个共同毒性。</w:t>
      </w:r>
    </w:p>
    <w:p w14:paraId="74F44A63">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（1）刺激作用：有机溶剂均具不同程度的皮肤黏膜刺激性，皮肤接触可出现皲裂、皮炎甚至灼伤，其蒸气吸入可引起呛咳、流涕，重者如酯类、酮类、卤代烃等可引起支气管炎、肺炎、肺水肿甚至肺出血。</w:t>
      </w:r>
    </w:p>
    <w:p w14:paraId="20D48E76">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（2）醉作用：这是有机溶剂最突出的共同毒性，吸入浓度不高或高浓度吸入之初期，患者可出现头痛、头晕、视物不清、兴奋不安、恶心等症状，继续</w:t>
      </w:r>
      <w:r>
        <w:rPr>
          <w:rFonts w:hint="default" w:ascii="Times New Roman" w:hAnsi="Times New Roman" w:eastAsia="宋体" w:cs="Times New Roman"/>
          <w:sz w:val="24"/>
          <w:szCs w:val="24"/>
          <w:lang w:eastAsia="zh-CN"/>
        </w:rPr>
        <w:t>吸入</w:t>
      </w:r>
      <w:r>
        <w:rPr>
          <w:rFonts w:hint="default" w:ascii="Times New Roman" w:hAnsi="Times New Roman" w:eastAsia="宋体" w:cs="Times New Roman"/>
          <w:sz w:val="24"/>
          <w:szCs w:val="24"/>
        </w:rPr>
        <w:t>则可引起精神失常、狂躁、抽搐、惊厥、昏迷，往往可因</w:t>
      </w:r>
      <w:r>
        <w:rPr>
          <w:rFonts w:hint="default" w:ascii="Times New Roman" w:hAnsi="Times New Roman" w:eastAsia="宋体" w:cs="Times New Roman"/>
          <w:sz w:val="24"/>
          <w:szCs w:val="24"/>
          <w:lang w:eastAsia="zh-CN"/>
        </w:rPr>
        <w:t>心律失常</w:t>
      </w:r>
      <w:r>
        <w:rPr>
          <w:rFonts w:hint="default" w:ascii="Times New Roman" w:hAnsi="Times New Roman" w:eastAsia="宋体" w:cs="Times New Roman"/>
          <w:sz w:val="24"/>
          <w:szCs w:val="24"/>
        </w:rPr>
        <w:t>、心肌纤颤或呼吸骤停而死亡。</w:t>
      </w:r>
    </w:p>
    <w:p w14:paraId="7D22F125">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除上述共同毒性外，不同的有机溶剂尚有其特殊毒性，如有的神经毒性甚强， 可引起中毒性脑病、中毒性神经病，甚至可导致精神失常；有的可引起中毒性肝病中毒性肾病、中毒性心肌病等；慢性接触时，有的尚可引起再生障碍性贫血（苯等）、致畸致突变（二硫化碳等）。</w:t>
      </w:r>
    </w:p>
    <w:p w14:paraId="5FC746F9">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2、生产过程潜在危险性识别</w:t>
      </w:r>
    </w:p>
    <w:p w14:paraId="21D69AD7">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本项目而言，主要包括以下几方面的内容：储存设施危险性识别、生产装置危险性识别、运输装卸系统危险性识别、环保设施的危险性识别。</w:t>
      </w:r>
    </w:p>
    <w:p w14:paraId="506F81EC">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（1）储存设施危险性</w:t>
      </w:r>
    </w:p>
    <w:p w14:paraId="6BF19D1B">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本项目在</w:t>
      </w:r>
      <w:r>
        <w:rPr>
          <w:rFonts w:hint="default" w:ascii="Times New Roman" w:hAnsi="Times New Roman" w:eastAsia="宋体" w:cs="Times New Roman"/>
          <w:sz w:val="24"/>
          <w:szCs w:val="24"/>
        </w:rPr>
        <w:t>贮运过程中的部分物料涉及腐蚀等危险特性，因此仍有可能引发物质泄漏、中毒等环境污染事件。残液暂存间中的残液或危险废物贮存库危险废物储存不当可能发生泄漏、火灾、爆炸事故，储存设施识别结果见下表。</w:t>
      </w:r>
    </w:p>
    <w:p w14:paraId="7DFCE0AB">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表9.4-1 危险识别结果</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130"/>
        <w:gridCol w:w="3027"/>
        <w:gridCol w:w="1789"/>
        <w:gridCol w:w="1286"/>
        <w:gridCol w:w="1104"/>
      </w:tblGrid>
      <w:tr w14:paraId="22F82D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678" w:type="pct"/>
            <w:tcBorders>
              <w:bottom w:val="single" w:color="000000" w:sz="4" w:space="0"/>
              <w:right w:val="single" w:color="000000" w:sz="4" w:space="0"/>
            </w:tcBorders>
            <w:vAlign w:val="center"/>
          </w:tcPr>
          <w:p w14:paraId="72AC87D8">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项目</w:t>
            </w:r>
          </w:p>
        </w:tc>
        <w:tc>
          <w:tcPr>
            <w:tcW w:w="1815" w:type="pct"/>
            <w:tcBorders>
              <w:left w:val="single" w:color="000000" w:sz="4" w:space="0"/>
              <w:bottom w:val="single" w:color="000000" w:sz="4" w:space="0"/>
              <w:right w:val="single" w:color="000000" w:sz="4" w:space="0"/>
            </w:tcBorders>
            <w:vAlign w:val="center"/>
          </w:tcPr>
          <w:p w14:paraId="6D6820D9">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罐、槽（容器类）</w:t>
            </w:r>
          </w:p>
        </w:tc>
        <w:tc>
          <w:tcPr>
            <w:tcW w:w="1073" w:type="pct"/>
            <w:tcBorders>
              <w:left w:val="single" w:color="000000" w:sz="4" w:space="0"/>
              <w:bottom w:val="single" w:color="000000" w:sz="4" w:space="0"/>
              <w:right w:val="single" w:color="000000" w:sz="4" w:space="0"/>
            </w:tcBorders>
            <w:vAlign w:val="center"/>
          </w:tcPr>
          <w:p w14:paraId="3C8C33CB">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管道</w:t>
            </w:r>
          </w:p>
        </w:tc>
        <w:tc>
          <w:tcPr>
            <w:tcW w:w="771" w:type="pct"/>
            <w:tcBorders>
              <w:left w:val="single" w:color="000000" w:sz="4" w:space="0"/>
              <w:bottom w:val="single" w:color="000000" w:sz="4" w:space="0"/>
              <w:right w:val="single" w:color="000000" w:sz="4" w:space="0"/>
            </w:tcBorders>
            <w:vAlign w:val="center"/>
          </w:tcPr>
          <w:p w14:paraId="24697769">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泵</w:t>
            </w:r>
          </w:p>
        </w:tc>
        <w:tc>
          <w:tcPr>
            <w:tcW w:w="662" w:type="pct"/>
            <w:tcBorders>
              <w:left w:val="single" w:color="000000" w:sz="4" w:space="0"/>
              <w:bottom w:val="single" w:color="000000" w:sz="4" w:space="0"/>
            </w:tcBorders>
            <w:vAlign w:val="center"/>
          </w:tcPr>
          <w:p w14:paraId="02F3F919">
            <w:pPr>
              <w:pStyle w:val="60"/>
              <w:rPr>
                <w:rFonts w:hint="default" w:ascii="Times New Roman" w:hAnsi="Times New Roman" w:eastAsia="宋体" w:cs="Times New Roman"/>
                <w:b/>
                <w:bCs/>
                <w:sz w:val="21"/>
                <w:lang w:eastAsia="en-US"/>
              </w:rPr>
            </w:pPr>
            <w:r>
              <w:rPr>
                <w:rFonts w:hint="default" w:ascii="Times New Roman" w:hAnsi="Times New Roman" w:eastAsia="宋体" w:cs="Times New Roman"/>
                <w:b/>
                <w:bCs/>
                <w:sz w:val="21"/>
                <w:lang w:eastAsia="en-US"/>
              </w:rPr>
              <w:t>其他</w:t>
            </w:r>
          </w:p>
        </w:tc>
      </w:tr>
      <w:tr w14:paraId="3F61C229">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678" w:type="pct"/>
            <w:tcBorders>
              <w:top w:val="single" w:color="000000" w:sz="4" w:space="0"/>
              <w:bottom w:val="single" w:color="000000" w:sz="4" w:space="0"/>
              <w:right w:val="single" w:color="000000" w:sz="4" w:space="0"/>
            </w:tcBorders>
            <w:vAlign w:val="center"/>
          </w:tcPr>
          <w:p w14:paraId="63D23B8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设计制造缺陷</w:t>
            </w:r>
          </w:p>
        </w:tc>
        <w:tc>
          <w:tcPr>
            <w:tcW w:w="1815" w:type="pct"/>
            <w:tcBorders>
              <w:top w:val="single" w:color="000000" w:sz="4" w:space="0"/>
              <w:left w:val="single" w:color="000000" w:sz="4" w:space="0"/>
              <w:bottom w:val="single" w:color="000000" w:sz="4" w:space="0"/>
              <w:right w:val="single" w:color="000000" w:sz="4" w:space="0"/>
            </w:tcBorders>
            <w:vAlign w:val="center"/>
          </w:tcPr>
          <w:p w14:paraId="3AA05D68">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按常压设计；选材或材质不当；焊接质量差；自制或改装设备</w:t>
            </w:r>
          </w:p>
        </w:tc>
        <w:tc>
          <w:tcPr>
            <w:tcW w:w="1073" w:type="pct"/>
            <w:tcBorders>
              <w:top w:val="single" w:color="000000" w:sz="4" w:space="0"/>
              <w:left w:val="single" w:color="000000" w:sz="4" w:space="0"/>
              <w:bottom w:val="single" w:color="000000" w:sz="4" w:space="0"/>
              <w:right w:val="single" w:color="000000" w:sz="4" w:space="0"/>
            </w:tcBorders>
            <w:vAlign w:val="center"/>
          </w:tcPr>
          <w:p w14:paraId="0F8F6DA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设计不合理；材质缺陷；制造质量</w:t>
            </w:r>
          </w:p>
          <w:p w14:paraId="28AF85D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差；焊接质量差</w:t>
            </w:r>
          </w:p>
        </w:tc>
        <w:tc>
          <w:tcPr>
            <w:tcW w:w="771" w:type="pct"/>
            <w:tcBorders>
              <w:top w:val="single" w:color="000000" w:sz="4" w:space="0"/>
              <w:left w:val="single" w:color="000000" w:sz="4" w:space="0"/>
              <w:bottom w:val="single" w:color="000000" w:sz="4" w:space="0"/>
              <w:right w:val="single" w:color="000000" w:sz="4" w:space="0"/>
            </w:tcBorders>
            <w:vAlign w:val="center"/>
          </w:tcPr>
          <w:p w14:paraId="4BDF504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材质不当</w:t>
            </w:r>
          </w:p>
        </w:tc>
        <w:tc>
          <w:tcPr>
            <w:tcW w:w="662" w:type="pct"/>
            <w:tcBorders>
              <w:top w:val="single" w:color="000000" w:sz="4" w:space="0"/>
              <w:left w:val="single" w:color="000000" w:sz="4" w:space="0"/>
              <w:bottom w:val="single" w:color="000000" w:sz="4" w:space="0"/>
            </w:tcBorders>
            <w:vAlign w:val="center"/>
          </w:tcPr>
          <w:p w14:paraId="14A01232">
            <w:pPr>
              <w:pStyle w:val="60"/>
              <w:rPr>
                <w:rFonts w:hint="default" w:ascii="Times New Roman" w:hAnsi="Times New Roman" w:eastAsia="宋体" w:cs="Times New Roman"/>
                <w:lang w:eastAsia="en-US"/>
              </w:rPr>
            </w:pPr>
          </w:p>
        </w:tc>
      </w:tr>
      <w:tr w14:paraId="3E1BBAF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361" w:hRule="atLeast"/>
        </w:trPr>
        <w:tc>
          <w:tcPr>
            <w:tcW w:w="678" w:type="pct"/>
            <w:tcBorders>
              <w:top w:val="single" w:color="000000" w:sz="4" w:space="0"/>
              <w:bottom w:val="single" w:color="000000" w:sz="4" w:space="0"/>
              <w:right w:val="single" w:color="000000" w:sz="4" w:space="0"/>
            </w:tcBorders>
            <w:vAlign w:val="center"/>
          </w:tcPr>
          <w:p w14:paraId="6EAD873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维护不周设备缺陷</w:t>
            </w:r>
          </w:p>
        </w:tc>
        <w:tc>
          <w:tcPr>
            <w:tcW w:w="1815" w:type="pct"/>
            <w:tcBorders>
              <w:top w:val="single" w:color="000000" w:sz="4" w:space="0"/>
              <w:left w:val="single" w:color="000000" w:sz="4" w:space="0"/>
              <w:bottom w:val="single" w:color="000000" w:sz="4" w:space="0"/>
              <w:right w:val="single" w:color="000000" w:sz="4" w:space="0"/>
            </w:tcBorders>
            <w:vAlign w:val="center"/>
          </w:tcPr>
          <w:p w14:paraId="0D37CF0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1、腐蚀使强度降低；2、腐蚀泄 漏；3、阀门等不严泄漏；4、密封不严进空气；5、阀门缺陷反窜料；6、安全装备失效；7、水罐疏水器失灵</w:t>
            </w:r>
          </w:p>
        </w:tc>
        <w:tc>
          <w:tcPr>
            <w:tcW w:w="1073" w:type="pct"/>
            <w:tcBorders>
              <w:top w:val="single" w:color="000000" w:sz="4" w:space="0"/>
              <w:left w:val="single" w:color="000000" w:sz="4" w:space="0"/>
              <w:bottom w:val="single" w:color="000000" w:sz="4" w:space="0"/>
              <w:right w:val="single" w:color="000000" w:sz="4" w:space="0"/>
            </w:tcBorders>
            <w:vAlign w:val="center"/>
          </w:tcPr>
          <w:p w14:paraId="0AD6D898">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腐蚀断裂；流体冲刷管严重变薄；承受外载大；压力表</w:t>
            </w:r>
          </w:p>
          <w:p w14:paraId="5FDDF2A0">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安全阀失灵；积炭自燃</w:t>
            </w:r>
          </w:p>
        </w:tc>
        <w:tc>
          <w:tcPr>
            <w:tcW w:w="771" w:type="pct"/>
            <w:tcBorders>
              <w:top w:val="single" w:color="000000" w:sz="4" w:space="0"/>
              <w:left w:val="single" w:color="000000" w:sz="4" w:space="0"/>
              <w:bottom w:val="single" w:color="000000" w:sz="4" w:space="0"/>
              <w:right w:val="single" w:color="000000" w:sz="4" w:space="0"/>
            </w:tcBorders>
            <w:vAlign w:val="center"/>
          </w:tcPr>
          <w:p w14:paraId="54DEDD88">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密封不严腐蚀泄漏止逆阀失效危险物质相混反应喷出</w:t>
            </w:r>
          </w:p>
        </w:tc>
        <w:tc>
          <w:tcPr>
            <w:tcW w:w="662" w:type="pct"/>
            <w:tcBorders>
              <w:top w:val="single" w:color="000000" w:sz="4" w:space="0"/>
              <w:left w:val="single" w:color="000000" w:sz="4" w:space="0"/>
              <w:bottom w:val="single" w:color="000000" w:sz="4" w:space="0"/>
            </w:tcBorders>
            <w:vAlign w:val="center"/>
          </w:tcPr>
          <w:p w14:paraId="638F154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不熄火检 修，空气进入爆炸</w:t>
            </w:r>
          </w:p>
        </w:tc>
      </w:tr>
      <w:tr w14:paraId="4A830337">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8" w:hRule="atLeast"/>
        </w:trPr>
        <w:tc>
          <w:tcPr>
            <w:tcW w:w="678" w:type="pct"/>
            <w:tcBorders>
              <w:top w:val="single" w:color="000000" w:sz="4" w:space="0"/>
              <w:bottom w:val="single" w:color="000000" w:sz="4" w:space="0"/>
              <w:right w:val="single" w:color="000000" w:sz="4" w:space="0"/>
            </w:tcBorders>
            <w:vAlign w:val="center"/>
          </w:tcPr>
          <w:p w14:paraId="495F9833">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工艺违反操作规程或者</w:t>
            </w:r>
          </w:p>
          <w:p w14:paraId="623B6A94">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操作失误</w:t>
            </w:r>
          </w:p>
        </w:tc>
        <w:tc>
          <w:tcPr>
            <w:tcW w:w="1815" w:type="pct"/>
            <w:tcBorders>
              <w:top w:val="single" w:color="000000" w:sz="4" w:space="0"/>
              <w:left w:val="single" w:color="000000" w:sz="4" w:space="0"/>
              <w:bottom w:val="single" w:color="000000" w:sz="4" w:space="0"/>
              <w:right w:val="single" w:color="000000" w:sz="4" w:space="0"/>
            </w:tcBorders>
            <w:vAlign w:val="center"/>
          </w:tcPr>
          <w:p w14:paraId="010087A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违章开关阀门；置换顺序错误；开关阀门错误；过量充装</w:t>
            </w:r>
          </w:p>
        </w:tc>
        <w:tc>
          <w:tcPr>
            <w:tcW w:w="1073" w:type="pct"/>
            <w:tcBorders>
              <w:top w:val="single" w:color="000000" w:sz="4" w:space="0"/>
              <w:left w:val="single" w:color="000000" w:sz="4" w:space="0"/>
              <w:bottom w:val="single" w:color="000000" w:sz="4" w:space="0"/>
              <w:right w:val="single" w:color="000000" w:sz="4" w:space="0"/>
            </w:tcBorders>
            <w:vAlign w:val="center"/>
          </w:tcPr>
          <w:p w14:paraId="50DCB3A0">
            <w:pPr>
              <w:pStyle w:val="60"/>
              <w:rPr>
                <w:rFonts w:hint="default" w:ascii="Times New Roman" w:hAnsi="Times New Roman" w:eastAsia="宋体" w:cs="Times New Roman"/>
                <w:b/>
                <w:lang w:eastAsia="zh-CN"/>
              </w:rPr>
            </w:pPr>
          </w:p>
          <w:p w14:paraId="094614D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771" w:type="pct"/>
            <w:tcBorders>
              <w:top w:val="single" w:color="000000" w:sz="4" w:space="0"/>
              <w:left w:val="single" w:color="000000" w:sz="4" w:space="0"/>
              <w:bottom w:val="single" w:color="000000" w:sz="4" w:space="0"/>
              <w:right w:val="single" w:color="000000" w:sz="4" w:space="0"/>
            </w:tcBorders>
            <w:vAlign w:val="center"/>
          </w:tcPr>
          <w:p w14:paraId="7943520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违章检修</w:t>
            </w:r>
          </w:p>
        </w:tc>
        <w:tc>
          <w:tcPr>
            <w:tcW w:w="662" w:type="pct"/>
            <w:tcBorders>
              <w:top w:val="single" w:color="000000" w:sz="4" w:space="0"/>
              <w:left w:val="single" w:color="000000" w:sz="4" w:space="0"/>
              <w:bottom w:val="single" w:color="000000" w:sz="4" w:space="0"/>
            </w:tcBorders>
            <w:vAlign w:val="center"/>
          </w:tcPr>
          <w:p w14:paraId="1D3398B3">
            <w:pPr>
              <w:pStyle w:val="60"/>
              <w:rPr>
                <w:rFonts w:hint="default" w:ascii="Times New Roman" w:hAnsi="Times New Roman" w:eastAsia="宋体" w:cs="Times New Roman"/>
                <w:b/>
                <w:lang w:eastAsia="en-US"/>
              </w:rPr>
            </w:pPr>
          </w:p>
          <w:p w14:paraId="0B5BDEC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4400DB6D">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89" w:hRule="atLeast"/>
        </w:trPr>
        <w:tc>
          <w:tcPr>
            <w:tcW w:w="678" w:type="pct"/>
            <w:tcBorders>
              <w:top w:val="single" w:color="000000" w:sz="4" w:space="0"/>
              <w:bottom w:val="single" w:color="000000" w:sz="4" w:space="0"/>
              <w:right w:val="single" w:color="000000" w:sz="4" w:space="0"/>
            </w:tcBorders>
            <w:vAlign w:val="center"/>
          </w:tcPr>
          <w:p w14:paraId="67D316B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管理漏洞</w:t>
            </w:r>
          </w:p>
        </w:tc>
        <w:tc>
          <w:tcPr>
            <w:tcW w:w="1815" w:type="pct"/>
            <w:tcBorders>
              <w:top w:val="single" w:color="000000" w:sz="4" w:space="0"/>
              <w:left w:val="single" w:color="000000" w:sz="4" w:space="0"/>
              <w:bottom w:val="single" w:color="000000" w:sz="4" w:space="0"/>
              <w:right w:val="single" w:color="000000" w:sz="4" w:space="0"/>
            </w:tcBorders>
            <w:vAlign w:val="center"/>
          </w:tcPr>
          <w:p w14:paraId="03CB8DB2">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无操作规程；劳动纪律松散；责任心不强；职工缺乏培训；领导指挥不当；可燃气体报警仪不安装或不投用</w:t>
            </w:r>
          </w:p>
        </w:tc>
        <w:tc>
          <w:tcPr>
            <w:tcW w:w="1073" w:type="pct"/>
            <w:tcBorders>
              <w:top w:val="single" w:color="000000" w:sz="4" w:space="0"/>
              <w:left w:val="single" w:color="000000" w:sz="4" w:space="0"/>
              <w:bottom w:val="single" w:color="000000" w:sz="4" w:space="0"/>
              <w:right w:val="single" w:color="000000" w:sz="4" w:space="0"/>
            </w:tcBorders>
            <w:vAlign w:val="center"/>
          </w:tcPr>
          <w:p w14:paraId="4DCB4048">
            <w:pPr>
              <w:pStyle w:val="60"/>
              <w:rPr>
                <w:rFonts w:hint="default" w:ascii="Times New Roman" w:hAnsi="Times New Roman" w:eastAsia="宋体" w:cs="Times New Roman"/>
                <w:b/>
                <w:lang w:eastAsia="zh-CN"/>
              </w:rPr>
            </w:pPr>
          </w:p>
          <w:p w14:paraId="1AEE291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771" w:type="pct"/>
            <w:tcBorders>
              <w:top w:val="single" w:color="000000" w:sz="4" w:space="0"/>
              <w:left w:val="single" w:color="000000" w:sz="4" w:space="0"/>
              <w:bottom w:val="single" w:color="000000" w:sz="4" w:space="0"/>
              <w:right w:val="single" w:color="000000" w:sz="4" w:space="0"/>
            </w:tcBorders>
            <w:vAlign w:val="center"/>
          </w:tcPr>
          <w:p w14:paraId="0F2957DF">
            <w:pPr>
              <w:pStyle w:val="60"/>
              <w:rPr>
                <w:rFonts w:hint="default" w:ascii="Times New Roman" w:hAnsi="Times New Roman" w:eastAsia="宋体" w:cs="Times New Roman"/>
                <w:b/>
                <w:lang w:eastAsia="en-US"/>
              </w:rPr>
            </w:pPr>
          </w:p>
          <w:p w14:paraId="729FC15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c>
          <w:tcPr>
            <w:tcW w:w="662" w:type="pct"/>
            <w:tcBorders>
              <w:top w:val="single" w:color="000000" w:sz="4" w:space="0"/>
              <w:left w:val="single" w:color="000000" w:sz="4" w:space="0"/>
              <w:bottom w:val="single" w:color="000000" w:sz="4" w:space="0"/>
            </w:tcBorders>
            <w:vAlign w:val="center"/>
          </w:tcPr>
          <w:p w14:paraId="0572CD1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静电引起爆炸</w:t>
            </w:r>
          </w:p>
        </w:tc>
      </w:tr>
      <w:tr w14:paraId="2DB83FBF">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16" w:hRule="atLeast"/>
        </w:trPr>
        <w:tc>
          <w:tcPr>
            <w:tcW w:w="678" w:type="pct"/>
            <w:tcBorders>
              <w:top w:val="single" w:color="000000" w:sz="4" w:space="0"/>
              <w:bottom w:val="single" w:color="000000" w:sz="4" w:space="0"/>
              <w:right w:val="single" w:color="000000" w:sz="4" w:space="0"/>
            </w:tcBorders>
            <w:vAlign w:val="center"/>
          </w:tcPr>
          <w:p w14:paraId="564141D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火源控制不严</w:t>
            </w:r>
          </w:p>
        </w:tc>
        <w:tc>
          <w:tcPr>
            <w:tcW w:w="1815" w:type="pct"/>
            <w:tcBorders>
              <w:top w:val="single" w:color="000000" w:sz="4" w:space="0"/>
              <w:left w:val="single" w:color="000000" w:sz="4" w:space="0"/>
              <w:bottom w:val="single" w:color="000000" w:sz="4" w:space="0"/>
              <w:right w:val="single" w:color="000000" w:sz="4" w:space="0"/>
            </w:tcBorders>
            <w:vAlign w:val="center"/>
          </w:tcPr>
          <w:p w14:paraId="7DCD14E2">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服装不防静电；违章吸烟；机动车无阻火器；防静电设施失效；</w:t>
            </w:r>
          </w:p>
          <w:p w14:paraId="46D0410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使用工具不防爆</w:t>
            </w:r>
          </w:p>
        </w:tc>
        <w:tc>
          <w:tcPr>
            <w:tcW w:w="1073" w:type="pct"/>
            <w:tcBorders>
              <w:top w:val="single" w:color="000000" w:sz="4" w:space="0"/>
              <w:left w:val="single" w:color="000000" w:sz="4" w:space="0"/>
              <w:bottom w:val="single" w:color="000000" w:sz="4" w:space="0"/>
              <w:right w:val="single" w:color="000000" w:sz="4" w:space="0"/>
            </w:tcBorders>
            <w:vAlign w:val="center"/>
          </w:tcPr>
          <w:p w14:paraId="5F8EAEF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静电</w:t>
            </w:r>
          </w:p>
        </w:tc>
        <w:tc>
          <w:tcPr>
            <w:tcW w:w="771" w:type="pct"/>
            <w:tcBorders>
              <w:top w:val="single" w:color="000000" w:sz="4" w:space="0"/>
              <w:left w:val="single" w:color="000000" w:sz="4" w:space="0"/>
              <w:bottom w:val="single" w:color="000000" w:sz="4" w:space="0"/>
              <w:right w:val="single" w:color="000000" w:sz="4" w:space="0"/>
            </w:tcBorders>
            <w:vAlign w:val="center"/>
          </w:tcPr>
          <w:p w14:paraId="1FC8A78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电器火花</w:t>
            </w:r>
          </w:p>
        </w:tc>
        <w:tc>
          <w:tcPr>
            <w:tcW w:w="662" w:type="pct"/>
            <w:tcBorders>
              <w:top w:val="single" w:color="000000" w:sz="4" w:space="0"/>
              <w:left w:val="single" w:color="000000" w:sz="4" w:space="0"/>
              <w:bottom w:val="single" w:color="000000" w:sz="4" w:space="0"/>
            </w:tcBorders>
            <w:vAlign w:val="center"/>
          </w:tcPr>
          <w:p w14:paraId="4901387D">
            <w:pPr>
              <w:pStyle w:val="60"/>
              <w:rPr>
                <w:rFonts w:hint="default" w:ascii="Times New Roman" w:hAnsi="Times New Roman" w:eastAsia="宋体" w:cs="Times New Roman"/>
                <w:b/>
                <w:lang w:eastAsia="en-US"/>
              </w:rPr>
            </w:pPr>
          </w:p>
          <w:p w14:paraId="4B213CF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2D228EF6">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678" w:type="pct"/>
            <w:tcBorders>
              <w:top w:val="single" w:color="000000" w:sz="4" w:space="0"/>
              <w:bottom w:val="single" w:color="000000" w:sz="4" w:space="0"/>
              <w:right w:val="single" w:color="000000" w:sz="4" w:space="0"/>
            </w:tcBorders>
            <w:vAlign w:val="center"/>
          </w:tcPr>
          <w:p w14:paraId="2C55DC3F">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工艺参数失</w:t>
            </w:r>
          </w:p>
          <w:p w14:paraId="5F48F8D9">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控</w:t>
            </w:r>
          </w:p>
        </w:tc>
        <w:tc>
          <w:tcPr>
            <w:tcW w:w="1815" w:type="pct"/>
            <w:tcBorders>
              <w:top w:val="single" w:color="000000" w:sz="4" w:space="0"/>
              <w:left w:val="single" w:color="000000" w:sz="4" w:space="0"/>
              <w:bottom w:val="single" w:color="000000" w:sz="4" w:space="0"/>
              <w:right w:val="single" w:color="000000" w:sz="4" w:space="0"/>
            </w:tcBorders>
            <w:vAlign w:val="center"/>
          </w:tcPr>
          <w:p w14:paraId="2443D7DD">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1、温度失控；2、压力失控；3、液位失控；4、流量失控</w:t>
            </w:r>
          </w:p>
        </w:tc>
        <w:tc>
          <w:tcPr>
            <w:tcW w:w="1073" w:type="pct"/>
            <w:tcBorders>
              <w:top w:val="single" w:color="000000" w:sz="4" w:space="0"/>
              <w:left w:val="single" w:color="000000" w:sz="4" w:space="0"/>
              <w:bottom w:val="single" w:color="000000" w:sz="4" w:space="0"/>
              <w:right w:val="single" w:color="000000" w:sz="4" w:space="0"/>
            </w:tcBorders>
            <w:vAlign w:val="center"/>
          </w:tcPr>
          <w:p w14:paraId="657147F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超流速</w:t>
            </w:r>
          </w:p>
        </w:tc>
        <w:tc>
          <w:tcPr>
            <w:tcW w:w="771" w:type="pct"/>
            <w:tcBorders>
              <w:top w:val="single" w:color="000000" w:sz="4" w:space="0"/>
              <w:left w:val="single" w:color="000000" w:sz="4" w:space="0"/>
              <w:bottom w:val="single" w:color="000000" w:sz="4" w:space="0"/>
              <w:right w:val="single" w:color="000000" w:sz="4" w:space="0"/>
            </w:tcBorders>
            <w:vAlign w:val="center"/>
          </w:tcPr>
          <w:p w14:paraId="42C50EE3">
            <w:pPr>
              <w:pStyle w:val="60"/>
              <w:rPr>
                <w:rFonts w:hint="default" w:ascii="Times New Roman" w:hAnsi="Times New Roman" w:eastAsia="宋体" w:cs="Times New Roman"/>
                <w:lang w:eastAsia="en-US"/>
              </w:rPr>
            </w:pPr>
            <w:r>
              <w:rPr>
                <w:rFonts w:hint="default" w:ascii="Times New Roman" w:hAnsi="Times New Roman" w:eastAsia="宋体" w:cs="Times New Roman"/>
                <w:sz w:val="21"/>
                <w:lang w:eastAsia="en-US"/>
              </w:rPr>
              <w:t>/</w:t>
            </w:r>
          </w:p>
        </w:tc>
        <w:tc>
          <w:tcPr>
            <w:tcW w:w="662" w:type="pct"/>
            <w:tcBorders>
              <w:top w:val="single" w:color="000000" w:sz="4" w:space="0"/>
              <w:left w:val="single" w:color="000000" w:sz="4" w:space="0"/>
              <w:bottom w:val="single" w:color="000000" w:sz="4" w:space="0"/>
            </w:tcBorders>
            <w:vAlign w:val="center"/>
          </w:tcPr>
          <w:p w14:paraId="78D6818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r w14:paraId="34137B08">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44" w:hRule="atLeast"/>
        </w:trPr>
        <w:tc>
          <w:tcPr>
            <w:tcW w:w="678" w:type="pct"/>
            <w:tcBorders>
              <w:top w:val="single" w:color="000000" w:sz="4" w:space="0"/>
              <w:right w:val="single" w:color="000000" w:sz="4" w:space="0"/>
            </w:tcBorders>
            <w:vAlign w:val="center"/>
          </w:tcPr>
          <w:p w14:paraId="37C53292">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其他</w:t>
            </w:r>
          </w:p>
        </w:tc>
        <w:tc>
          <w:tcPr>
            <w:tcW w:w="1815" w:type="pct"/>
            <w:tcBorders>
              <w:top w:val="single" w:color="000000" w:sz="4" w:space="0"/>
              <w:left w:val="single" w:color="000000" w:sz="4" w:space="0"/>
              <w:right w:val="single" w:color="000000" w:sz="4" w:space="0"/>
            </w:tcBorders>
            <w:vAlign w:val="center"/>
          </w:tcPr>
          <w:p w14:paraId="4C2838F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雷击；强热辐射（火灾）；电缆沟内积油，电缆破损</w:t>
            </w:r>
          </w:p>
        </w:tc>
        <w:tc>
          <w:tcPr>
            <w:tcW w:w="1073" w:type="pct"/>
            <w:tcBorders>
              <w:top w:val="single" w:color="000000" w:sz="4" w:space="0"/>
              <w:left w:val="single" w:color="000000" w:sz="4" w:space="0"/>
              <w:right w:val="single" w:color="000000" w:sz="4" w:space="0"/>
            </w:tcBorders>
            <w:vAlign w:val="center"/>
          </w:tcPr>
          <w:p w14:paraId="66E66344">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安装质量差</w:t>
            </w:r>
          </w:p>
        </w:tc>
        <w:tc>
          <w:tcPr>
            <w:tcW w:w="771" w:type="pct"/>
            <w:tcBorders>
              <w:top w:val="single" w:color="000000" w:sz="4" w:space="0"/>
              <w:left w:val="single" w:color="000000" w:sz="4" w:space="0"/>
              <w:right w:val="single" w:color="000000" w:sz="4" w:space="0"/>
            </w:tcBorders>
            <w:vAlign w:val="center"/>
          </w:tcPr>
          <w:p w14:paraId="3E49EF9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材质不当或质量差</w:t>
            </w:r>
          </w:p>
        </w:tc>
        <w:tc>
          <w:tcPr>
            <w:tcW w:w="662" w:type="pct"/>
            <w:tcBorders>
              <w:top w:val="single" w:color="000000" w:sz="4" w:space="0"/>
              <w:left w:val="single" w:color="000000" w:sz="4" w:space="0"/>
            </w:tcBorders>
            <w:vAlign w:val="center"/>
          </w:tcPr>
          <w:p w14:paraId="1ED21B5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w:t>
            </w:r>
          </w:p>
        </w:tc>
      </w:tr>
    </w:tbl>
    <w:p w14:paraId="39AF216D">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（2）生产装置危险性</w:t>
      </w:r>
    </w:p>
    <w:p w14:paraId="551EC245">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生产装置系统各单元可能发生危险事故的重点部位为生产设备、原料贮存容器及各电路线，发生事故的主要因素有：因物质腐蚀或外部因素影响，设备质量缺陷或故障</w:t>
      </w:r>
      <w:r>
        <w:rPr>
          <w:rFonts w:hint="eastAsia" w:ascii="Times New Roman" w:hAnsi="Times New Roman" w:eastAsia="宋体" w:cs="Times New Roman"/>
          <w:sz w:val="24"/>
          <w:szCs w:val="24"/>
          <w:lang w:eastAsia="zh-CN"/>
        </w:rPr>
        <w:t>以及</w:t>
      </w:r>
      <w:r>
        <w:rPr>
          <w:rFonts w:hint="default" w:ascii="Times New Roman" w:hAnsi="Times New Roman" w:eastAsia="宋体" w:cs="Times New Roman"/>
          <w:sz w:val="24"/>
          <w:szCs w:val="24"/>
        </w:rPr>
        <w:t>人为的不安全行为等原因，可能造成管道（包括泵、阀门、法兰等） 和反应装置的破裂、贮存容器破损泄漏或直接“跑、冒、滴、漏”等事故，引起物料的大量泄漏。物料泄漏事故与中毒等事故是紧密联系在一起的，如泄漏后物料在车间或者仓库内流淌，不断蒸发，使物料蒸气在空气中持续扩散，当扩散浓度足够大时，将造成暴露人员中毒。因此，对物料泄漏类事故应给予高度重视。</w:t>
      </w:r>
    </w:p>
    <w:p w14:paraId="132F297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（3）运输装卸系统危险性</w:t>
      </w:r>
    </w:p>
    <w:p w14:paraId="341E124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①化学品储运过程中的事故风险</w:t>
      </w:r>
    </w:p>
    <w:p w14:paraId="41D123CA">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危险化学品如储存及运输不当，极易发生事故。本项目物料运贮系统的事故隐患主要是事故性泄漏，化学品运输过程中发生事故，或储存中产生泄漏，可能引起火灾，并造成人员伤亡。</w:t>
      </w:r>
    </w:p>
    <w:p w14:paraId="08C0A011">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②危险废物储运过程中的事故风险</w:t>
      </w:r>
    </w:p>
    <w:p w14:paraId="7A1C67F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危险废物运输过程中可能会发生交通事故，且项目运输路段旁有居民区等敏感点存在，本项目的建设将增加该路段的交通运输量，可能会增加交通运输事故的发生频率。一旦发生交通事故，项目运输的危险废物可能对周边环境造成污染影响。</w:t>
      </w:r>
    </w:p>
    <w:p w14:paraId="0862ADE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（4）环保设施的危险性</w:t>
      </w:r>
    </w:p>
    <w:p w14:paraId="3074B56A">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①废水处理设施风险识别</w:t>
      </w:r>
    </w:p>
    <w:p w14:paraId="1670B536">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营期综合废水经自建污水处理站处理后排至松木污水处理厂。废水排放的风险事故包括有：污水管网系统由于管道堵塞、破裂和接头处的破损，造成大量废水外溢，污染附近水环境；废水处理车间由于停电、设备损坏、废水处理设施运行不正常、停车检修等造成大量废水未经处理直接外排，造成事故污染；暴风雨天气下，由于厂区内排涝系统的非正常运行或设计不能满足排污要求而导致厂区内洪涝灾害；易燃物质泄漏引起爆炸，在消防救援时消防水排入下水道，造成局部污染。</w:t>
      </w:r>
    </w:p>
    <w:p w14:paraId="38FD49D4">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②废气治理系统风险识别</w:t>
      </w:r>
    </w:p>
    <w:p w14:paraId="1196231A">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本项目废气处理设施若出现故障，会使生产车间的废气发生外泄，从而对周围空气环境造成影响。</w:t>
      </w:r>
    </w:p>
    <w:p w14:paraId="2C383432">
      <w:pPr>
        <w:pStyle w:val="3"/>
        <w:spacing w:before="0" w:after="0" w:line="360" w:lineRule="auto"/>
        <w:rPr>
          <w:rFonts w:hint="default" w:ascii="Times New Roman" w:hAnsi="Times New Roman" w:eastAsia="宋体" w:cs="Times New Roman"/>
        </w:rPr>
      </w:pPr>
      <w:bookmarkStart w:id="391" w:name="_Toc14708"/>
      <w:r>
        <w:rPr>
          <w:rFonts w:hint="default" w:ascii="Times New Roman" w:hAnsi="Times New Roman" w:eastAsia="宋体" w:cs="Times New Roman"/>
        </w:rPr>
        <w:t>9.5环境风险分析</w:t>
      </w:r>
      <w:bookmarkEnd w:id="391"/>
    </w:p>
    <w:p w14:paraId="09248EA0">
      <w:pPr>
        <w:pStyle w:val="4"/>
        <w:spacing w:before="0" w:after="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9.5.1贮存、生产过程泄漏事故的风险分析</w:t>
      </w:r>
    </w:p>
    <w:p w14:paraId="438ED2DE">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项目可能发生的泄漏事故情形主要为：废矿物油储罐、危废暂存间内残液等液态危废暂存区废液</w:t>
      </w:r>
      <w:r>
        <w:rPr>
          <w:rFonts w:hint="default" w:ascii="Times New Roman" w:hAnsi="Times New Roman" w:eastAsia="宋体" w:cs="Times New Roman"/>
          <w:sz w:val="24"/>
          <w:szCs w:val="24"/>
          <w:u w:val="single"/>
          <w:lang w:val="en-US" w:eastAsia="zh-CN"/>
        </w:rPr>
        <w:t>贮存设施</w:t>
      </w:r>
      <w:r>
        <w:rPr>
          <w:rFonts w:hint="default" w:ascii="Times New Roman" w:hAnsi="Times New Roman" w:eastAsia="宋体" w:cs="Times New Roman"/>
          <w:sz w:val="24"/>
          <w:szCs w:val="24"/>
          <w:u w:val="single"/>
        </w:rPr>
        <w:t>破裂导致物料泄漏，泄漏时间按600s计。</w:t>
      </w:r>
    </w:p>
    <w:p w14:paraId="3AE0E76D">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贮存物质泄漏后将在储存区附近形成热量蒸发。假定一个储存桶发生泄漏，事故情况为储存桶接口处破裂造成泄漏事故，大气温度为25℃ 。 </w:t>
      </w:r>
    </w:p>
    <w:p w14:paraId="1032C94F">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根据《建设项目环境风险评价技术导则》（HJ169-2018）附录F中推荐的Bernouilli流量方程式估算泄漏量：</w:t>
      </w:r>
    </w:p>
    <w:p w14:paraId="034190CA">
      <w:pPr>
        <w:spacing w:line="360" w:lineRule="auto"/>
        <w:ind w:firstLine="420" w:firstLineChars="200"/>
        <w:rPr>
          <w:rFonts w:hint="default" w:ascii="Times New Roman" w:hAnsi="Times New Roman" w:eastAsia="宋体" w:cs="Times New Roman"/>
          <w:color w:val="000000"/>
          <w:szCs w:val="21"/>
          <w:u w:val="single"/>
        </w:rPr>
      </w:pPr>
      <w:r>
        <w:rPr>
          <w:rFonts w:hint="default" w:ascii="Times New Roman" w:hAnsi="Times New Roman" w:eastAsia="宋体" w:cs="Times New Roman"/>
          <w:color w:val="000000"/>
          <w:u w:val="single"/>
        </w:rPr>
        <w:drawing>
          <wp:anchor distT="0" distB="0" distL="114300" distR="114300" simplePos="0" relativeHeight="251672576" behindDoc="0" locked="0" layoutInCell="1" allowOverlap="1">
            <wp:simplePos x="0" y="0"/>
            <wp:positionH relativeFrom="column">
              <wp:posOffset>1306195</wp:posOffset>
            </wp:positionH>
            <wp:positionV relativeFrom="paragraph">
              <wp:posOffset>27940</wp:posOffset>
            </wp:positionV>
            <wp:extent cx="3090545" cy="809625"/>
            <wp:effectExtent l="0" t="0" r="0" b="9525"/>
            <wp:wrapNone/>
            <wp:docPr id="438877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77160" name="图片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3090545" cy="809625"/>
                    </a:xfrm>
                    <a:prstGeom prst="rect">
                      <a:avLst/>
                    </a:prstGeom>
                    <a:noFill/>
                    <a:ln>
                      <a:noFill/>
                    </a:ln>
                  </pic:spPr>
                </pic:pic>
              </a:graphicData>
            </a:graphic>
          </wp:anchor>
        </w:drawing>
      </w:r>
    </w:p>
    <w:p w14:paraId="55EA3278">
      <w:pPr>
        <w:spacing w:line="360" w:lineRule="auto"/>
        <w:ind w:firstLine="420" w:firstLineChars="200"/>
        <w:rPr>
          <w:rFonts w:hint="default" w:ascii="Times New Roman" w:hAnsi="Times New Roman" w:eastAsia="宋体" w:cs="Times New Roman"/>
          <w:color w:val="000000"/>
          <w:szCs w:val="21"/>
          <w:u w:val="single"/>
        </w:rPr>
      </w:pPr>
    </w:p>
    <w:p w14:paraId="3A39CFB4">
      <w:pPr>
        <w:spacing w:line="360" w:lineRule="auto"/>
        <w:ind w:firstLine="420" w:firstLineChars="200"/>
        <w:rPr>
          <w:rFonts w:hint="default" w:ascii="Times New Roman" w:hAnsi="Times New Roman" w:eastAsia="宋体" w:cs="Times New Roman"/>
          <w:color w:val="000000"/>
          <w:szCs w:val="21"/>
          <w:u w:val="single"/>
        </w:rPr>
      </w:pPr>
    </w:p>
    <w:p w14:paraId="59B7A1DE">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式中：Q</w:t>
      </w:r>
      <w:r>
        <w:rPr>
          <w:rFonts w:hint="default" w:ascii="Times New Roman" w:hAnsi="Times New Roman" w:eastAsia="宋体" w:cs="Times New Roman"/>
          <w:color w:val="000000"/>
          <w:sz w:val="24"/>
          <w:szCs w:val="24"/>
          <w:u w:val="single"/>
          <w:vertAlign w:val="subscript"/>
        </w:rPr>
        <w:t>L</w:t>
      </w:r>
      <w:r>
        <w:rPr>
          <w:rFonts w:hint="default" w:ascii="Times New Roman" w:hAnsi="Times New Roman" w:eastAsia="宋体" w:cs="Times New Roman"/>
          <w:color w:val="000000"/>
          <w:sz w:val="24"/>
          <w:szCs w:val="24"/>
          <w:u w:val="single"/>
        </w:rPr>
        <w:t xml:space="preserve">——液体泄漏速率，kg/s； </w:t>
      </w:r>
    </w:p>
    <w:p w14:paraId="29291C15">
      <w:pPr>
        <w:spacing w:line="360" w:lineRule="auto"/>
        <w:ind w:firstLine="1200" w:firstLineChars="5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 xml:space="preserve">P——容器内介质压力；  </w:t>
      </w:r>
    </w:p>
    <w:p w14:paraId="52271951">
      <w:pPr>
        <w:spacing w:line="360" w:lineRule="auto"/>
        <w:ind w:firstLine="1200" w:firstLineChars="5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P</w:t>
      </w:r>
      <w:r>
        <w:rPr>
          <w:rFonts w:hint="default" w:ascii="Times New Roman" w:hAnsi="Times New Roman" w:eastAsia="宋体" w:cs="Times New Roman"/>
          <w:color w:val="000000"/>
          <w:sz w:val="24"/>
          <w:szCs w:val="24"/>
          <w:u w:val="single"/>
          <w:vertAlign w:val="subscript"/>
        </w:rPr>
        <w:t>0</w:t>
      </w:r>
      <w:r>
        <w:rPr>
          <w:rFonts w:hint="default" w:ascii="Times New Roman" w:hAnsi="Times New Roman" w:eastAsia="宋体" w:cs="Times New Roman"/>
          <w:color w:val="000000"/>
          <w:sz w:val="24"/>
          <w:szCs w:val="24"/>
          <w:u w:val="single"/>
        </w:rPr>
        <w:t>——环境压力；</w:t>
      </w:r>
    </w:p>
    <w:p w14:paraId="65CE52C0">
      <w:pPr>
        <w:spacing w:line="360" w:lineRule="auto"/>
        <w:ind w:firstLine="1200" w:firstLineChars="5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ρ——</w:t>
      </w:r>
      <w:r>
        <w:rPr>
          <w:rFonts w:hint="default" w:ascii="Times New Roman" w:hAnsi="Times New Roman" w:eastAsia="宋体" w:cs="Times New Roman"/>
          <w:color w:val="000000"/>
          <w:sz w:val="24"/>
          <w:szCs w:val="24"/>
          <w:u w:val="single"/>
          <w:lang w:eastAsia="zh-CN"/>
        </w:rPr>
        <w:t>泄漏液体</w:t>
      </w:r>
      <w:r>
        <w:rPr>
          <w:rFonts w:hint="default" w:ascii="Times New Roman" w:hAnsi="Times New Roman" w:eastAsia="宋体" w:cs="Times New Roman"/>
          <w:color w:val="000000"/>
          <w:sz w:val="24"/>
          <w:szCs w:val="24"/>
          <w:u w:val="single"/>
        </w:rPr>
        <w:t>密度，kg/m</w:t>
      </w:r>
      <w:r>
        <w:rPr>
          <w:rFonts w:hint="default" w:ascii="Times New Roman" w:hAnsi="Times New Roman" w:eastAsia="宋体" w:cs="Times New Roman"/>
          <w:color w:val="000000"/>
          <w:sz w:val="24"/>
          <w:szCs w:val="24"/>
          <w:u w:val="single"/>
          <w:vertAlign w:val="superscript"/>
        </w:rPr>
        <w:t>3</w:t>
      </w:r>
      <w:r>
        <w:rPr>
          <w:rFonts w:hint="default" w:ascii="Times New Roman" w:hAnsi="Times New Roman" w:eastAsia="宋体" w:cs="Times New Roman"/>
          <w:color w:val="000000"/>
          <w:sz w:val="24"/>
          <w:szCs w:val="24"/>
          <w:u w:val="single"/>
        </w:rPr>
        <w:t>；</w:t>
      </w:r>
    </w:p>
    <w:p w14:paraId="3203F141">
      <w:pPr>
        <w:spacing w:line="360" w:lineRule="auto"/>
        <w:ind w:firstLine="1200" w:firstLineChars="5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g——重力加速度，9.81m/s</w:t>
      </w:r>
      <w:r>
        <w:rPr>
          <w:rFonts w:hint="default" w:ascii="Times New Roman" w:hAnsi="Times New Roman" w:eastAsia="宋体" w:cs="Times New Roman"/>
          <w:color w:val="000000"/>
          <w:sz w:val="24"/>
          <w:szCs w:val="24"/>
          <w:u w:val="single"/>
          <w:vertAlign w:val="superscript"/>
        </w:rPr>
        <w:t>2</w:t>
      </w:r>
      <w:r>
        <w:rPr>
          <w:rFonts w:hint="default" w:ascii="Times New Roman" w:hAnsi="Times New Roman" w:eastAsia="宋体" w:cs="Times New Roman"/>
          <w:color w:val="000000"/>
          <w:sz w:val="24"/>
          <w:szCs w:val="24"/>
          <w:u w:val="single"/>
        </w:rPr>
        <w:t>；</w:t>
      </w:r>
    </w:p>
    <w:p w14:paraId="09EFE8C6">
      <w:pPr>
        <w:spacing w:line="360" w:lineRule="auto"/>
        <w:ind w:firstLine="1200" w:firstLineChars="5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h——裂口之上液位高度，取0.5m；</w:t>
      </w:r>
    </w:p>
    <w:p w14:paraId="6916569F">
      <w:pPr>
        <w:spacing w:line="360" w:lineRule="auto"/>
        <w:ind w:firstLine="1200" w:firstLineChars="5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C</w:t>
      </w:r>
      <w:r>
        <w:rPr>
          <w:rFonts w:hint="default" w:ascii="Times New Roman" w:hAnsi="Times New Roman" w:eastAsia="宋体" w:cs="Times New Roman"/>
          <w:color w:val="000000"/>
          <w:sz w:val="24"/>
          <w:szCs w:val="24"/>
          <w:u w:val="single"/>
          <w:vertAlign w:val="subscript"/>
        </w:rPr>
        <w:t>d</w:t>
      </w:r>
      <w:r>
        <w:rPr>
          <w:rFonts w:hint="default" w:ascii="Times New Roman" w:hAnsi="Times New Roman" w:eastAsia="宋体" w:cs="Times New Roman"/>
          <w:color w:val="000000"/>
          <w:sz w:val="24"/>
          <w:szCs w:val="24"/>
          <w:u w:val="single"/>
        </w:rPr>
        <w:t>——</w:t>
      </w:r>
      <w:r>
        <w:rPr>
          <w:rFonts w:hint="default" w:ascii="Times New Roman" w:hAnsi="Times New Roman" w:eastAsia="宋体" w:cs="Times New Roman"/>
          <w:color w:val="000000"/>
          <w:sz w:val="24"/>
          <w:szCs w:val="24"/>
          <w:u w:val="single"/>
          <w:lang w:eastAsia="zh-CN"/>
        </w:rPr>
        <w:t>液体泄漏</w:t>
      </w:r>
      <w:r>
        <w:rPr>
          <w:rFonts w:hint="default" w:ascii="Times New Roman" w:hAnsi="Times New Roman" w:eastAsia="宋体" w:cs="Times New Roman"/>
          <w:color w:val="000000"/>
          <w:sz w:val="24"/>
          <w:szCs w:val="24"/>
          <w:u w:val="single"/>
        </w:rPr>
        <w:t>系数，按表14选；</w:t>
      </w:r>
    </w:p>
    <w:p w14:paraId="31109FFA">
      <w:pPr>
        <w:spacing w:line="360" w:lineRule="auto"/>
        <w:ind w:firstLine="1200" w:firstLineChars="5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A——裂口面积，m</w:t>
      </w:r>
      <w:r>
        <w:rPr>
          <w:rFonts w:hint="default" w:ascii="Times New Roman" w:hAnsi="Times New Roman" w:eastAsia="宋体" w:cs="Times New Roman"/>
          <w:color w:val="000000"/>
          <w:sz w:val="24"/>
          <w:szCs w:val="24"/>
          <w:u w:val="single"/>
          <w:vertAlign w:val="superscript"/>
        </w:rPr>
        <w:t>2</w:t>
      </w:r>
      <w:r>
        <w:rPr>
          <w:rFonts w:hint="default" w:ascii="Times New Roman" w:hAnsi="Times New Roman" w:eastAsia="宋体" w:cs="Times New Roman"/>
          <w:color w:val="000000"/>
          <w:sz w:val="24"/>
          <w:szCs w:val="24"/>
          <w:u w:val="single"/>
        </w:rPr>
        <w:t xml:space="preserve">； </w:t>
      </w:r>
    </w:p>
    <w:p w14:paraId="265BF2D5">
      <w:pPr>
        <w:spacing w:line="360" w:lineRule="auto"/>
        <w:ind w:firstLine="480" w:firstLineChars="200"/>
        <w:rPr>
          <w:rFonts w:hint="default" w:ascii="Times New Roman" w:hAnsi="Times New Roman" w:eastAsia="宋体" w:cs="Times New Roman"/>
          <w:color w:val="000000"/>
          <w:sz w:val="24"/>
          <w:szCs w:val="24"/>
          <w:u w:val="single"/>
        </w:rPr>
      </w:pPr>
      <w:r>
        <w:rPr>
          <w:rFonts w:hint="default" w:ascii="Times New Roman" w:hAnsi="Times New Roman" w:eastAsia="宋体" w:cs="Times New Roman"/>
          <w:color w:val="000000"/>
          <w:sz w:val="24"/>
          <w:szCs w:val="24"/>
          <w:u w:val="single"/>
        </w:rPr>
        <w:t>项目采取了压力和流量检测与控制、设置紧急截断阀等措施，平均泄漏时间以10min计算，则计算泄漏速率及泄漏量如下表。</w:t>
      </w:r>
    </w:p>
    <w:p w14:paraId="014EB9DB">
      <w:pPr>
        <w:spacing w:line="360" w:lineRule="auto"/>
        <w:jc w:val="center"/>
        <w:rPr>
          <w:rFonts w:hint="default" w:ascii="Times New Roman" w:hAnsi="Times New Roman" w:eastAsia="宋体" w:cs="Times New Roman"/>
          <w:b/>
          <w:bCs/>
          <w:color w:val="000000"/>
          <w:szCs w:val="21"/>
          <w:u w:val="single"/>
        </w:rPr>
      </w:pPr>
      <w:r>
        <w:rPr>
          <w:rFonts w:hint="default" w:ascii="Times New Roman" w:hAnsi="Times New Roman" w:eastAsia="宋体" w:cs="Times New Roman"/>
          <w:b/>
          <w:bCs/>
          <w:color w:val="000000"/>
          <w:szCs w:val="21"/>
          <w:u w:val="single"/>
        </w:rPr>
        <w:t xml:space="preserve">表9.4-2  </w:t>
      </w:r>
      <w:r>
        <w:rPr>
          <w:rFonts w:hint="default" w:ascii="Times New Roman" w:hAnsi="Times New Roman" w:eastAsia="宋体" w:cs="Times New Roman"/>
          <w:b/>
          <w:bCs/>
          <w:color w:val="000000"/>
          <w:szCs w:val="21"/>
          <w:u w:val="single"/>
          <w:lang w:eastAsia="zh-CN"/>
        </w:rPr>
        <w:t>液体泄漏</w:t>
      </w:r>
      <w:r>
        <w:rPr>
          <w:rFonts w:hint="default" w:ascii="Times New Roman" w:hAnsi="Times New Roman" w:eastAsia="宋体" w:cs="Times New Roman"/>
          <w:b/>
          <w:bCs/>
          <w:color w:val="000000"/>
          <w:szCs w:val="21"/>
          <w:u w:val="single"/>
        </w:rPr>
        <w:t>系数（C</w:t>
      </w:r>
      <w:r>
        <w:rPr>
          <w:rFonts w:hint="default" w:ascii="Times New Roman" w:hAnsi="Times New Roman" w:eastAsia="宋体" w:cs="Times New Roman"/>
          <w:b/>
          <w:bCs/>
          <w:color w:val="000000"/>
          <w:szCs w:val="21"/>
          <w:u w:val="single"/>
          <w:vertAlign w:val="subscript"/>
        </w:rPr>
        <w:t>d</w:t>
      </w:r>
      <w:r>
        <w:rPr>
          <w:rFonts w:hint="default" w:ascii="Times New Roman" w:hAnsi="Times New Roman" w:eastAsia="宋体" w:cs="Times New Roman"/>
          <w:b/>
          <w:bCs/>
          <w:color w:val="000000"/>
          <w:szCs w:val="21"/>
          <w:u w:val="single"/>
        </w:rPr>
        <w:t>）</w:t>
      </w:r>
    </w:p>
    <w:tbl>
      <w:tblPr>
        <w:tblStyle w:val="3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1"/>
        <w:gridCol w:w="2129"/>
        <w:gridCol w:w="2133"/>
      </w:tblGrid>
      <w:tr w14:paraId="534478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vMerge w:val="restart"/>
            <w:tcBorders>
              <w:tl2br w:val="nil"/>
              <w:tr2bl w:val="nil"/>
            </w:tcBorders>
            <w:vAlign w:val="center"/>
          </w:tcPr>
          <w:p w14:paraId="3B7B7C3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雷诺数Re</w:t>
            </w:r>
          </w:p>
        </w:tc>
        <w:tc>
          <w:tcPr>
            <w:tcW w:w="3750" w:type="pct"/>
            <w:gridSpan w:val="3"/>
            <w:tcBorders>
              <w:tl2br w:val="nil"/>
              <w:tr2bl w:val="nil"/>
            </w:tcBorders>
            <w:vAlign w:val="center"/>
          </w:tcPr>
          <w:p w14:paraId="16283873">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裂口形状</w:t>
            </w:r>
          </w:p>
        </w:tc>
      </w:tr>
      <w:tr w14:paraId="2FF6129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vMerge w:val="continue"/>
            <w:tcBorders>
              <w:tl2br w:val="nil"/>
              <w:tr2bl w:val="nil"/>
            </w:tcBorders>
            <w:vAlign w:val="center"/>
          </w:tcPr>
          <w:p w14:paraId="559C473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p>
        </w:tc>
        <w:tc>
          <w:tcPr>
            <w:tcW w:w="1250" w:type="pct"/>
            <w:tcBorders>
              <w:tl2br w:val="nil"/>
              <w:tr2bl w:val="nil"/>
            </w:tcBorders>
            <w:vAlign w:val="center"/>
          </w:tcPr>
          <w:p w14:paraId="2AD603C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圆形（多边形）</w:t>
            </w:r>
          </w:p>
        </w:tc>
        <w:tc>
          <w:tcPr>
            <w:tcW w:w="1249" w:type="pct"/>
            <w:tcBorders>
              <w:tl2br w:val="nil"/>
              <w:tr2bl w:val="nil"/>
            </w:tcBorders>
            <w:vAlign w:val="center"/>
          </w:tcPr>
          <w:p w14:paraId="421B3616">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三角形</w:t>
            </w:r>
          </w:p>
        </w:tc>
        <w:tc>
          <w:tcPr>
            <w:tcW w:w="1251" w:type="pct"/>
            <w:tcBorders>
              <w:tl2br w:val="nil"/>
              <w:tr2bl w:val="nil"/>
            </w:tcBorders>
            <w:vAlign w:val="center"/>
          </w:tcPr>
          <w:p w14:paraId="7407230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长方形</w:t>
            </w:r>
          </w:p>
        </w:tc>
      </w:tr>
      <w:tr w14:paraId="2B66BA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7D8C2B08">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&gt;100</w:t>
            </w:r>
          </w:p>
        </w:tc>
        <w:tc>
          <w:tcPr>
            <w:tcW w:w="1250" w:type="pct"/>
            <w:tcBorders>
              <w:tl2br w:val="nil"/>
              <w:tr2bl w:val="nil"/>
            </w:tcBorders>
            <w:vAlign w:val="center"/>
          </w:tcPr>
          <w:p w14:paraId="4BB4BEE7">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0.65</w:t>
            </w:r>
          </w:p>
        </w:tc>
        <w:tc>
          <w:tcPr>
            <w:tcW w:w="1249" w:type="pct"/>
            <w:tcBorders>
              <w:tl2br w:val="nil"/>
              <w:tr2bl w:val="nil"/>
            </w:tcBorders>
            <w:vAlign w:val="center"/>
          </w:tcPr>
          <w:p w14:paraId="69E5B61A">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0.60</w:t>
            </w:r>
          </w:p>
        </w:tc>
        <w:tc>
          <w:tcPr>
            <w:tcW w:w="1251" w:type="pct"/>
            <w:tcBorders>
              <w:tl2br w:val="nil"/>
              <w:tr2bl w:val="nil"/>
            </w:tcBorders>
            <w:vAlign w:val="center"/>
          </w:tcPr>
          <w:p w14:paraId="0579A1EC">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0.55</w:t>
            </w:r>
          </w:p>
        </w:tc>
      </w:tr>
      <w:tr w14:paraId="398415E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249" w:type="pct"/>
            <w:tcBorders>
              <w:tl2br w:val="nil"/>
              <w:tr2bl w:val="nil"/>
            </w:tcBorders>
            <w:vAlign w:val="center"/>
          </w:tcPr>
          <w:p w14:paraId="061A7B7F">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≦100</w:t>
            </w:r>
          </w:p>
        </w:tc>
        <w:tc>
          <w:tcPr>
            <w:tcW w:w="1250" w:type="pct"/>
            <w:tcBorders>
              <w:tl2br w:val="nil"/>
              <w:tr2bl w:val="nil"/>
            </w:tcBorders>
            <w:vAlign w:val="center"/>
          </w:tcPr>
          <w:p w14:paraId="2EDA0011">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0.50</w:t>
            </w:r>
          </w:p>
        </w:tc>
        <w:tc>
          <w:tcPr>
            <w:tcW w:w="1249" w:type="pct"/>
            <w:tcBorders>
              <w:tl2br w:val="nil"/>
              <w:tr2bl w:val="nil"/>
            </w:tcBorders>
            <w:vAlign w:val="center"/>
          </w:tcPr>
          <w:p w14:paraId="6FB0FE25">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0.45</w:t>
            </w:r>
          </w:p>
        </w:tc>
        <w:tc>
          <w:tcPr>
            <w:tcW w:w="1251" w:type="pct"/>
            <w:tcBorders>
              <w:tl2br w:val="nil"/>
              <w:tr2bl w:val="nil"/>
            </w:tcBorders>
            <w:vAlign w:val="center"/>
          </w:tcPr>
          <w:p w14:paraId="791DE76E">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000000"/>
                <w:kern w:val="0"/>
                <w:sz w:val="21"/>
                <w:szCs w:val="21"/>
                <w:u w:val="single"/>
              </w:rPr>
            </w:pPr>
            <w:r>
              <w:rPr>
                <w:rFonts w:hint="default" w:ascii="Times New Roman" w:hAnsi="Times New Roman" w:eastAsia="宋体" w:cs="Times New Roman"/>
                <w:color w:val="000000"/>
                <w:kern w:val="0"/>
                <w:sz w:val="21"/>
                <w:szCs w:val="21"/>
                <w:u w:val="single"/>
              </w:rPr>
              <w:t>0.40</w:t>
            </w:r>
          </w:p>
        </w:tc>
      </w:tr>
    </w:tbl>
    <w:p w14:paraId="04F5E66B">
      <w:pPr>
        <w:jc w:val="center"/>
        <w:rPr>
          <w:rFonts w:hint="default" w:ascii="Times New Roman" w:hAnsi="Times New Roman" w:eastAsia="宋体" w:cs="Times New Roman"/>
          <w:b/>
          <w:bCs/>
          <w:color w:val="000000"/>
          <w:szCs w:val="21"/>
          <w:u w:val="single"/>
        </w:rPr>
      </w:pPr>
      <w:r>
        <w:rPr>
          <w:rFonts w:hint="default" w:ascii="Times New Roman" w:hAnsi="Times New Roman" w:eastAsia="宋体" w:cs="Times New Roman"/>
          <w:b/>
          <w:bCs/>
          <w:color w:val="000000"/>
          <w:szCs w:val="21"/>
          <w:u w:val="single"/>
        </w:rPr>
        <w:t>表9.4-3  泄漏速率及泄漏量</w:t>
      </w:r>
    </w:p>
    <w:tbl>
      <w:tblPr>
        <w:tblStyle w:val="59"/>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390"/>
        <w:gridCol w:w="1387"/>
        <w:gridCol w:w="1387"/>
        <w:gridCol w:w="1387"/>
        <w:gridCol w:w="1389"/>
        <w:gridCol w:w="1393"/>
      </w:tblGrid>
      <w:tr w14:paraId="5FC9AD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834" w:type="pct"/>
            <w:tcBorders>
              <w:tl2br w:val="nil"/>
              <w:tr2bl w:val="nil"/>
            </w:tcBorders>
            <w:vAlign w:val="center"/>
          </w:tcPr>
          <w:p w14:paraId="74287011">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2"/>
                <w:kern w:val="0"/>
                <w:sz w:val="21"/>
                <w:szCs w:val="21"/>
                <w:u w:val="single"/>
                <w:lang w:eastAsia="en-US"/>
              </w:rPr>
              <w:t>泄漏源</w:t>
            </w:r>
          </w:p>
        </w:tc>
        <w:tc>
          <w:tcPr>
            <w:tcW w:w="832" w:type="pct"/>
            <w:tcBorders>
              <w:tl2br w:val="nil"/>
              <w:tr2bl w:val="nil"/>
            </w:tcBorders>
            <w:vAlign w:val="center"/>
          </w:tcPr>
          <w:p w14:paraId="44B56843">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2"/>
                <w:kern w:val="0"/>
                <w:sz w:val="21"/>
                <w:szCs w:val="21"/>
                <w:u w:val="single"/>
                <w:lang w:eastAsia="zh-CN"/>
              </w:rPr>
              <w:t>液</w:t>
            </w:r>
            <w:r>
              <w:rPr>
                <w:rFonts w:hint="default" w:ascii="Times New Roman" w:hAnsi="Times New Roman" w:eastAsia="宋体" w:cs="Times New Roman"/>
                <w:color w:val="000000"/>
                <w:spacing w:val="-2"/>
                <w:kern w:val="0"/>
                <w:sz w:val="21"/>
                <w:szCs w:val="21"/>
                <w:u w:val="single"/>
                <w:lang w:eastAsia="en-US"/>
              </w:rPr>
              <w:t>体温度</w:t>
            </w:r>
          </w:p>
          <w:p w14:paraId="5BE16B71">
            <w:pPr>
              <w:tabs>
                <w:tab w:val="left" w:pos="507"/>
              </w:tabs>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15"/>
                <w:w w:val="74"/>
                <w:kern w:val="0"/>
                <w:sz w:val="21"/>
                <w:szCs w:val="21"/>
                <w:u w:val="single"/>
                <w:lang w:eastAsia="en-US"/>
              </w:rPr>
              <w:t>（℃）</w:t>
            </w:r>
          </w:p>
        </w:tc>
        <w:tc>
          <w:tcPr>
            <w:tcW w:w="832" w:type="pct"/>
            <w:tcBorders>
              <w:tl2br w:val="nil"/>
              <w:tr2bl w:val="nil"/>
            </w:tcBorders>
            <w:vAlign w:val="center"/>
          </w:tcPr>
          <w:p w14:paraId="132B0590">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2"/>
                <w:kern w:val="0"/>
                <w:sz w:val="21"/>
                <w:szCs w:val="21"/>
                <w:u w:val="single"/>
                <w:lang w:eastAsia="en-US"/>
              </w:rPr>
              <w:t>容器压力</w:t>
            </w:r>
          </w:p>
          <w:p w14:paraId="422661F1">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（Mpa）</w:t>
            </w:r>
          </w:p>
        </w:tc>
        <w:tc>
          <w:tcPr>
            <w:tcW w:w="832" w:type="pct"/>
            <w:tcBorders>
              <w:tl2br w:val="nil"/>
              <w:tr2bl w:val="nil"/>
            </w:tcBorders>
            <w:vAlign w:val="center"/>
          </w:tcPr>
          <w:p w14:paraId="62CFEE3C">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泄漏类型</w:t>
            </w:r>
          </w:p>
        </w:tc>
        <w:tc>
          <w:tcPr>
            <w:tcW w:w="833" w:type="pct"/>
            <w:tcBorders>
              <w:tl2br w:val="nil"/>
              <w:tr2bl w:val="nil"/>
            </w:tcBorders>
            <w:vAlign w:val="center"/>
          </w:tcPr>
          <w:p w14:paraId="67A766C3">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泄漏孔径</w:t>
            </w:r>
          </w:p>
          <w:p w14:paraId="33DBA957">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4"/>
                <w:kern w:val="0"/>
                <w:sz w:val="21"/>
                <w:szCs w:val="21"/>
                <w:u w:val="single"/>
                <w:lang w:eastAsia="en-US"/>
              </w:rPr>
              <w:t>（mm）</w:t>
            </w:r>
          </w:p>
        </w:tc>
        <w:tc>
          <w:tcPr>
            <w:tcW w:w="835" w:type="pct"/>
            <w:tcBorders>
              <w:tl2br w:val="nil"/>
              <w:tr2bl w:val="nil"/>
            </w:tcBorders>
            <w:vAlign w:val="center"/>
          </w:tcPr>
          <w:p w14:paraId="6D6165C1">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泄漏速率</w:t>
            </w:r>
          </w:p>
          <w:p w14:paraId="2A7BF921">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（kg/s）</w:t>
            </w:r>
          </w:p>
        </w:tc>
      </w:tr>
      <w:tr w14:paraId="2C01E19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27" w:hRule="atLeast"/>
          <w:jc w:val="center"/>
        </w:trPr>
        <w:tc>
          <w:tcPr>
            <w:tcW w:w="834" w:type="pct"/>
            <w:vMerge w:val="restart"/>
            <w:tcBorders>
              <w:tl2br w:val="nil"/>
              <w:tr2bl w:val="nil"/>
            </w:tcBorders>
            <w:vAlign w:val="center"/>
          </w:tcPr>
          <w:p w14:paraId="22180CD3">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2"/>
                <w:kern w:val="0"/>
                <w:sz w:val="21"/>
                <w:szCs w:val="21"/>
                <w:u w:val="single"/>
                <w:lang w:eastAsia="en-US"/>
              </w:rPr>
              <w:t>储桶</w:t>
            </w:r>
          </w:p>
        </w:tc>
        <w:tc>
          <w:tcPr>
            <w:tcW w:w="832" w:type="pct"/>
            <w:vMerge w:val="restart"/>
            <w:tcBorders>
              <w:tl2br w:val="nil"/>
              <w:tr2bl w:val="nil"/>
            </w:tcBorders>
            <w:vAlign w:val="center"/>
          </w:tcPr>
          <w:p w14:paraId="49A52B51">
            <w:pPr>
              <w:autoSpaceDE/>
              <w:autoSpaceDN/>
              <w:jc w:val="center"/>
              <w:rPr>
                <w:rFonts w:hint="default" w:ascii="Times New Roman" w:hAnsi="Times New Roman" w:eastAsia="宋体" w:cs="Times New Roman"/>
                <w:color w:val="000000"/>
                <w:kern w:val="0"/>
                <w:sz w:val="21"/>
                <w:szCs w:val="21"/>
                <w:u w:val="single"/>
                <w:lang w:eastAsia="zh-CN"/>
              </w:rPr>
            </w:pPr>
            <w:r>
              <w:rPr>
                <w:rFonts w:hint="default" w:ascii="Times New Roman" w:hAnsi="Times New Roman" w:eastAsia="宋体" w:cs="Times New Roman"/>
                <w:color w:val="000000"/>
                <w:kern w:val="0"/>
                <w:sz w:val="21"/>
                <w:szCs w:val="21"/>
                <w:u w:val="single"/>
                <w:lang w:eastAsia="zh-CN"/>
              </w:rPr>
              <w:t>25</w:t>
            </w:r>
          </w:p>
        </w:tc>
        <w:tc>
          <w:tcPr>
            <w:tcW w:w="832" w:type="pct"/>
            <w:vMerge w:val="restart"/>
            <w:tcBorders>
              <w:tl2br w:val="nil"/>
              <w:tr2bl w:val="nil"/>
            </w:tcBorders>
            <w:vAlign w:val="center"/>
          </w:tcPr>
          <w:p w14:paraId="12208F9C">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2"/>
                <w:kern w:val="0"/>
                <w:sz w:val="21"/>
                <w:szCs w:val="21"/>
                <w:u w:val="single"/>
                <w:lang w:eastAsia="en-US"/>
              </w:rPr>
              <w:t>0.6</w:t>
            </w:r>
          </w:p>
        </w:tc>
        <w:tc>
          <w:tcPr>
            <w:tcW w:w="832" w:type="pct"/>
            <w:tcBorders>
              <w:tl2br w:val="nil"/>
              <w:tr2bl w:val="nil"/>
            </w:tcBorders>
            <w:vAlign w:val="center"/>
          </w:tcPr>
          <w:p w14:paraId="450728AD">
            <w:pPr>
              <w:autoSpaceDE/>
              <w:autoSpaceDN/>
              <w:jc w:val="center"/>
              <w:rPr>
                <w:rFonts w:hint="default" w:ascii="Times New Roman" w:hAnsi="Times New Roman" w:eastAsia="宋体" w:cs="Times New Roman"/>
                <w:color w:val="000000"/>
                <w:spacing w:val="-3"/>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小孔泄漏</w:t>
            </w:r>
          </w:p>
        </w:tc>
        <w:tc>
          <w:tcPr>
            <w:tcW w:w="833" w:type="pct"/>
            <w:tcBorders>
              <w:tl2br w:val="nil"/>
              <w:tr2bl w:val="nil"/>
            </w:tcBorders>
            <w:vAlign w:val="center"/>
          </w:tcPr>
          <w:p w14:paraId="71C3CC8A">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1"/>
                <w:kern w:val="0"/>
                <w:sz w:val="21"/>
                <w:szCs w:val="21"/>
                <w:u w:val="single"/>
                <w:lang w:eastAsia="en-US"/>
              </w:rPr>
              <w:t>20</w:t>
            </w:r>
          </w:p>
        </w:tc>
        <w:tc>
          <w:tcPr>
            <w:tcW w:w="835" w:type="pct"/>
            <w:tcBorders>
              <w:tl2br w:val="nil"/>
              <w:tr2bl w:val="nil"/>
            </w:tcBorders>
            <w:vAlign w:val="center"/>
          </w:tcPr>
          <w:p w14:paraId="4667DBC7">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1"/>
                <w:kern w:val="0"/>
                <w:sz w:val="21"/>
                <w:szCs w:val="21"/>
                <w:u w:val="single"/>
                <w:lang w:eastAsia="en-US"/>
              </w:rPr>
              <w:t>29.63</w:t>
            </w:r>
          </w:p>
        </w:tc>
      </w:tr>
      <w:tr w14:paraId="65B7E0C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4" w:hRule="atLeast"/>
          <w:jc w:val="center"/>
        </w:trPr>
        <w:tc>
          <w:tcPr>
            <w:tcW w:w="834" w:type="pct"/>
            <w:vMerge w:val="continue"/>
            <w:tcBorders>
              <w:tl2br w:val="nil"/>
              <w:tr2bl w:val="nil"/>
            </w:tcBorders>
            <w:vAlign w:val="center"/>
          </w:tcPr>
          <w:p w14:paraId="15A98326">
            <w:pPr>
              <w:autoSpaceDE/>
              <w:autoSpaceDN/>
              <w:jc w:val="center"/>
              <w:rPr>
                <w:rFonts w:hint="default" w:ascii="Times New Roman" w:hAnsi="Times New Roman" w:eastAsia="宋体" w:cs="Times New Roman"/>
                <w:color w:val="000000"/>
                <w:kern w:val="0"/>
                <w:sz w:val="21"/>
                <w:szCs w:val="21"/>
                <w:u w:val="single"/>
                <w:lang w:eastAsia="en-US"/>
              </w:rPr>
            </w:pPr>
          </w:p>
        </w:tc>
        <w:tc>
          <w:tcPr>
            <w:tcW w:w="832" w:type="pct"/>
            <w:vMerge w:val="continue"/>
            <w:tcBorders>
              <w:tl2br w:val="nil"/>
              <w:tr2bl w:val="nil"/>
            </w:tcBorders>
            <w:vAlign w:val="center"/>
          </w:tcPr>
          <w:p w14:paraId="35B28180">
            <w:pPr>
              <w:autoSpaceDE/>
              <w:autoSpaceDN/>
              <w:jc w:val="center"/>
              <w:rPr>
                <w:rFonts w:hint="default" w:ascii="Times New Roman" w:hAnsi="Times New Roman" w:eastAsia="宋体" w:cs="Times New Roman"/>
                <w:color w:val="000000"/>
                <w:kern w:val="0"/>
                <w:sz w:val="21"/>
                <w:szCs w:val="21"/>
                <w:u w:val="single"/>
                <w:lang w:eastAsia="en-US"/>
              </w:rPr>
            </w:pPr>
          </w:p>
        </w:tc>
        <w:tc>
          <w:tcPr>
            <w:tcW w:w="832" w:type="pct"/>
            <w:vMerge w:val="continue"/>
            <w:tcBorders>
              <w:tl2br w:val="nil"/>
              <w:tr2bl w:val="nil"/>
            </w:tcBorders>
            <w:vAlign w:val="center"/>
          </w:tcPr>
          <w:p w14:paraId="4A13F2CB">
            <w:pPr>
              <w:autoSpaceDE/>
              <w:autoSpaceDN/>
              <w:jc w:val="center"/>
              <w:rPr>
                <w:rFonts w:hint="default" w:ascii="Times New Roman" w:hAnsi="Times New Roman" w:eastAsia="宋体" w:cs="Times New Roman"/>
                <w:color w:val="000000"/>
                <w:kern w:val="0"/>
                <w:sz w:val="21"/>
                <w:szCs w:val="21"/>
                <w:u w:val="single"/>
                <w:lang w:eastAsia="en-US"/>
              </w:rPr>
            </w:pPr>
          </w:p>
        </w:tc>
        <w:tc>
          <w:tcPr>
            <w:tcW w:w="832" w:type="pct"/>
            <w:tcBorders>
              <w:tl2br w:val="nil"/>
              <w:tr2bl w:val="nil"/>
            </w:tcBorders>
            <w:vAlign w:val="center"/>
          </w:tcPr>
          <w:p w14:paraId="3CB99F8C">
            <w:pPr>
              <w:autoSpaceDE/>
              <w:autoSpaceDN/>
              <w:jc w:val="center"/>
              <w:rPr>
                <w:rFonts w:hint="default" w:ascii="Times New Roman" w:hAnsi="Times New Roman" w:eastAsia="宋体" w:cs="Times New Roman"/>
                <w:color w:val="000000"/>
                <w:spacing w:val="-3"/>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桶体穿孔</w:t>
            </w:r>
          </w:p>
        </w:tc>
        <w:tc>
          <w:tcPr>
            <w:tcW w:w="833" w:type="pct"/>
            <w:tcBorders>
              <w:tl2br w:val="nil"/>
              <w:tr2bl w:val="nil"/>
            </w:tcBorders>
            <w:vAlign w:val="center"/>
          </w:tcPr>
          <w:p w14:paraId="6A0234A5">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50</w:t>
            </w:r>
          </w:p>
        </w:tc>
        <w:tc>
          <w:tcPr>
            <w:tcW w:w="835" w:type="pct"/>
            <w:tcBorders>
              <w:tl2br w:val="nil"/>
              <w:tr2bl w:val="nil"/>
            </w:tcBorders>
            <w:vAlign w:val="center"/>
          </w:tcPr>
          <w:p w14:paraId="01B88E0A">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180.84</w:t>
            </w:r>
          </w:p>
        </w:tc>
      </w:tr>
      <w:tr w14:paraId="79D9DD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33" w:hRule="atLeast"/>
          <w:jc w:val="center"/>
        </w:trPr>
        <w:tc>
          <w:tcPr>
            <w:tcW w:w="834" w:type="pct"/>
            <w:vMerge w:val="continue"/>
            <w:tcBorders>
              <w:tl2br w:val="nil"/>
              <w:tr2bl w:val="nil"/>
            </w:tcBorders>
            <w:vAlign w:val="center"/>
          </w:tcPr>
          <w:p w14:paraId="4CB45829">
            <w:pPr>
              <w:autoSpaceDE/>
              <w:autoSpaceDN/>
              <w:jc w:val="center"/>
              <w:rPr>
                <w:rFonts w:hint="default" w:ascii="Times New Roman" w:hAnsi="Times New Roman" w:eastAsia="宋体" w:cs="Times New Roman"/>
                <w:color w:val="000000"/>
                <w:kern w:val="0"/>
                <w:sz w:val="21"/>
                <w:szCs w:val="21"/>
                <w:u w:val="single"/>
                <w:lang w:eastAsia="en-US"/>
              </w:rPr>
            </w:pPr>
          </w:p>
        </w:tc>
        <w:tc>
          <w:tcPr>
            <w:tcW w:w="832" w:type="pct"/>
            <w:vMerge w:val="continue"/>
            <w:tcBorders>
              <w:tl2br w:val="nil"/>
              <w:tr2bl w:val="nil"/>
            </w:tcBorders>
            <w:vAlign w:val="center"/>
          </w:tcPr>
          <w:p w14:paraId="12228FEE">
            <w:pPr>
              <w:autoSpaceDE/>
              <w:autoSpaceDN/>
              <w:jc w:val="center"/>
              <w:rPr>
                <w:rFonts w:hint="default" w:ascii="Times New Roman" w:hAnsi="Times New Roman" w:eastAsia="宋体" w:cs="Times New Roman"/>
                <w:color w:val="000000"/>
                <w:kern w:val="0"/>
                <w:sz w:val="21"/>
                <w:szCs w:val="21"/>
                <w:u w:val="single"/>
                <w:lang w:eastAsia="en-US"/>
              </w:rPr>
            </w:pPr>
          </w:p>
        </w:tc>
        <w:tc>
          <w:tcPr>
            <w:tcW w:w="832" w:type="pct"/>
            <w:vMerge w:val="continue"/>
            <w:tcBorders>
              <w:tl2br w:val="nil"/>
              <w:tr2bl w:val="nil"/>
            </w:tcBorders>
            <w:vAlign w:val="center"/>
          </w:tcPr>
          <w:p w14:paraId="3D85E185">
            <w:pPr>
              <w:autoSpaceDE/>
              <w:autoSpaceDN/>
              <w:jc w:val="center"/>
              <w:rPr>
                <w:rFonts w:hint="default" w:ascii="Times New Roman" w:hAnsi="Times New Roman" w:eastAsia="宋体" w:cs="Times New Roman"/>
                <w:color w:val="000000"/>
                <w:kern w:val="0"/>
                <w:sz w:val="21"/>
                <w:szCs w:val="21"/>
                <w:u w:val="single"/>
                <w:lang w:eastAsia="en-US"/>
              </w:rPr>
            </w:pPr>
          </w:p>
        </w:tc>
        <w:tc>
          <w:tcPr>
            <w:tcW w:w="832" w:type="pct"/>
            <w:tcBorders>
              <w:tl2br w:val="nil"/>
              <w:tr2bl w:val="nil"/>
            </w:tcBorders>
            <w:vAlign w:val="center"/>
          </w:tcPr>
          <w:p w14:paraId="4834F86F">
            <w:pPr>
              <w:autoSpaceDE/>
              <w:autoSpaceDN/>
              <w:jc w:val="center"/>
              <w:rPr>
                <w:rFonts w:hint="default" w:ascii="Times New Roman" w:hAnsi="Times New Roman" w:eastAsia="宋体" w:cs="Times New Roman"/>
                <w:color w:val="000000"/>
                <w:spacing w:val="-3"/>
                <w:kern w:val="0"/>
                <w:sz w:val="21"/>
                <w:szCs w:val="21"/>
                <w:u w:val="single"/>
                <w:lang w:eastAsia="en-US"/>
              </w:rPr>
            </w:pPr>
            <w:r>
              <w:rPr>
                <w:rFonts w:hint="default" w:ascii="Times New Roman" w:hAnsi="Times New Roman" w:eastAsia="宋体" w:cs="Times New Roman"/>
                <w:color w:val="000000"/>
                <w:spacing w:val="-3"/>
                <w:kern w:val="0"/>
                <w:sz w:val="21"/>
                <w:szCs w:val="21"/>
                <w:u w:val="single"/>
                <w:lang w:eastAsia="en-US"/>
              </w:rPr>
              <w:t>桶体破裂</w:t>
            </w:r>
          </w:p>
        </w:tc>
        <w:tc>
          <w:tcPr>
            <w:tcW w:w="833" w:type="pct"/>
            <w:tcBorders>
              <w:tl2br w:val="nil"/>
              <w:tr2bl w:val="nil"/>
            </w:tcBorders>
            <w:vAlign w:val="center"/>
          </w:tcPr>
          <w:p w14:paraId="6DBE09FA">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6"/>
                <w:kern w:val="0"/>
                <w:sz w:val="21"/>
                <w:szCs w:val="21"/>
                <w:u w:val="single"/>
                <w:lang w:eastAsia="en-US"/>
              </w:rPr>
              <w:t>100</w:t>
            </w:r>
          </w:p>
        </w:tc>
        <w:tc>
          <w:tcPr>
            <w:tcW w:w="835" w:type="pct"/>
            <w:tcBorders>
              <w:tl2br w:val="nil"/>
              <w:tr2bl w:val="nil"/>
            </w:tcBorders>
            <w:vAlign w:val="center"/>
          </w:tcPr>
          <w:p w14:paraId="6B3C5C58">
            <w:pPr>
              <w:autoSpaceDE/>
              <w:autoSpaceDN/>
              <w:jc w:val="center"/>
              <w:rPr>
                <w:rFonts w:hint="default" w:ascii="Times New Roman" w:hAnsi="Times New Roman" w:eastAsia="宋体" w:cs="Times New Roman"/>
                <w:color w:val="000000"/>
                <w:kern w:val="0"/>
                <w:sz w:val="21"/>
                <w:szCs w:val="21"/>
                <w:u w:val="single"/>
                <w:lang w:eastAsia="en-US"/>
              </w:rPr>
            </w:pPr>
            <w:r>
              <w:rPr>
                <w:rFonts w:hint="default" w:ascii="Times New Roman" w:hAnsi="Times New Roman" w:eastAsia="宋体" w:cs="Times New Roman"/>
                <w:color w:val="000000"/>
                <w:spacing w:val="-1"/>
                <w:kern w:val="0"/>
                <w:sz w:val="21"/>
                <w:szCs w:val="21"/>
                <w:u w:val="single"/>
                <w:lang w:eastAsia="en-US"/>
              </w:rPr>
              <w:t>723.86</w:t>
            </w:r>
          </w:p>
        </w:tc>
      </w:tr>
    </w:tbl>
    <w:p w14:paraId="4BF640C9">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废矿物油储罐、危废暂存间内残液等液体危险废物发生</w:t>
      </w:r>
      <w:r>
        <w:rPr>
          <w:rFonts w:hint="default" w:ascii="Times New Roman" w:hAnsi="Times New Roman" w:eastAsia="宋体" w:cs="Times New Roman"/>
          <w:sz w:val="24"/>
          <w:szCs w:val="24"/>
          <w:u w:val="single"/>
          <w:lang w:eastAsia="zh-CN"/>
        </w:rPr>
        <w:t>泄漏</w:t>
      </w:r>
      <w:r>
        <w:rPr>
          <w:rFonts w:hint="default" w:ascii="Times New Roman" w:hAnsi="Times New Roman" w:eastAsia="宋体" w:cs="Times New Roman"/>
          <w:sz w:val="24"/>
          <w:szCs w:val="24"/>
          <w:u w:val="single"/>
        </w:rPr>
        <w:t>，与火源发生火灾产生的次生污染物会对周边大气环境产生一定的影响。</w:t>
      </w:r>
    </w:p>
    <w:p w14:paraId="34DF8846">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项目涉及的各类残液均存放在专用储桶中，废包装容器下放采用防渗防 腐托盘堆放，储桶防渗防腐防漏，及地面作防腐处理，通常情况下发生泄漏 事故的概率不大。生产过程中，各类原辅料通过专用拖车输送到指定工序。 在输送过程中，由于人为不小心碰倒或因长期使用而腐蚀等，都会导致残液泄漏。</w:t>
      </w:r>
    </w:p>
    <w:p w14:paraId="1258ECA6">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本项目所涉及残液具有毒性或腐蚀性，一旦发生泄漏，可能会腐蚀地面 和附近设备，使工作人员中毒，甚至可能危及厂区外的地面、土壤，从而造成严重后果。由此可见，本项目在贮存和生产过程发生化学品泄漏的危险性较大，所造成的后果最为严重。建设方应安排专人定期巡视储存区和各个车间，设备定期检修，一旦发现有泄漏现象，立刻启动应急计划，及时处理，尽量减小泄漏事故带来的危害。</w:t>
      </w:r>
    </w:p>
    <w:p w14:paraId="5D4BC33B">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危废</w:t>
      </w:r>
      <w:r>
        <w:rPr>
          <w:rFonts w:hint="default" w:ascii="Times New Roman" w:hAnsi="Times New Roman" w:eastAsia="宋体" w:cs="Times New Roman"/>
          <w:sz w:val="24"/>
          <w:szCs w:val="24"/>
          <w:u w:val="single"/>
          <w:lang w:val="en-US" w:eastAsia="zh-CN"/>
        </w:rPr>
        <w:t>贮存库</w:t>
      </w:r>
      <w:r>
        <w:rPr>
          <w:rFonts w:hint="default" w:ascii="Times New Roman" w:hAnsi="Times New Roman" w:eastAsia="宋体" w:cs="Times New Roman"/>
          <w:sz w:val="24"/>
          <w:szCs w:val="24"/>
          <w:u w:val="single"/>
        </w:rPr>
        <w:t>、</w:t>
      </w:r>
      <w:r>
        <w:rPr>
          <w:rFonts w:hint="default" w:ascii="Times New Roman" w:hAnsi="Times New Roman" w:eastAsia="宋体" w:cs="Times New Roman"/>
          <w:sz w:val="24"/>
          <w:szCs w:val="24"/>
          <w:u w:val="single"/>
          <w:lang w:val="en-US" w:eastAsia="zh-CN"/>
        </w:rPr>
        <w:t>危废再生</w:t>
      </w:r>
      <w:r>
        <w:rPr>
          <w:rFonts w:hint="default" w:ascii="Times New Roman" w:hAnsi="Times New Roman" w:eastAsia="宋体" w:cs="Times New Roman"/>
          <w:sz w:val="24"/>
          <w:szCs w:val="24"/>
          <w:u w:val="single"/>
        </w:rPr>
        <w:t>利用</w:t>
      </w:r>
      <w:r>
        <w:rPr>
          <w:rFonts w:hint="default" w:ascii="Times New Roman" w:hAnsi="Times New Roman" w:eastAsia="宋体" w:cs="Times New Roman"/>
          <w:sz w:val="24"/>
          <w:szCs w:val="24"/>
          <w:u w:val="single"/>
          <w:lang w:val="en-US" w:eastAsia="zh-CN"/>
        </w:rPr>
        <w:t>车间</w:t>
      </w:r>
      <w:r>
        <w:rPr>
          <w:rFonts w:hint="default" w:ascii="Times New Roman" w:hAnsi="Times New Roman" w:eastAsia="宋体" w:cs="Times New Roman"/>
          <w:sz w:val="24"/>
          <w:szCs w:val="24"/>
          <w:u w:val="single"/>
        </w:rPr>
        <w:t>等区域的废气收集效率</w:t>
      </w:r>
      <w:r>
        <w:rPr>
          <w:rFonts w:hint="default" w:ascii="Times New Roman" w:hAnsi="Times New Roman" w:eastAsia="宋体" w:cs="Times New Roman"/>
          <w:sz w:val="24"/>
          <w:szCs w:val="24"/>
          <w:u w:val="single"/>
          <w:lang w:val="en-US" w:eastAsia="zh-CN"/>
        </w:rPr>
        <w:t>若无法满足要求</w:t>
      </w:r>
      <w:r>
        <w:rPr>
          <w:rFonts w:hint="default" w:ascii="Times New Roman" w:hAnsi="Times New Roman" w:eastAsia="宋体" w:cs="Times New Roman"/>
          <w:sz w:val="24"/>
          <w:szCs w:val="24"/>
          <w:u w:val="single"/>
        </w:rPr>
        <w:t>，</w:t>
      </w:r>
      <w:r>
        <w:rPr>
          <w:rFonts w:hint="default" w:ascii="Times New Roman" w:hAnsi="Times New Roman" w:eastAsia="宋体" w:cs="Times New Roman"/>
          <w:sz w:val="24"/>
          <w:szCs w:val="24"/>
          <w:u w:val="single"/>
          <w:lang w:val="en-US" w:eastAsia="zh-CN"/>
        </w:rPr>
        <w:t>将</w:t>
      </w:r>
      <w:r>
        <w:rPr>
          <w:rFonts w:hint="default" w:ascii="Times New Roman" w:hAnsi="Times New Roman" w:eastAsia="宋体" w:cs="Times New Roman"/>
          <w:sz w:val="24"/>
          <w:szCs w:val="24"/>
          <w:u w:val="single"/>
        </w:rPr>
        <w:t>导致有机废气在各区域聚集，对区域内员工身体健康造成影响，同时无组织排放量的增加会对周边大气环境产生一定的影响。根据项目运营后非正常工况下有组织排放源强估算模式计算结果表可知，非正常情况下各污染物占标率有所增加，建议建设单位进一步落实风险防范措施，做好管理制度，进一步降低事故排放的概率。</w:t>
      </w:r>
    </w:p>
    <w:p w14:paraId="129662AC">
      <w:pPr>
        <w:pStyle w:val="48"/>
        <w:spacing w:before="0" w:line="360" w:lineRule="auto"/>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val="en-US" w:eastAsia="zh-CN"/>
        </w:rPr>
        <w:t>此外，项目在针对</w:t>
      </w:r>
      <w:r>
        <w:rPr>
          <w:rFonts w:hint="default" w:ascii="Times New Roman" w:hAnsi="Times New Roman" w:eastAsia="宋体" w:cs="Times New Roman"/>
          <w:sz w:val="24"/>
          <w:szCs w:val="24"/>
          <w:u w:val="single"/>
        </w:rPr>
        <w:t>废矿物油储罐、危废暂存间内残液等液体危险废物</w:t>
      </w:r>
      <w:r>
        <w:rPr>
          <w:rFonts w:hint="default" w:ascii="Times New Roman" w:hAnsi="Times New Roman" w:eastAsia="宋体" w:cs="Times New Roman"/>
          <w:sz w:val="24"/>
          <w:szCs w:val="24"/>
          <w:u w:val="single"/>
          <w:lang w:val="en-US" w:eastAsia="zh-CN"/>
        </w:rPr>
        <w:t>贮存时应提出以下要求：</w:t>
      </w:r>
    </w:p>
    <w:p w14:paraId="5300AC0C">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①项目应按照《危险废物储存污染控制标准》（GB18597-20</w:t>
      </w:r>
      <w:r>
        <w:rPr>
          <w:rFonts w:hint="default" w:ascii="Times New Roman" w:hAnsi="Times New Roman" w:eastAsia="宋体" w:cs="Times New Roman"/>
          <w:sz w:val="24"/>
          <w:szCs w:val="24"/>
          <w:u w:val="single"/>
          <w:lang w:val="en-US" w:eastAsia="zh-CN"/>
        </w:rPr>
        <w:t>23</w:t>
      </w:r>
      <w:r>
        <w:rPr>
          <w:rFonts w:hint="default" w:ascii="Times New Roman" w:hAnsi="Times New Roman" w:eastAsia="宋体" w:cs="Times New Roman"/>
          <w:sz w:val="24"/>
          <w:szCs w:val="24"/>
          <w:u w:val="single"/>
        </w:rPr>
        <w:t>）要求建设库房，库房应做到防雨、防风、防晒，地面进行防腐、防渗和硬化处理，危险废物采用符合标准的容器盛装，并建设泄漏液体收集装置和堵截泄漏的裙角，设置危险废物识别标识。项目原料按性质进行分类存放，实施隔离储存、隔开储存、分离储存。根据危险品性能分区、分类、分库储存。要求企业加强管理，严格按照《危险废物贮存污染控制标准》（GB18597-20</w:t>
      </w:r>
      <w:r>
        <w:rPr>
          <w:rFonts w:hint="default" w:ascii="Times New Roman" w:hAnsi="Times New Roman" w:eastAsia="宋体" w:cs="Times New Roman"/>
          <w:sz w:val="24"/>
          <w:szCs w:val="24"/>
          <w:u w:val="single"/>
          <w:lang w:val="en-US" w:eastAsia="zh-CN"/>
        </w:rPr>
        <w:t>23</w:t>
      </w:r>
      <w:r>
        <w:rPr>
          <w:rFonts w:hint="default" w:ascii="Times New Roman" w:hAnsi="Times New Roman" w:eastAsia="宋体" w:cs="Times New Roman"/>
          <w:sz w:val="24"/>
          <w:szCs w:val="24"/>
          <w:u w:val="single"/>
        </w:rPr>
        <w:t>）的相关规定进行建设、管理、营运。</w:t>
      </w:r>
    </w:p>
    <w:p w14:paraId="3634E0ED">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②严格制定管理与操作章程。设立安全环保机构，专人负责。对员工加强培训，进行必要的安全消防教育，熟练掌握消防设施的使用，做好个人防护，对劳动防护用品和 器具检查，做到万无一失才能使用。</w:t>
      </w:r>
    </w:p>
    <w:p w14:paraId="58D1474A">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③厂区内设置灭火器，禁止厂区明火。</w:t>
      </w:r>
    </w:p>
    <w:p w14:paraId="26846103">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9.5.2运输过程风险事故影响分析</w:t>
      </w:r>
    </w:p>
    <w:p w14:paraId="30182F03">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运输路线的环境风险主要表现为在人口集中区（包括镇集市）、水域敏感区、车辆易坠落区等处运输车辆发生交通事故，危险废物散落于周围环境，对事故发生点周围土壤、水体、环境空气和人群健康安全产生影响。</w:t>
      </w:r>
    </w:p>
    <w:p w14:paraId="516C6E1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工程分析可知，项目运输的危废中不含剧毒物质，采用专用密闭的危险废物运输车进行运输。发生事故时及时采取措施、启动应急预案、隔离事故现场，迅速使用石灰、沙土等对残液进行掩盖，防止泄漏扩散，并及时将泄漏的残液收集起来，对事故现场进行清理，对周边学校等环境敏感点影响很小。</w:t>
      </w:r>
    </w:p>
    <w:p w14:paraId="02B4EB2E">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为最大限度的降低运输风险事故的发生，本项目危险废物的运输应遵守以下基本原则：</w:t>
      </w:r>
    </w:p>
    <w:p w14:paraId="33A3F159">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①严格按照《危险废物转移管理办法》（生态环境部、公安部、交通运输部令第23号，自2022年1月1日起施行）等相关废物转移的法律法规，实行危险废物转移联单管理制度；</w:t>
      </w:r>
    </w:p>
    <w:p w14:paraId="1EA70D83">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②运输车辆应及时地将危险废物送往目的地；包装材料应适合于所盛废物，并要有足够的强度，装卸过程中不易破损，保证废物运输过程中不扬散、不渗漏、不释出有害气体和臭味；散装危险废物的车辆必须要有塑料内衬和帆布盖顶，同时在车辆前部和后部、车厢两侧应设置明显的专用警示标识标志，并经常维护保养，保证车况良好和行车安全；</w:t>
      </w:r>
    </w:p>
    <w:p w14:paraId="783BCF58">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③危险废物运输需委托有相关资质单位承担，直接从事废物收集、运输的人员，应接受专门培训并经考核合格后方可上岗；</w:t>
      </w:r>
    </w:p>
    <w:p w14:paraId="04C258EB">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④制定合理、完善的废物收运计划，选择最佳的废物收运时间，运输线路尽量避开人口密集区域、交通拥堵道路，严禁进入饮用水水源保护区；运输时间尽量避开上下学、上下班运输高峰期；</w:t>
      </w:r>
    </w:p>
    <w:p w14:paraId="2A5A4BBA">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⑤在收运过程中应特别避免收运途中发生意外事故造成二次污染，并制定必要的应急处理计划，运输车辆配备必要的工器具和联络通讯设备（车辆配置车载 GPS 系统定位跟踪系统及寻呼系统），以便意外事故发生时及时采取措施，消除或减轻对环境的污染危害。</w:t>
      </w:r>
    </w:p>
    <w:p w14:paraId="096A9F07">
      <w:pPr>
        <w:pStyle w:val="4"/>
        <w:spacing w:before="0" w:after="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9.5.3废水事故排放的环境风险分析</w:t>
      </w:r>
    </w:p>
    <w:p w14:paraId="67EB1E28">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本项目水污染事故风险主要源于废水处理站的工程事故。事故隐患包括两点： 一是废水输送系统不正常，如管道堵塞、破裂等。管道破裂，一般是由于其他工程开挖不慎或地基下沉造成，这类事故发生后，管内废水外溢，最终流入附近水域，其外泄废水量及污染物排放量与发现及抢修的时间有关。由于输送干管内废水的污染物浓度较高，排入任何水体都将对水质产生较大影响。因此必须做好这类事故的防范工作，一旦发生此类事故应及时组织抢修，尽可能减轻此类事故对环境的影响。</w:t>
      </w:r>
    </w:p>
    <w:p w14:paraId="1A33FAFD">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二是废水处理设施不正常运转，如设备故障、处理工序异常等。出现设备故障的原因很多，如停电导致机器设备不能运转，污水处理设施、设计、施工等质量问题或养护不当，有故障的设备不能及时得到维修，日常保养不好等。</w:t>
      </w:r>
    </w:p>
    <w:p w14:paraId="64B0BD0E">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由于环境风险发生时间较短，企业采取了有效的风险防范和应急措施，比如建有事故池，污水收集池采取了防渗措施，泄漏液可有效收集后在短时 间内得到处置和清理，不会因慢慢渗漏而污染地下水。对于企业来说，对地下水最大的风险事故影响是污水池的破损渗漏影响，由于地下构筑物的隐蔽性，很难在短时间内发现，因此地下水环境影响预测章节针对这种情景展开了预测，本章节直接引用该预测成果，具体见“ 地下水环境影响分析评价”章节。</w:t>
      </w:r>
    </w:p>
    <w:p w14:paraId="77773D60">
      <w:pPr>
        <w:pStyle w:val="48"/>
        <w:spacing w:before="0" w:line="360" w:lineRule="auto"/>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rPr>
        <w:t>根据预测结果，由于废水</w:t>
      </w:r>
      <w:r>
        <w:rPr>
          <w:rFonts w:hint="default" w:ascii="Times New Roman" w:hAnsi="Times New Roman" w:eastAsia="宋体" w:cs="Times New Roman"/>
          <w:sz w:val="24"/>
          <w:szCs w:val="24"/>
          <w:u w:val="single"/>
          <w:lang w:val="en-US" w:eastAsia="zh-CN"/>
        </w:rPr>
        <w:t>处理站调节</w:t>
      </w:r>
      <w:r>
        <w:rPr>
          <w:rFonts w:hint="default" w:ascii="Times New Roman" w:hAnsi="Times New Roman" w:eastAsia="宋体" w:cs="Times New Roman"/>
          <w:sz w:val="24"/>
          <w:szCs w:val="24"/>
          <w:u w:val="single"/>
        </w:rPr>
        <w:t>池非正常泄漏，会导致下游地下水 COD和</w:t>
      </w:r>
      <w:r>
        <w:rPr>
          <w:rFonts w:hint="default" w:ascii="Times New Roman" w:hAnsi="Times New Roman" w:eastAsia="宋体" w:cs="Times New Roman"/>
          <w:sz w:val="24"/>
          <w:szCs w:val="24"/>
          <w:u w:val="single"/>
          <w:lang w:val="en-US" w:eastAsia="zh-CN"/>
        </w:rPr>
        <w:t>石油类</w:t>
      </w:r>
      <w:r>
        <w:rPr>
          <w:rFonts w:hint="default" w:ascii="Times New Roman" w:hAnsi="Times New Roman" w:eastAsia="宋体" w:cs="Times New Roman"/>
          <w:sz w:val="24"/>
          <w:szCs w:val="24"/>
          <w:u w:val="single"/>
        </w:rPr>
        <w:t>浓度升高。值得说明的是，该预测结果未考虑包气带的吸附作用， 也未考虑在含水层的吸附降解作用，实际上该预测结果偏大。但为避免影响下游区域地下水水质，要求建设单位加强管理，按照本报告及当地环保要求定期对地下水水质进行监测。同时建议建设单位制定废水收集池破损检查制度，将废水收集池可能性破损进而影响下游敏感点地下水的水质的危害降到最低。同时，发生污染物泄漏事故后，必须立即启动应急预案，分析污染事 故的发展趋势，并提出下一步预防和防治措施，迅速控制或切断事件灾害链，对污水进行封闭、截流，抽出污水送污水处理场集中处理，使污染扩散得到有效抑制，最大限度地保护下游地下水水质安全，将损失降到最低限度</w:t>
      </w:r>
      <w:r>
        <w:rPr>
          <w:rFonts w:hint="default" w:ascii="Times New Roman" w:hAnsi="Times New Roman" w:eastAsia="宋体" w:cs="Times New Roman"/>
          <w:sz w:val="24"/>
          <w:szCs w:val="24"/>
          <w:u w:val="single"/>
          <w:lang w:eastAsia="zh-CN"/>
        </w:rPr>
        <w:t>。</w:t>
      </w:r>
    </w:p>
    <w:p w14:paraId="0A47D173">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9.5.4废气事故排放的环境风险分析</w:t>
      </w:r>
    </w:p>
    <w:p w14:paraId="50CAAE6E">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若废气处理设备出现故障，会使生产车间的废气发生外泄，影响所在区域的大气环境质量。应通过定期检测，坚持维护保养，保证废气处理设备的正常运作及净化效率，一旦发现处理效率降低，应立即停机检测。</w:t>
      </w:r>
    </w:p>
    <w:p w14:paraId="523AAD86">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9.5.5危险废物暂存、转移事故影响分析</w:t>
      </w:r>
    </w:p>
    <w:p w14:paraId="59BB2C6F">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涉及的危险废物主要包括所用原材料和生产过程中产生的危险废物。若处置不当，如露天堆放，其中沾染的废有机溶剂等污染物极易受雨水淋溶而造成危险废物外溢，产生二次污染。同时，在危险废物转移过程中，如包装发生破裂等原因导致危险废物遗失于环境中，则可能造成附近水体或土壤污染。</w:t>
      </w:r>
    </w:p>
    <w:p w14:paraId="161FADF0">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因此，本环评要求企业将各类危险废物贮存于生产厂房内划定的危险废物暂存库。同时，建设单位在危险废物转移过程中须严格执行转移联单制度，并做好记录台账，防止危险废物在转移过程中发生遗失事故。</w:t>
      </w:r>
    </w:p>
    <w:p w14:paraId="016D6FCA">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9.5.6火灾产生的次生环境影响分析</w:t>
      </w:r>
    </w:p>
    <w:p w14:paraId="6E4E998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项目一旦发生火灾，可能导致</w:t>
      </w:r>
      <w:r>
        <w:rPr>
          <w:rFonts w:hint="default" w:ascii="Times New Roman" w:hAnsi="Times New Roman" w:eastAsia="宋体" w:cs="Times New Roman"/>
          <w:sz w:val="24"/>
          <w:szCs w:val="24"/>
          <w:lang w:val="en-US" w:eastAsia="zh-CN"/>
        </w:rPr>
        <w:t>废矿物油、</w:t>
      </w:r>
      <w:r>
        <w:rPr>
          <w:rFonts w:hint="default" w:ascii="Times New Roman" w:hAnsi="Times New Roman" w:eastAsia="宋体" w:cs="Times New Roman"/>
          <w:sz w:val="24"/>
          <w:szCs w:val="24"/>
        </w:rPr>
        <w:t>残液等危险废物燃烧而污染环境空气，同时可能造成残液等危险废物外溢对区域环境造成污染。</w:t>
      </w:r>
    </w:p>
    <w:p w14:paraId="101B88C0">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1、火灾事故的伴生消防废水</w:t>
      </w:r>
    </w:p>
    <w:p w14:paraId="29A34481">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一旦发生泄漏导致出现火情，在灭火时产生的消防废水会携带一定量的有害物质，若不能及时得到有效收集和处置，将随排水系统进入外界水体。因此，要将事故发生后产生的消防废水作为事故处理过程中的伴生/次生污染予以考虑，并对其提出防范措施。</w:t>
      </w:r>
    </w:p>
    <w:p w14:paraId="3013668D">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发生火灾事故时多为不完全燃烧，火灾发生后进入环境的主要污染物有CO、NOx及燃烧物本身等，对环境空气及周边人群健康产生危害。当易燃易爆物质发生火灾时，其燃烧火焰的温度高，火势蔓延迅速，直接对火源周边的人员、设备、构筑物产生极大的危害，火灾风险对周围环境的主要的环境危害为浓烟。</w:t>
      </w:r>
    </w:p>
    <w:p w14:paraId="6F5F2DD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火灾在散发出大量的浓烟，主要成分为物质燃烧放出的高温蒸汽和有毒气体、被分解和凝聚的未燃物质和被火焰加热而带入上升气流中的大量空气等混合物。本项目分离残液燃烧时可产生一氧化碳、二氧化碳等有毒物质，对周边人群健康和大气环境质量造成污染和破坏。</w:t>
      </w:r>
    </w:p>
    <w:p w14:paraId="6ED68D5A">
      <w:pPr>
        <w:pStyle w:val="3"/>
        <w:spacing w:before="0" w:after="0" w:line="360" w:lineRule="auto"/>
        <w:rPr>
          <w:rFonts w:hint="default" w:ascii="Times New Roman" w:hAnsi="Times New Roman" w:eastAsia="宋体" w:cs="Times New Roman"/>
        </w:rPr>
      </w:pPr>
      <w:bookmarkStart w:id="392" w:name="_Toc6529"/>
      <w:r>
        <w:rPr>
          <w:rFonts w:hint="default" w:ascii="Times New Roman" w:hAnsi="Times New Roman" w:eastAsia="宋体" w:cs="Times New Roman"/>
        </w:rPr>
        <w:t>9.6环境风险分析</w:t>
      </w:r>
      <w:bookmarkEnd w:id="392"/>
    </w:p>
    <w:p w14:paraId="3C76E85A">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9.6.1风险管理</w:t>
      </w:r>
    </w:p>
    <w:p w14:paraId="5DEA7BB6">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项目运行的前置要求建设单位必须按照《危险废物经营许可证管理办法》获得许可证后方可运行；必须具有经过培训的技术人员、管理人员和相应数量的操作人员；具有完备的保障危险废物安全处理、处置的规章制度；具有保证焚烧装置正常运行的周转资金和辅助原料。</w:t>
      </w:r>
    </w:p>
    <w:p w14:paraId="15CBD5E9">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2、建设单位应对操作人员、技术人员及管理人员作上岗前的培训，进行相关法律法规和专业技术、安全防护、紧急处理等理论知识和操作技能培训。</w:t>
      </w:r>
    </w:p>
    <w:p w14:paraId="57F0119D">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3、危险废物接收应认真执行危险废物转移联单制度；危险废物现场交接时应认真核对危险废物的数量、种类、标识等，并确认与危险废物转移联单是否相符； 并应对接收的废物及时登记。</w:t>
      </w:r>
    </w:p>
    <w:p w14:paraId="518F0A86">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为保证项目的生产活动安全有序进行，必须建立严格的员工交接班制度，内容包括：处理设施、设备及辅助材料的交接；危险废物的交接；运行记录的交接；上下班交接人员应在现场进行实物交接；运行记录交接前，交接班人员应共同巡视现场；交接班程序未能顺利完成时，应及时向生产管理负责人报告；交接班人员应对实物及运行记录核实确定后签字确认。</w:t>
      </w:r>
    </w:p>
    <w:p w14:paraId="296E86CC">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建设单位应详细记载每日收集、贮存、利用或处置危险废物的类别、数量、危险废物的最终去向、有无事故或其他异常情况等，并按照危险废物转移联单的有关规定，保管需存档的转移联单，危险废物经营活动记录档案和危险废物经营活动情况报告与转移联单同期保存，为当地环保行政主管部门和其它有关管理部门依据这些准确信息建立数据库并管理及处置危险废物提供可靠的依据。</w:t>
      </w:r>
    </w:p>
    <w:p w14:paraId="01B6F95D">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建设单位必须在项目建成运行的同时，保证安全生产设施同时投入使用，并制定相应的操作规程。项目生产过程中的安全管理措施应符合国家《生产过程安全卫生要求总则》（GB12801-1991）中的有关规定；厂内及车间内运输管理，应符合《工业企业厂内运输安全规程》（GB4387-1994）中的有关规定。</w:t>
      </w:r>
    </w:p>
    <w:p w14:paraId="0D9F9877">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建设单位必须在项目建成运行的同时，保证劳动保护措施同时投入使用，并制定相应的操作规程。项目生产过程中的劳动保护管理措施应符合国家《生产过程安全卫生要求总则》（GB12801-1991）中的有关规定。应定期对职工进行职业卫生的教育，加强防范措施。</w:t>
      </w:r>
    </w:p>
    <w:p w14:paraId="0B94A690">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9.6.2危废收运过程风险防范措施</w:t>
      </w:r>
    </w:p>
    <w:p w14:paraId="266BFB25">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坚持分类收集，严格按照《危险废物收集、贮存、运输技术规范》（HJ2025-2012）的要求进行包装，包装介质（吨桶、吨袋）需密封，在明显的位置黏贴危险废物包装标签。包装好的危险废物应平坦放置于危险废物运输车辆货厢内，避免堆叠及不稳定停靠，禁止超载运输</w:t>
      </w:r>
    </w:p>
    <w:p w14:paraId="1B2ADD12">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严禁将具有反应性的不相容的废物、或者性质不明的废物进行混合，防止在运输过程中的反应、渗漏、溢出、抛洒或挥发等情况。危险废物运输车辆在装载完货物后应检查货物堆放的稳定性，货厢在关闭时应确认锁好，防止行驶过程厢门因振动打开。</w:t>
      </w:r>
    </w:p>
    <w:p w14:paraId="1AE98DE7">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采用危险废物专用运输工具进行运输，运输废物的车辆应采用具有专业资质单位设计制造的专门车辆，确保符合要求后方可投入使用。承载危险废物的车辆必须有明显的标志或适当的危险符号，以引起关注。在运输过程中需持有运输许可证，其上注明废物来源、性质和运往地点。在废物运输车的前部、后部、车厢两侧设置废物专用警示标识。</w:t>
      </w:r>
    </w:p>
    <w:p w14:paraId="5F01B04A">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4、出车前严格检查危险废物运输车辆车况，检查GPS是否正常。检查车上应急设备是否齐全，是否适用于拟运送危险废物灭火及发生事故时应急使用。</w:t>
      </w:r>
    </w:p>
    <w:p w14:paraId="473A4329">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5、制定合理、完善的废物收运计划，其中应包括废物泄漏情况下的有效应急措施；选择最佳的废物收运时间（避开上下班、上下学高峰期），按照优化运输路线进行运输，经过敏感区（人口聚集地、饮用水源保护区等）应减少车速。</w:t>
      </w:r>
    </w:p>
    <w:p w14:paraId="50AEF17B">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6、定期对运送人员进行培训，提高收运人、驾驶员、押运员的风险意识，定期举行风险应急演练。</w:t>
      </w:r>
    </w:p>
    <w:p w14:paraId="703FE64F">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7、运输车辆不得搭载无关人员。合理安排运输次数，在恶劣气象条件下，如暴雨、闪电、台风等，不能运输危险废物。</w:t>
      </w:r>
    </w:p>
    <w:p w14:paraId="5AA68166">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8、危险废物在运输过程中发生固态危废泄漏后应及时收集并清扫附近路面避免有毒物质毒性残留；发生液态危废泄漏后，应迅速使用石灰、沙土等进行掩盖，初步削减其毒性并防止泄漏扩散，若材料不够，则迅速在附近掘取沙土掩盖泄漏物。</w:t>
      </w:r>
    </w:p>
    <w:p w14:paraId="23A87A2C">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9.6.3危废贮存过程风险防范措施</w:t>
      </w:r>
    </w:p>
    <w:p w14:paraId="38CB122E">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1、危险废物贮存场所必须有符合《环境保护图形标志-固体废物贮存（处置） 厂》（GB15562.2-1995）的专用标志。</w:t>
      </w:r>
    </w:p>
    <w:p w14:paraId="4C390BCA">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2、废残液储存在厂区残液暂存间，其他废物存储在危废贮存库。</w:t>
      </w:r>
    </w:p>
    <w:p w14:paraId="19F7EBD7">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3、不相容的危险废物必须分开存放，并设有隔离间，废物储存应按废物种类及预测贮存数量减少分区贮藏和贮槽。</w:t>
      </w:r>
    </w:p>
    <w:p w14:paraId="42077B6C">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4、此外，建设方应加强对生产车间原料区、加工区、产品区、危废贮存库的管理，在日常管理中定期对其运行情况进行安全检查，一旦发现问题，应立即进行检查，确保残液暂存间、危废贮存库安全可靠地运行。</w:t>
      </w:r>
    </w:p>
    <w:p w14:paraId="01C9EAA8">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9.6.4风险事故防范措施</w:t>
      </w:r>
    </w:p>
    <w:p w14:paraId="595B137C">
      <w:pPr>
        <w:pStyle w:val="48"/>
        <w:spacing w:before="0" w:line="360" w:lineRule="auto"/>
        <w:rPr>
          <w:rFonts w:hint="default" w:ascii="Times New Roman" w:hAnsi="Times New Roman" w:eastAsia="宋体" w:cs="Times New Roman"/>
          <w:sz w:val="24"/>
          <w:szCs w:val="24"/>
          <w:u w:val="single"/>
          <w:lang w:val="en-US" w:eastAsia="zh-CN"/>
        </w:rPr>
      </w:pP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1</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事故池容积核算</w:t>
      </w:r>
    </w:p>
    <w:p w14:paraId="19CF9677">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参照《事故状态下水体污染的预防和控制规范》（Q/SY 08190-2019）、《化工建设项目环境保护工程设计标准》（GB/T 50483-2019）和《石化企业水体环境风险防控技术要求》（Q/SH 0729-2018）等相关标准，事故储存设施总有效容积按以下公式确定：</w:t>
      </w:r>
    </w:p>
    <w:p w14:paraId="16C7B8D4">
      <w:pPr>
        <w:pStyle w:val="48"/>
        <w:spacing w:before="0" w:line="360" w:lineRule="auto"/>
        <w:ind w:firstLine="0" w:firstLineChars="0"/>
        <w:jc w:val="center"/>
        <w:rPr>
          <w:rFonts w:hint="default" w:ascii="Times New Roman" w:hAnsi="Times New Roman" w:eastAsia="宋体" w:cs="Times New Roman"/>
          <w:sz w:val="24"/>
          <w:szCs w:val="24"/>
          <w:u w:val="single"/>
        </w:rPr>
      </w:pPr>
      <w:r>
        <w:rPr>
          <w:rFonts w:hint="default" w:ascii="Times New Roman" w:hAnsi="Times New Roman" w:eastAsia="宋体" w:cs="Times New Roman"/>
          <w:u w:val="single"/>
        </w:rPr>
        <w:drawing>
          <wp:inline distT="0" distB="0" distL="0" distR="0">
            <wp:extent cx="2194560" cy="1256030"/>
            <wp:effectExtent l="0" t="0" r="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70"/>
                    <a:stretch>
                      <a:fillRect/>
                    </a:stretch>
                  </pic:blipFill>
                  <pic:spPr>
                    <a:xfrm>
                      <a:off x="0" y="0"/>
                      <a:ext cx="2204257" cy="1261679"/>
                    </a:xfrm>
                    <a:prstGeom prst="rect">
                      <a:avLst/>
                    </a:prstGeom>
                  </pic:spPr>
                </pic:pic>
              </a:graphicData>
            </a:graphic>
          </wp:inline>
        </w:drawing>
      </w:r>
    </w:p>
    <w:p w14:paraId="66023562">
      <w:pPr>
        <w:pStyle w:val="12"/>
        <w:spacing w:line="360" w:lineRule="auto"/>
        <w:ind w:left="299" w:right="288" w:firstLine="480"/>
        <w:rPr>
          <w:rFonts w:hint="default" w:ascii="Times New Roman" w:hAnsi="Times New Roman" w:eastAsia="宋体" w:cs="Times New Roman"/>
          <w:u w:val="single"/>
        </w:rPr>
      </w:pPr>
      <w:r>
        <w:rPr>
          <w:rFonts w:hint="default" w:ascii="Times New Roman" w:hAnsi="Times New Roman" w:eastAsia="宋体" w:cs="Times New Roman"/>
          <w:u w:val="single"/>
        </w:rPr>
        <w:t>注：（V</w:t>
      </w:r>
      <w:r>
        <w:rPr>
          <w:rFonts w:hint="default" w:ascii="Times New Roman" w:hAnsi="Times New Roman" w:eastAsia="宋体" w:cs="Times New Roman"/>
          <w:sz w:val="16"/>
          <w:u w:val="single"/>
        </w:rPr>
        <w:t>1</w:t>
      </w:r>
      <w:r>
        <w:rPr>
          <w:rFonts w:hint="default" w:ascii="Times New Roman" w:hAnsi="Times New Roman" w:eastAsia="宋体" w:cs="Times New Roman"/>
          <w:u w:val="single"/>
        </w:rPr>
        <w:t>+V</w:t>
      </w:r>
      <w:r>
        <w:rPr>
          <w:rFonts w:hint="default" w:ascii="Times New Roman" w:hAnsi="Times New Roman" w:eastAsia="宋体" w:cs="Times New Roman"/>
          <w:sz w:val="16"/>
          <w:u w:val="single"/>
        </w:rPr>
        <w:t>2</w:t>
      </w:r>
      <w:r>
        <w:rPr>
          <w:rFonts w:hint="default" w:ascii="Times New Roman" w:hAnsi="Times New Roman" w:eastAsia="宋体" w:cs="Times New Roman"/>
          <w:u w:val="single"/>
        </w:rPr>
        <w:t>-V</w:t>
      </w:r>
      <w:r>
        <w:rPr>
          <w:rFonts w:hint="default" w:ascii="Times New Roman" w:hAnsi="Times New Roman" w:eastAsia="宋体" w:cs="Times New Roman"/>
          <w:sz w:val="16"/>
          <w:u w:val="single"/>
        </w:rPr>
        <w:t>3</w:t>
      </w:r>
      <w:r>
        <w:rPr>
          <w:rFonts w:hint="default" w:ascii="Times New Roman" w:hAnsi="Times New Roman" w:eastAsia="宋体" w:cs="Times New Roman"/>
          <w:u w:val="single"/>
        </w:rPr>
        <w:t>）</w:t>
      </w:r>
      <w:r>
        <w:rPr>
          <w:rFonts w:hint="default" w:ascii="Times New Roman" w:hAnsi="Times New Roman" w:eastAsia="宋体" w:cs="Times New Roman"/>
          <w:sz w:val="16"/>
          <w:u w:val="single"/>
        </w:rPr>
        <w:t>max</w:t>
      </w:r>
      <w:r>
        <w:rPr>
          <w:rFonts w:hint="default" w:ascii="Times New Roman" w:hAnsi="Times New Roman" w:eastAsia="宋体" w:cs="Times New Roman"/>
          <w:u w:val="single"/>
        </w:rPr>
        <w:t>是指对收集系统范围内不同罐组或装置分别计算V</w:t>
      </w:r>
      <w:r>
        <w:rPr>
          <w:rFonts w:hint="default" w:ascii="Times New Roman" w:hAnsi="Times New Roman" w:eastAsia="宋体" w:cs="Times New Roman"/>
          <w:sz w:val="16"/>
          <w:u w:val="single"/>
        </w:rPr>
        <w:t>1</w:t>
      </w:r>
      <w:r>
        <w:rPr>
          <w:rFonts w:hint="default" w:ascii="Times New Roman" w:hAnsi="Times New Roman" w:eastAsia="宋体" w:cs="Times New Roman"/>
          <w:u w:val="single"/>
        </w:rPr>
        <w:t>+V</w:t>
      </w:r>
      <w:r>
        <w:rPr>
          <w:rFonts w:hint="default" w:ascii="Times New Roman" w:hAnsi="Times New Roman" w:eastAsia="宋体" w:cs="Times New Roman"/>
          <w:sz w:val="16"/>
          <w:u w:val="single"/>
        </w:rPr>
        <w:t>2</w:t>
      </w:r>
      <w:r>
        <w:rPr>
          <w:rFonts w:hint="default" w:ascii="Times New Roman" w:hAnsi="Times New Roman" w:eastAsia="宋体" w:cs="Times New Roman"/>
          <w:u w:val="single"/>
        </w:rPr>
        <w:t>- V</w:t>
      </w:r>
      <w:r>
        <w:rPr>
          <w:rFonts w:hint="default" w:ascii="Times New Roman" w:hAnsi="Times New Roman" w:eastAsia="宋体" w:cs="Times New Roman"/>
          <w:sz w:val="16"/>
          <w:u w:val="single"/>
        </w:rPr>
        <w:t>3</w:t>
      </w:r>
      <w:r>
        <w:rPr>
          <w:rFonts w:hint="default" w:ascii="Times New Roman" w:hAnsi="Times New Roman" w:eastAsia="宋体" w:cs="Times New Roman"/>
          <w:u w:val="single"/>
        </w:rPr>
        <w:t>，取其中最大值。</w:t>
      </w:r>
    </w:p>
    <w:p w14:paraId="5BF2B2A1">
      <w:pPr>
        <w:pStyle w:val="12"/>
        <w:spacing w:line="360" w:lineRule="auto"/>
        <w:ind w:left="779"/>
        <w:rPr>
          <w:rFonts w:hint="default" w:ascii="Times New Roman" w:hAnsi="Times New Roman" w:eastAsia="宋体" w:cs="Times New Roman"/>
          <w:u w:val="single"/>
        </w:rPr>
      </w:pPr>
      <w:r>
        <w:rPr>
          <w:rFonts w:hint="default" w:ascii="Times New Roman" w:hAnsi="Times New Roman" w:eastAsia="宋体" w:cs="Times New Roman"/>
          <w:u w:val="single"/>
        </w:rPr>
        <w:t>V</w:t>
      </w:r>
      <w:r>
        <w:rPr>
          <w:rFonts w:hint="default" w:ascii="Times New Roman" w:hAnsi="Times New Roman" w:eastAsia="宋体" w:cs="Times New Roman"/>
          <w:sz w:val="12"/>
          <w:u w:val="single"/>
        </w:rPr>
        <w:t>总</w:t>
      </w:r>
      <w:r>
        <w:rPr>
          <w:rFonts w:hint="default" w:ascii="Times New Roman" w:hAnsi="Times New Roman" w:eastAsia="宋体" w:cs="Times New Roman"/>
          <w:u w:val="single"/>
        </w:rPr>
        <w:t>——事故储存设施总有效容积，m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w:t>
      </w:r>
    </w:p>
    <w:p w14:paraId="6C988FC7">
      <w:pPr>
        <w:pStyle w:val="12"/>
        <w:spacing w:line="360" w:lineRule="auto"/>
        <w:ind w:left="299" w:right="293" w:firstLine="480"/>
        <w:jc w:val="both"/>
        <w:rPr>
          <w:rFonts w:hint="default" w:ascii="Times New Roman" w:hAnsi="Times New Roman" w:eastAsia="宋体" w:cs="Times New Roman"/>
          <w:u w:val="single"/>
        </w:rPr>
      </w:pPr>
      <w:r>
        <w:rPr>
          <w:rFonts w:hint="default" w:ascii="Times New Roman" w:hAnsi="Times New Roman" w:eastAsia="宋体" w:cs="Times New Roman"/>
          <w:u w:val="single"/>
        </w:rPr>
        <w:t>V</w:t>
      </w:r>
      <w:r>
        <w:rPr>
          <w:rFonts w:hint="default" w:ascii="Times New Roman" w:hAnsi="Times New Roman" w:eastAsia="宋体" w:cs="Times New Roman"/>
          <w:sz w:val="16"/>
          <w:u w:val="single"/>
        </w:rPr>
        <w:t>1</w:t>
      </w:r>
      <w:r>
        <w:rPr>
          <w:rFonts w:hint="default" w:ascii="Times New Roman" w:hAnsi="Times New Roman" w:eastAsia="宋体" w:cs="Times New Roman"/>
          <w:u w:val="single"/>
        </w:rPr>
        <w:t>——收集系统范围内发生事故的一个罐组或一套装置的物料量。注：储存相同物料的罐组按一个最大储罐计，装置物料量按存留最大物料量的一台反应器或中间储罐计。本项目最大泄漏量为危废贮存库的废矿物油储罐中的废矿物油（50t）60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w:t>
      </w:r>
    </w:p>
    <w:p w14:paraId="1EF97EFB">
      <w:pPr>
        <w:pStyle w:val="12"/>
        <w:spacing w:line="360" w:lineRule="auto"/>
        <w:ind w:left="142"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V</w:t>
      </w:r>
      <w:r>
        <w:rPr>
          <w:rFonts w:hint="default" w:ascii="Times New Roman" w:hAnsi="Times New Roman" w:eastAsia="宋体" w:cs="Times New Roman"/>
          <w:sz w:val="16"/>
          <w:u w:val="single"/>
        </w:rPr>
        <w:t>2</w:t>
      </w:r>
      <w:r>
        <w:rPr>
          <w:rFonts w:hint="default" w:ascii="Times New Roman" w:hAnsi="Times New Roman" w:eastAsia="宋体" w:cs="Times New Roman"/>
          <w:u w:val="single"/>
        </w:rPr>
        <w:t>——发生事故的储罐或装置的消防水量，m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。有机废液储罐区域消防冷却用水量包采用移动式水枪冷却，其中着火罐供水强度为0.8L/s•m，火灾延续时间取4h，罐体周长取10m，消防水量为115m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，则灌区消防用水量为115m</w:t>
      </w:r>
      <w:r>
        <w:rPr>
          <w:rFonts w:hint="default" w:ascii="Times New Roman" w:hAnsi="Times New Roman" w:eastAsia="宋体" w:cs="Times New Roman"/>
          <w:u w:val="single"/>
          <w:vertAlign w:val="superscript"/>
        </w:rPr>
        <w:t>3</w:t>
      </w:r>
    </w:p>
    <w:p w14:paraId="1A54BC42">
      <w:pPr>
        <w:pStyle w:val="12"/>
        <w:spacing w:line="360" w:lineRule="auto"/>
        <w:ind w:left="142" w:right="84"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V</w:t>
      </w:r>
      <w:r>
        <w:rPr>
          <w:rFonts w:hint="default" w:ascii="Times New Roman" w:hAnsi="Times New Roman" w:eastAsia="宋体" w:cs="Times New Roman"/>
          <w:u w:val="single"/>
          <w:vertAlign w:val="subscript"/>
        </w:rPr>
        <w:t>3</w:t>
      </w:r>
      <w:r>
        <w:rPr>
          <w:rFonts w:hint="default" w:ascii="Times New Roman" w:hAnsi="Times New Roman" w:eastAsia="宋体" w:cs="Times New Roman"/>
          <w:u w:val="single"/>
        </w:rPr>
        <w:t>——发生事故时可以转输到其他储存或处理设施的物料量，m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。本项目</w:t>
      </w:r>
      <w:r>
        <w:rPr>
          <w:rFonts w:hint="eastAsia" w:ascii="Times New Roman" w:hAnsi="Times New Roman" w:cs="Times New Roman"/>
          <w:u w:val="single"/>
          <w:lang w:val="en-US" w:eastAsia="zh-CN"/>
        </w:rPr>
        <w:t>在储罐区设置有效容积为120m</w:t>
      </w:r>
      <w:r>
        <w:rPr>
          <w:rFonts w:hint="eastAsia" w:ascii="Times New Roman" w:hAnsi="Times New Roman" w:cs="Times New Roman"/>
          <w:u w:val="single"/>
          <w:vertAlign w:val="superscript"/>
          <w:lang w:val="en-US" w:eastAsia="zh-CN"/>
        </w:rPr>
        <w:t>3</w:t>
      </w:r>
      <w:r>
        <w:rPr>
          <w:rFonts w:hint="eastAsia" w:ascii="Times New Roman" w:hAnsi="Times New Roman" w:cs="Times New Roman"/>
          <w:u w:val="single"/>
          <w:lang w:val="en-US" w:eastAsia="zh-CN"/>
        </w:rPr>
        <w:t>，围堰连通</w:t>
      </w:r>
      <w:r>
        <w:rPr>
          <w:rFonts w:hint="default" w:ascii="Times New Roman" w:hAnsi="Times New Roman" w:eastAsia="宋体" w:cs="Times New Roman"/>
          <w:u w:val="single"/>
        </w:rPr>
        <w:t>事故应急池。</w:t>
      </w:r>
    </w:p>
    <w:p w14:paraId="4D9E411E">
      <w:pPr>
        <w:pStyle w:val="12"/>
        <w:spacing w:line="360" w:lineRule="auto"/>
        <w:ind w:left="142" w:right="84"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V</w:t>
      </w:r>
      <w:r>
        <w:rPr>
          <w:rFonts w:hint="default" w:ascii="Times New Roman" w:hAnsi="Times New Roman" w:eastAsia="宋体" w:cs="Times New Roman"/>
          <w:u w:val="single"/>
          <w:vertAlign w:val="subscript"/>
        </w:rPr>
        <w:t>4</w:t>
      </w:r>
      <w:r>
        <w:rPr>
          <w:rFonts w:hint="default" w:ascii="Times New Roman" w:hAnsi="Times New Roman" w:eastAsia="宋体" w:cs="Times New Roman"/>
          <w:u w:val="single"/>
        </w:rPr>
        <w:t>——发生事故时仍必须进入该收集系统的生产废水量，m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；项目生产废水约</w:t>
      </w:r>
      <w:r>
        <w:rPr>
          <w:rFonts w:hint="default" w:ascii="Times New Roman" w:hAnsi="Times New Roman" w:eastAsia="宋体" w:cs="Times New Roman"/>
          <w:sz w:val="24"/>
          <w:szCs w:val="21"/>
          <w:u w:val="single"/>
          <w:lang w:val="en-US" w:eastAsia="zh-CN"/>
        </w:rPr>
        <w:t>22.4</w:t>
      </w:r>
      <w:r>
        <w:rPr>
          <w:rFonts w:hint="default" w:ascii="Times New Roman" w:hAnsi="Times New Roman" w:eastAsia="宋体" w:cs="Times New Roman"/>
          <w:u w:val="single"/>
        </w:rPr>
        <w:t>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/d，则发生事故时仍必须进入该收集系统的生产废水量V</w:t>
      </w:r>
      <w:r>
        <w:rPr>
          <w:rFonts w:hint="default" w:ascii="Times New Roman" w:hAnsi="Times New Roman" w:eastAsia="宋体" w:cs="Times New Roman"/>
          <w:u w:val="single"/>
          <w:vertAlign w:val="subscript"/>
        </w:rPr>
        <w:t>4</w:t>
      </w:r>
      <w:r>
        <w:rPr>
          <w:rFonts w:hint="default" w:ascii="Times New Roman" w:hAnsi="Times New Roman" w:eastAsia="宋体" w:cs="Times New Roman"/>
          <w:u w:val="single"/>
        </w:rPr>
        <w:t>为</w:t>
      </w:r>
      <w:r>
        <w:rPr>
          <w:rFonts w:hint="default" w:ascii="Times New Roman" w:hAnsi="Times New Roman" w:eastAsia="宋体" w:cs="Times New Roman"/>
          <w:sz w:val="24"/>
          <w:szCs w:val="21"/>
          <w:u w:val="single"/>
          <w:lang w:val="en-US" w:eastAsia="zh-CN"/>
        </w:rPr>
        <w:t>22.4</w:t>
      </w:r>
      <w:r>
        <w:rPr>
          <w:rFonts w:hint="default" w:ascii="Times New Roman" w:hAnsi="Times New Roman" w:eastAsia="宋体" w:cs="Times New Roman"/>
          <w:u w:val="single"/>
        </w:rPr>
        <w:t>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w:t>
      </w:r>
    </w:p>
    <w:p w14:paraId="7E7D4EFA">
      <w:pPr>
        <w:pStyle w:val="12"/>
        <w:spacing w:line="360" w:lineRule="auto"/>
        <w:ind w:left="142" w:right="84" w:firstLine="480" w:firstLineChars="200"/>
        <w:rPr>
          <w:rFonts w:hint="default" w:ascii="Times New Roman" w:hAnsi="Times New Roman" w:eastAsia="宋体" w:cs="Times New Roman"/>
          <w:u w:val="single"/>
        </w:rPr>
      </w:pPr>
      <w:r>
        <w:rPr>
          <w:rFonts w:hint="default" w:ascii="Times New Roman" w:hAnsi="Times New Roman" w:eastAsia="宋体" w:cs="Times New Roman"/>
          <w:u w:val="single"/>
        </w:rPr>
        <w:t>V</w:t>
      </w:r>
      <w:r>
        <w:rPr>
          <w:rFonts w:hint="default" w:ascii="Times New Roman" w:hAnsi="Times New Roman" w:eastAsia="宋体" w:cs="Times New Roman"/>
          <w:u w:val="single"/>
          <w:vertAlign w:val="subscript"/>
        </w:rPr>
        <w:t>5</w:t>
      </w:r>
      <w:r>
        <w:rPr>
          <w:rFonts w:hint="default" w:ascii="Times New Roman" w:hAnsi="Times New Roman" w:eastAsia="宋体" w:cs="Times New Roman"/>
          <w:u w:val="single"/>
        </w:rPr>
        <w:t>——发生事故时可能进入该收集系统的降雨量，m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；衡阳市年平均降雨量qa为13</w:t>
      </w:r>
      <w:r>
        <w:rPr>
          <w:rFonts w:hint="default" w:ascii="Times New Roman" w:hAnsi="Times New Roman" w:eastAsia="宋体" w:cs="Times New Roman"/>
          <w:u w:val="single"/>
          <w:lang w:eastAsia="zh-CN"/>
        </w:rPr>
        <w:t>59.4</w:t>
      </w:r>
      <w:r>
        <w:rPr>
          <w:rFonts w:hint="default" w:ascii="Times New Roman" w:hAnsi="Times New Roman" w:eastAsia="宋体" w:cs="Times New Roman"/>
          <w:u w:val="single"/>
        </w:rPr>
        <w:t>mm，年平均降雨日数n为149.5d，雨水汇水面积F约为2ha，则降水强度q约为9mm，降雨量约为180m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w:t>
      </w:r>
    </w:p>
    <w:p w14:paraId="3CB24005">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计算得本项目事故储存设施总有效容积为应至少为60+115</w:t>
      </w:r>
      <w:r>
        <w:rPr>
          <w:rFonts w:hint="eastAsia" w:ascii="Times New Roman" w:hAnsi="Times New Roman" w:eastAsia="宋体" w:cs="Times New Roman"/>
          <w:sz w:val="24"/>
          <w:szCs w:val="24"/>
          <w:u w:val="single"/>
          <w:lang w:val="en-US" w:eastAsia="zh-CN"/>
        </w:rPr>
        <w:t>-120</w:t>
      </w:r>
      <w:r>
        <w:rPr>
          <w:rFonts w:hint="default" w:ascii="Times New Roman" w:hAnsi="Times New Roman" w:eastAsia="宋体" w:cs="Times New Roman"/>
          <w:sz w:val="24"/>
          <w:szCs w:val="24"/>
          <w:u w:val="single"/>
        </w:rPr>
        <w:t>+</w:t>
      </w:r>
      <w:r>
        <w:rPr>
          <w:rFonts w:hint="default" w:ascii="Times New Roman" w:hAnsi="Times New Roman" w:eastAsia="宋体" w:cs="Times New Roman"/>
          <w:sz w:val="24"/>
          <w:szCs w:val="21"/>
          <w:u w:val="single"/>
          <w:lang w:val="en-US" w:eastAsia="zh-CN"/>
        </w:rPr>
        <w:t>22.4</w:t>
      </w:r>
      <w:r>
        <w:rPr>
          <w:rFonts w:hint="default" w:ascii="Times New Roman" w:hAnsi="Times New Roman" w:eastAsia="宋体" w:cs="Times New Roman"/>
          <w:sz w:val="24"/>
          <w:szCs w:val="24"/>
          <w:u w:val="single"/>
        </w:rPr>
        <w:t>+180=</w:t>
      </w:r>
      <w:r>
        <w:rPr>
          <w:rFonts w:hint="eastAsia" w:ascii="Times New Roman" w:hAnsi="Times New Roman" w:eastAsia="宋体" w:cs="Times New Roman"/>
          <w:sz w:val="24"/>
          <w:szCs w:val="24"/>
          <w:u w:val="single"/>
          <w:lang w:val="en-US" w:eastAsia="zh-CN"/>
        </w:rPr>
        <w:t>257.4</w:t>
      </w:r>
      <w:r>
        <w:rPr>
          <w:rFonts w:hint="default" w:ascii="Times New Roman" w:hAnsi="Times New Roman" w:eastAsia="宋体" w:cs="Times New Roman"/>
          <w:sz w:val="24"/>
          <w:szCs w:val="24"/>
          <w:u w:val="single"/>
        </w:rPr>
        <w:t>m</w:t>
      </w:r>
      <w:r>
        <w:rPr>
          <w:rFonts w:hint="default" w:ascii="Times New Roman" w:hAnsi="Times New Roman" w:eastAsia="宋体" w:cs="Times New Roman"/>
          <w:sz w:val="24"/>
          <w:szCs w:val="24"/>
          <w:u w:val="single"/>
          <w:vertAlign w:val="superscript"/>
        </w:rPr>
        <w:t>3</w:t>
      </w:r>
      <w:r>
        <w:rPr>
          <w:rFonts w:hint="default" w:ascii="Times New Roman" w:hAnsi="Times New Roman" w:eastAsia="宋体" w:cs="Times New Roman"/>
          <w:sz w:val="24"/>
          <w:szCs w:val="24"/>
          <w:u w:val="single"/>
        </w:rPr>
        <w:t>，建议建设单位事故储存设施总有效容积不小于</w:t>
      </w:r>
      <w:r>
        <w:rPr>
          <w:rFonts w:hint="eastAsia" w:ascii="Times New Roman" w:hAnsi="Times New Roman" w:eastAsia="宋体" w:cs="Times New Roman"/>
          <w:sz w:val="24"/>
          <w:szCs w:val="24"/>
          <w:u w:val="single"/>
          <w:lang w:val="en-US" w:eastAsia="zh-CN"/>
        </w:rPr>
        <w:t>26</w:t>
      </w:r>
      <w:r>
        <w:rPr>
          <w:rFonts w:hint="default" w:ascii="Times New Roman" w:hAnsi="Times New Roman" w:eastAsia="宋体" w:cs="Times New Roman"/>
          <w:sz w:val="24"/>
          <w:szCs w:val="24"/>
          <w:u w:val="single"/>
        </w:rPr>
        <w:t>0m</w:t>
      </w:r>
      <w:r>
        <w:rPr>
          <w:rFonts w:hint="default" w:ascii="Times New Roman" w:hAnsi="Times New Roman" w:eastAsia="宋体" w:cs="Times New Roman"/>
          <w:sz w:val="24"/>
          <w:szCs w:val="24"/>
          <w:u w:val="single"/>
          <w:vertAlign w:val="superscript"/>
        </w:rPr>
        <w:t>3</w:t>
      </w:r>
      <w:r>
        <w:rPr>
          <w:rFonts w:hint="default" w:ascii="Times New Roman" w:hAnsi="Times New Roman" w:eastAsia="宋体" w:cs="Times New Roman"/>
          <w:sz w:val="24"/>
          <w:szCs w:val="24"/>
          <w:u w:val="single"/>
          <w:vertAlign w:val="baseline"/>
          <w:lang w:eastAsia="zh-CN"/>
        </w:rPr>
        <w:t>，</w:t>
      </w:r>
      <w:r>
        <w:rPr>
          <w:rFonts w:hint="default" w:ascii="Times New Roman" w:hAnsi="Times New Roman" w:eastAsia="宋体" w:cs="Times New Roman"/>
          <w:sz w:val="24"/>
          <w:szCs w:val="24"/>
          <w:u w:val="single"/>
          <w:vertAlign w:val="baseline"/>
          <w:lang w:val="en-US" w:eastAsia="zh-CN"/>
        </w:rPr>
        <w:t>项目拟</w:t>
      </w:r>
      <w:r>
        <w:rPr>
          <w:rFonts w:hint="eastAsia" w:ascii="Times New Roman" w:hAnsi="Times New Roman" w:eastAsia="宋体" w:cs="Times New Roman"/>
          <w:sz w:val="24"/>
          <w:szCs w:val="24"/>
          <w:u w:val="single"/>
          <w:vertAlign w:val="baseline"/>
          <w:lang w:val="en-US" w:eastAsia="zh-CN"/>
        </w:rPr>
        <w:t>在生厂区设置一个有效容积为80</w:t>
      </w:r>
      <w:r>
        <w:rPr>
          <w:rFonts w:hint="default" w:ascii="Times New Roman" w:hAnsi="Times New Roman" w:eastAsia="宋体" w:cs="Times New Roman"/>
          <w:sz w:val="24"/>
          <w:szCs w:val="24"/>
          <w:u w:val="single"/>
          <w:vertAlign w:val="baseline"/>
          <w:lang w:val="en-US" w:eastAsia="zh-CN"/>
        </w:rPr>
        <w:t>m</w:t>
      </w:r>
      <w:r>
        <w:rPr>
          <w:rFonts w:hint="default" w:ascii="Times New Roman" w:hAnsi="Times New Roman" w:eastAsia="宋体" w:cs="Times New Roman"/>
          <w:sz w:val="24"/>
          <w:szCs w:val="24"/>
          <w:u w:val="single"/>
          <w:vertAlign w:val="superscript"/>
          <w:lang w:val="en-US" w:eastAsia="zh-CN"/>
        </w:rPr>
        <w:t>3</w:t>
      </w:r>
      <w:r>
        <w:rPr>
          <w:rFonts w:hint="eastAsia" w:ascii="Times New Roman" w:hAnsi="Times New Roman" w:eastAsia="宋体" w:cs="Times New Roman"/>
          <w:sz w:val="24"/>
          <w:szCs w:val="24"/>
          <w:u w:val="single"/>
          <w:vertAlign w:val="baseline"/>
          <w:lang w:val="en-US" w:eastAsia="zh-CN"/>
        </w:rPr>
        <w:t>，并在污水处理区设置一个有效容积为300</w:t>
      </w:r>
      <w:r>
        <w:rPr>
          <w:rFonts w:hint="default" w:ascii="Times New Roman" w:hAnsi="Times New Roman" w:eastAsia="宋体" w:cs="Times New Roman"/>
          <w:sz w:val="24"/>
          <w:szCs w:val="24"/>
          <w:u w:val="single"/>
          <w:vertAlign w:val="baseline"/>
          <w:lang w:val="en-US" w:eastAsia="zh-CN"/>
        </w:rPr>
        <w:t>m</w:t>
      </w:r>
      <w:r>
        <w:rPr>
          <w:rFonts w:hint="default" w:ascii="Times New Roman" w:hAnsi="Times New Roman" w:eastAsia="宋体" w:cs="Times New Roman"/>
          <w:sz w:val="24"/>
          <w:szCs w:val="24"/>
          <w:u w:val="single"/>
          <w:vertAlign w:val="superscript"/>
          <w:lang w:val="en-US" w:eastAsia="zh-CN"/>
        </w:rPr>
        <w:t>3</w:t>
      </w:r>
      <w:r>
        <w:rPr>
          <w:rFonts w:hint="eastAsia" w:ascii="Times New Roman" w:hAnsi="Times New Roman" w:eastAsia="宋体" w:cs="Times New Roman"/>
          <w:sz w:val="24"/>
          <w:szCs w:val="24"/>
          <w:u w:val="single"/>
          <w:vertAlign w:val="baseline"/>
          <w:lang w:val="en-US" w:eastAsia="zh-CN"/>
        </w:rPr>
        <w:t>的事故应急池，项目厂区</w:t>
      </w:r>
      <w:r>
        <w:rPr>
          <w:rFonts w:hint="default" w:ascii="Times New Roman" w:hAnsi="Times New Roman" w:eastAsia="宋体" w:cs="Times New Roman"/>
          <w:sz w:val="24"/>
          <w:szCs w:val="24"/>
          <w:u w:val="single"/>
          <w:vertAlign w:val="baseline"/>
          <w:lang w:val="en-US" w:eastAsia="zh-CN"/>
        </w:rPr>
        <w:t>应急事故池</w:t>
      </w:r>
      <w:r>
        <w:rPr>
          <w:rFonts w:hint="eastAsia" w:ascii="Times New Roman" w:hAnsi="Times New Roman" w:eastAsia="宋体" w:cs="Times New Roman"/>
          <w:sz w:val="24"/>
          <w:szCs w:val="24"/>
          <w:u w:val="single"/>
          <w:vertAlign w:val="baseline"/>
          <w:lang w:val="en-US" w:eastAsia="zh-CN"/>
        </w:rPr>
        <w:t>总的有效</w:t>
      </w:r>
      <w:r>
        <w:rPr>
          <w:rFonts w:hint="default" w:ascii="Times New Roman" w:hAnsi="Times New Roman" w:eastAsia="宋体" w:cs="Times New Roman"/>
          <w:sz w:val="24"/>
          <w:szCs w:val="24"/>
          <w:u w:val="single"/>
          <w:vertAlign w:val="baseline"/>
          <w:lang w:val="en-US" w:eastAsia="zh-CN"/>
        </w:rPr>
        <w:t>容积为</w:t>
      </w:r>
      <w:r>
        <w:rPr>
          <w:rFonts w:hint="eastAsia" w:ascii="Times New Roman" w:hAnsi="Times New Roman" w:eastAsia="宋体" w:cs="Times New Roman"/>
          <w:sz w:val="24"/>
          <w:szCs w:val="24"/>
          <w:u w:val="single"/>
          <w:vertAlign w:val="baseline"/>
          <w:lang w:val="en-US" w:eastAsia="zh-CN"/>
        </w:rPr>
        <w:t>38</w:t>
      </w:r>
      <w:r>
        <w:rPr>
          <w:rFonts w:hint="default" w:ascii="Times New Roman" w:hAnsi="Times New Roman" w:eastAsia="宋体" w:cs="Times New Roman"/>
          <w:sz w:val="24"/>
          <w:szCs w:val="24"/>
          <w:u w:val="single"/>
          <w:vertAlign w:val="baseline"/>
          <w:lang w:val="en-US" w:eastAsia="zh-CN"/>
        </w:rPr>
        <w:t>0m</w:t>
      </w:r>
      <w:r>
        <w:rPr>
          <w:rFonts w:hint="default" w:ascii="Times New Roman" w:hAnsi="Times New Roman" w:eastAsia="宋体" w:cs="Times New Roman"/>
          <w:sz w:val="24"/>
          <w:szCs w:val="24"/>
          <w:u w:val="single"/>
          <w:vertAlign w:val="superscript"/>
          <w:lang w:val="en-US" w:eastAsia="zh-CN"/>
        </w:rPr>
        <w:t>3</w:t>
      </w:r>
      <w:r>
        <w:rPr>
          <w:rFonts w:hint="default" w:ascii="Times New Roman" w:hAnsi="Times New Roman" w:eastAsia="宋体" w:cs="Times New Roman"/>
          <w:sz w:val="24"/>
          <w:szCs w:val="24"/>
          <w:u w:val="single"/>
          <w:vertAlign w:val="baseline"/>
          <w:lang w:val="en-US" w:eastAsia="zh-CN"/>
        </w:rPr>
        <w:t>，可满足环境风险情景下的事故废水贮存需求</w:t>
      </w:r>
      <w:r>
        <w:rPr>
          <w:rFonts w:hint="default" w:ascii="Times New Roman" w:hAnsi="Times New Roman" w:eastAsia="宋体" w:cs="Times New Roman"/>
          <w:sz w:val="24"/>
          <w:szCs w:val="24"/>
          <w:u w:val="single"/>
        </w:rPr>
        <w:t>。</w:t>
      </w:r>
    </w:p>
    <w:p w14:paraId="0EF8A852">
      <w:pPr>
        <w:pStyle w:val="48"/>
        <w:spacing w:before="0" w:line="360" w:lineRule="auto"/>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lang w:val="en-US" w:eastAsia="zh-CN"/>
        </w:rPr>
        <w:t>2</w:t>
      </w:r>
      <w:r>
        <w:rPr>
          <w:rFonts w:hint="default" w:ascii="Times New Roman" w:hAnsi="Times New Roman" w:eastAsia="宋体" w:cs="Times New Roman"/>
          <w:sz w:val="24"/>
          <w:szCs w:val="24"/>
          <w:u w:val="single"/>
          <w:lang w:eastAsia="zh-CN"/>
        </w:rPr>
        <w:t>）事故池的有效性分析</w:t>
      </w:r>
    </w:p>
    <w:p w14:paraId="5E74E232">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应急事故池建议设置在厂区东南侧，临近污水处理站处，企业应配套设置迅速切断事故排水直接外排并使其进入事故池的措施。事故池应采取防渗措施和安全措施，且事故池在平时不得占用，以保证可以随时容纳可能发生的事故废水。根据项目组成，事故废水其可能的主要污染物为 COD、SS、石油类等，水质相对复杂，待在事故结束之后，将事故池中的污水经过分析可以利用的情况下，回收利用；不能利用时，在</w:t>
      </w:r>
      <w:r>
        <w:rPr>
          <w:rFonts w:hint="eastAsia" w:ascii="Times New Roman" w:hAnsi="Times New Roman" w:eastAsia="宋体" w:cs="Times New Roman"/>
          <w:sz w:val="24"/>
          <w:szCs w:val="24"/>
          <w:u w:val="single"/>
          <w:lang w:eastAsia="zh-CN"/>
        </w:rPr>
        <w:t>生态环境部</w:t>
      </w:r>
      <w:r>
        <w:rPr>
          <w:rFonts w:hint="default" w:ascii="Times New Roman" w:hAnsi="Times New Roman" w:eastAsia="宋体" w:cs="Times New Roman"/>
          <w:sz w:val="24"/>
          <w:szCs w:val="24"/>
          <w:u w:val="single"/>
        </w:rPr>
        <w:t>门允许的条件下，送有能力和资质的单位进行处置。</w:t>
      </w:r>
    </w:p>
    <w:p w14:paraId="64AFFF4A">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物料泄漏造成火灾或爆炸时，将产生消防废水。由于项目物料种类较多，但存储量均较小，且通过防火墙的建设使得发生几种物料同时失火的几率很小。事故池根据厂区的地形地势可直接接管，事故应急池根据突发状况应急所需打开管道阀门调配使用。</w:t>
      </w:r>
    </w:p>
    <w:p w14:paraId="17B40E35">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消防废水中含有未燃烧的物料、COD等，为防止拟建项目在事故状态下产生的消防废水污染 外界水环境，建设单位应在仓库边界四周布置环形集水沟，便于收集消防废水。消防废水不能直排，建设单位应委托具有相应资质的单位进行处理。</w:t>
      </w:r>
    </w:p>
    <w:p w14:paraId="05B95AD5">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为防止发生火灾事故后造成消防废水二次污染，拟建项目设置的消防废水收集和处理系统还应包括：</w:t>
      </w:r>
    </w:p>
    <w:p w14:paraId="5090408C">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①截留阀；</w:t>
      </w:r>
    </w:p>
    <w:p w14:paraId="4E5AB441">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②雨水、污水排放口设置应急阀门；</w:t>
      </w:r>
    </w:p>
    <w:p w14:paraId="7F0E1BF2">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③厂区消防废水通过沟渠收集进入雨水管网，在厂区雨水管网集中汇入市政雨水管网的节点 上安装可靠的隔断措施，例如阀门等，可在灭火时将此隔断措施关闭，将消防废水引入消防废水池，防止消防废水直接进入市政雨水管网；</w:t>
      </w:r>
    </w:p>
    <w:p w14:paraId="25CB8129">
      <w:pPr>
        <w:pStyle w:val="48"/>
        <w:spacing w:before="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④在厂区边界预先准备适量的沙包，在厂区灭火时堵住厂界围墙有泄漏的地方，防止消防废水向场外泄漏；</w:t>
      </w:r>
    </w:p>
    <w:p w14:paraId="1F10CC5B">
      <w:pPr>
        <w:pStyle w:val="48"/>
        <w:spacing w:before="0" w:line="360" w:lineRule="auto"/>
        <w:rPr>
          <w:rFonts w:hint="default" w:ascii="Times New Roman" w:hAnsi="Times New Roman" w:eastAsia="宋体" w:cs="Times New Roman"/>
          <w:sz w:val="24"/>
          <w:szCs w:val="24"/>
          <w:u w:val="single"/>
          <w:lang w:eastAsia="zh-CN"/>
        </w:rPr>
      </w:pPr>
      <w:r>
        <w:rPr>
          <w:rFonts w:hint="default" w:ascii="Times New Roman" w:hAnsi="Times New Roman" w:eastAsia="宋体" w:cs="Times New Roman"/>
          <w:sz w:val="24"/>
          <w:szCs w:val="24"/>
          <w:u w:val="single"/>
        </w:rPr>
        <w:t>采取以上措施，事故废水可以得到有效控制</w:t>
      </w:r>
      <w:r>
        <w:rPr>
          <w:rFonts w:hint="default" w:ascii="Times New Roman" w:hAnsi="Times New Roman" w:eastAsia="宋体" w:cs="Times New Roman"/>
          <w:sz w:val="24"/>
          <w:szCs w:val="24"/>
          <w:u w:val="single"/>
          <w:lang w:eastAsia="zh-CN"/>
        </w:rPr>
        <w:t>。</w:t>
      </w:r>
    </w:p>
    <w:p w14:paraId="69417E83">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9.6.</w:t>
      </w:r>
      <w:r>
        <w:rPr>
          <w:rFonts w:hint="default" w:ascii="Times New Roman" w:hAnsi="Times New Roman" w:eastAsia="宋体" w:cs="Times New Roman"/>
          <w:sz w:val="24"/>
          <w:szCs w:val="24"/>
          <w:lang w:val="en-US" w:eastAsia="zh-CN"/>
        </w:rPr>
        <w:t>5事故污水三级防控措施</w:t>
      </w:r>
    </w:p>
    <w:p w14:paraId="5FA11F7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right"/>
        <w:textAlignment w:val="auto"/>
        <w:rPr>
          <w:rFonts w:hint="default" w:ascii="Times New Roman" w:hAnsi="Times New Roman" w:eastAsia="宋体" w:cs="Times New Roman"/>
          <w:spacing w:val="0"/>
          <w:w w:val="100"/>
          <w:position w:val="0"/>
          <w:sz w:val="24"/>
          <w:szCs w:val="24"/>
        </w:rPr>
      </w:pPr>
      <w:r>
        <w:rPr>
          <w:rFonts w:hint="default" w:ascii="Times New Roman" w:hAnsi="Times New Roman" w:eastAsia="宋体" w:cs="Times New Roman"/>
          <w:spacing w:val="0"/>
          <w:w w:val="100"/>
          <w:position w:val="0"/>
          <w:sz w:val="24"/>
          <w:szCs w:val="24"/>
          <w:u w:val="single"/>
          <w:lang w:val="en-US" w:eastAsia="zh-CN"/>
        </w:rPr>
        <w:t xml:space="preserve">  </w:t>
      </w:r>
      <w:r>
        <w:rPr>
          <w:rFonts w:hint="default" w:ascii="Times New Roman" w:hAnsi="Times New Roman" w:eastAsia="宋体" w:cs="Times New Roman"/>
          <w:spacing w:val="0"/>
          <w:w w:val="100"/>
          <w:position w:val="0"/>
          <w:sz w:val="24"/>
          <w:szCs w:val="24"/>
          <w:u w:val="single"/>
          <w:lang w:eastAsia="zh-CN"/>
        </w:rPr>
        <w:t>为表面事故泄漏物料、消防废水外排对外环境造成恶劣影响，项目以“预防为主、防控结合”的指导思想，建立安全、及时、有效的污染综合预防与控制体系，以实现达标排放和满足应急处</w:t>
      </w:r>
      <w:r>
        <w:rPr>
          <w:rFonts w:hint="default" w:ascii="Times New Roman" w:hAnsi="Times New Roman" w:eastAsia="宋体" w:cs="Times New Roman"/>
          <w:spacing w:val="0"/>
          <w:w w:val="100"/>
          <w:position w:val="0"/>
        </w:rPr>
        <mc:AlternateContent>
          <mc:Choice Requires="wpg">
            <w:drawing>
              <wp:anchor distT="0" distB="0" distL="114300" distR="114300" simplePos="0" relativeHeight="251674624" behindDoc="0" locked="0" layoutInCell="0" allowOverlap="1">
                <wp:simplePos x="0" y="0"/>
                <wp:positionH relativeFrom="page">
                  <wp:posOffset>2759075</wp:posOffset>
                </wp:positionH>
                <wp:positionV relativeFrom="page">
                  <wp:posOffset>5507355</wp:posOffset>
                </wp:positionV>
                <wp:extent cx="1270" cy="339725"/>
                <wp:effectExtent l="4445" t="0" r="9525" b="10795"/>
                <wp:wrapNone/>
                <wp:docPr id="93" name="组合 93"/>
                <wp:cNvGraphicFramePr/>
                <a:graphic xmlns:a="http://schemas.openxmlformats.org/drawingml/2006/main">
                  <a:graphicData uri="http://schemas.microsoft.com/office/word/2010/wordprocessingGroup">
                    <wpg:wgp>
                      <wpg:cNvGrpSpPr/>
                      <wpg:grpSpPr>
                        <a:xfrm>
                          <a:off x="0" y="0"/>
                          <a:ext cx="1270" cy="339725"/>
                          <a:chOff x="0" y="0"/>
                          <a:chExt cx="2" cy="535"/>
                        </a:xfrm>
                      </wpg:grpSpPr>
                      <wps:wsp>
                        <wps:cNvPr id="91" name="任意多边形 91"/>
                        <wps:cNvSpPr/>
                        <wps:spPr>
                          <a:xfrm>
                            <a:off x="0" y="0"/>
                            <a:ext cx="2" cy="535"/>
                          </a:xfrm>
                          <a:custGeom>
                            <a:avLst/>
                            <a:gdLst/>
                            <a:ahLst/>
                            <a:cxnLst/>
                            <a:pathLst>
                              <a:path w="2" h="535">
                                <a:moveTo>
                                  <a:pt x="0" y="0"/>
                                </a:moveTo>
                                <a:lnTo>
                                  <a:pt x="0" y="12"/>
                                </a:lnTo>
                                <a:moveTo>
                                  <a:pt x="0" y="30"/>
                                </a:moveTo>
                                <a:lnTo>
                                  <a:pt x="0" y="42"/>
                                </a:lnTo>
                                <a:moveTo>
                                  <a:pt x="0" y="61"/>
                                </a:moveTo>
                                <a:lnTo>
                                  <a:pt x="0" y="73"/>
                                </a:lnTo>
                                <a:moveTo>
                                  <a:pt x="0" y="91"/>
                                </a:moveTo>
                                <a:lnTo>
                                  <a:pt x="0" y="104"/>
                                </a:lnTo>
                                <a:moveTo>
                                  <a:pt x="0" y="122"/>
                                </a:moveTo>
                                <a:lnTo>
                                  <a:pt x="0" y="135"/>
                                </a:lnTo>
                                <a:moveTo>
                                  <a:pt x="0" y="153"/>
                                </a:moveTo>
                                <a:lnTo>
                                  <a:pt x="0" y="165"/>
                                </a:lnTo>
                                <a:moveTo>
                                  <a:pt x="0" y="184"/>
                                </a:moveTo>
                                <a:lnTo>
                                  <a:pt x="0" y="196"/>
                                </a:lnTo>
                                <a:moveTo>
                                  <a:pt x="0" y="214"/>
                                </a:moveTo>
                                <a:lnTo>
                                  <a:pt x="0" y="227"/>
                                </a:lnTo>
                                <a:moveTo>
                                  <a:pt x="0" y="245"/>
                                </a:moveTo>
                                <a:lnTo>
                                  <a:pt x="0" y="258"/>
                                </a:lnTo>
                                <a:moveTo>
                                  <a:pt x="0" y="276"/>
                                </a:moveTo>
                                <a:lnTo>
                                  <a:pt x="0" y="288"/>
                                </a:lnTo>
                                <a:moveTo>
                                  <a:pt x="0" y="306"/>
                                </a:moveTo>
                                <a:lnTo>
                                  <a:pt x="0" y="319"/>
                                </a:lnTo>
                                <a:moveTo>
                                  <a:pt x="0" y="337"/>
                                </a:moveTo>
                                <a:lnTo>
                                  <a:pt x="0" y="350"/>
                                </a:lnTo>
                                <a:moveTo>
                                  <a:pt x="0" y="368"/>
                                </a:moveTo>
                                <a:lnTo>
                                  <a:pt x="0" y="380"/>
                                </a:lnTo>
                                <a:moveTo>
                                  <a:pt x="0" y="399"/>
                                </a:moveTo>
                                <a:lnTo>
                                  <a:pt x="0" y="411"/>
                                </a:lnTo>
                                <a:moveTo>
                                  <a:pt x="0" y="429"/>
                                </a:moveTo>
                                <a:lnTo>
                                  <a:pt x="0" y="442"/>
                                </a:lnTo>
                                <a:moveTo>
                                  <a:pt x="0" y="460"/>
                                </a:moveTo>
                                <a:lnTo>
                                  <a:pt x="0" y="473"/>
                                </a:lnTo>
                                <a:moveTo>
                                  <a:pt x="0" y="491"/>
                                </a:moveTo>
                                <a:lnTo>
                                  <a:pt x="0" y="503"/>
                                </a:lnTo>
                                <a:moveTo>
                                  <a:pt x="0" y="522"/>
                                </a:moveTo>
                                <a:lnTo>
                                  <a:pt x="0" y="534"/>
                                </a:lnTo>
                              </a:path>
                            </a:pathLst>
                          </a:custGeom>
                          <a:noFill/>
                          <a:ln w="889" cap="flat" cmpd="sng">
                            <a:solidFill>
                              <a:srgbClr val="000000"/>
                            </a:solidFill>
                            <a:prstDash val="solid"/>
                            <a:headEnd type="none" w="med" len="med"/>
                            <a:tailEnd type="none" w="med" len="med"/>
                          </a:ln>
                        </wps:spPr>
                        <wps:bodyPr upright="1"/>
                      </wps:wsp>
                      <wps:wsp>
                        <wps:cNvPr id="92" name="任意多边形 92"/>
                        <wps:cNvSpPr/>
                        <wps:spPr>
                          <a:xfrm>
                            <a:off x="0" y="401"/>
                            <a:ext cx="2" cy="2"/>
                          </a:xfrm>
                          <a:custGeom>
                            <a:avLst/>
                            <a:gdLst/>
                            <a:ahLst/>
                            <a:cxnLst/>
                            <a:pathLst>
                              <a:path w="2" h="2">
                                <a:moveTo>
                                  <a:pt x="0" y="0"/>
                                </a:moveTo>
                                <a:lnTo>
                                  <a:pt x="0" y="0"/>
                                </a:lnTo>
                              </a:path>
                            </a:pathLst>
                          </a:custGeom>
                          <a:noFill/>
                          <a:ln w="889" cap="sq" cmpd="sng">
                            <a:solidFill>
                              <a:srgbClr val="000000"/>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217.25pt;margin-top:433.65pt;height:26.75pt;width:0.1pt;mso-position-horizontal-relative:page;mso-position-vertical-relative:page;z-index:251674624;mso-width-relative:page;mso-height-relative:page;" coordsize="2,535" o:allowincell="f" o:gfxdata="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">
                <o:lock v:ext="edit" aspectratio="f"/>
                <v:shape id="_x0000_s1026" o:spid="_x0000_s1026" o:spt="100" style="position:absolute;left:0;top:0;height:535;width:2;" filled="f" stroked="t" coordsize="2,535" o:gfxdata="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5YtQr4A&#10;AADbAAAADwAAAAAAAAABACAAAAAiAAAAZHJzL2Rvd25yZXYueG1sUEsBAhQAFAAAAAgAh07iQDMv&#10;BZ47AAAAOQAAABAAAAAAAAAAAQAgAAAADQEAAGRycy9zaGFwZXhtbC54bWxQSwUGAAAAAAYABgBb&#10;AQAAtwMAAAAA&#10;" path="m0,0l0,12m0,30l0,42m0,61l0,73m0,91l0,104m0,122l0,135m0,153l0,165m0,184l0,196m0,214l0,227m0,245l0,258m0,276l0,288m0,306l0,319m0,337l0,350m0,368l0,380m0,399l0,411m0,429l0,442m0,460l0,473m0,491l0,503m0,522l0,534e">
                  <v:fill on="f" focussize="0,0"/>
                  <v:stroke weight="0.07pt" color="#000000" joinstyle="round"/>
                  <v:imagedata o:title=""/>
                  <o:lock v:ext="edit" aspectratio="f"/>
                </v:shape>
                <v:shape id="_x0000_s1026" o:spid="_x0000_s1026" o:spt="100" style="position:absolute;left:0;top:401;height:2;width:2;" filled="f" stroked="t" coordsize="2,2" o:gfxdata="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b+jGvQAA&#10;ANsAAAAPAAAAAAAAAAEAIAAAACIAAABkcnMvZG93bnJldi54bWxQSwECFAAUAAAACACHTuJAMy8F&#10;njsAAAA5AAAAEAAAAAAAAAABACAAAAAMAQAAZHJzL3NoYXBleG1sLnhtbFBLBQYAAAAABgAGAFsB&#10;AAC2AwAAAAA=&#10;" path="m0,0l0,0e">
                  <v:fill on="f" focussize="0,0"/>
                  <v:stroke weight="0.07pt" color="#000000" joinstyle="round" endcap="square"/>
                  <v:imagedata o:title=""/>
                  <o:lock v:ext="edit" aspectratio="f"/>
                </v:shape>
              </v:group>
            </w:pict>
          </mc:Fallback>
        </mc:AlternateContent>
      </w:r>
      <w:r>
        <w:rPr>
          <w:rFonts w:hint="default" w:ascii="Times New Roman" w:hAnsi="Times New Roman" w:eastAsia="宋体" w:cs="Times New Roman"/>
          <w:spacing w:val="0"/>
          <w:w w:val="100"/>
          <w:position w:val="0"/>
        </w:rPr>
        <mc:AlternateContent>
          <mc:Choice Requires="wps">
            <w:drawing>
              <wp:anchor distT="0" distB="0" distL="114300" distR="114300" simplePos="0" relativeHeight="251675648" behindDoc="0" locked="0" layoutInCell="0" allowOverlap="1">
                <wp:simplePos x="0" y="0"/>
                <wp:positionH relativeFrom="page">
                  <wp:posOffset>2956560</wp:posOffset>
                </wp:positionH>
                <wp:positionV relativeFrom="page">
                  <wp:posOffset>5507355</wp:posOffset>
                </wp:positionV>
                <wp:extent cx="1270" cy="182245"/>
                <wp:effectExtent l="4445" t="0" r="9525" b="635"/>
                <wp:wrapNone/>
                <wp:docPr id="90" name="任意多边形 90"/>
                <wp:cNvGraphicFramePr/>
                <a:graphic xmlns:a="http://schemas.openxmlformats.org/drawingml/2006/main">
                  <a:graphicData uri="http://schemas.microsoft.com/office/word/2010/wordprocessingShape">
                    <wps:wsp>
                      <wps:cNvSpPr/>
                      <wps:spPr>
                        <a:xfrm>
                          <a:off x="0" y="0"/>
                          <a:ext cx="1270" cy="182245"/>
                        </a:xfrm>
                        <a:custGeom>
                          <a:avLst/>
                          <a:gdLst/>
                          <a:ahLst/>
                          <a:cxnLst/>
                          <a:pathLst>
                            <a:path w="2" h="287">
                              <a:moveTo>
                                <a:pt x="0" y="0"/>
                              </a:moveTo>
                              <a:lnTo>
                                <a:pt x="0" y="10"/>
                              </a:lnTo>
                              <a:moveTo>
                                <a:pt x="0" y="29"/>
                              </a:moveTo>
                              <a:lnTo>
                                <a:pt x="0" y="41"/>
                              </a:lnTo>
                              <a:moveTo>
                                <a:pt x="0" y="60"/>
                              </a:moveTo>
                              <a:lnTo>
                                <a:pt x="0" y="72"/>
                              </a:lnTo>
                              <a:moveTo>
                                <a:pt x="0" y="91"/>
                              </a:moveTo>
                              <a:lnTo>
                                <a:pt x="0" y="103"/>
                              </a:lnTo>
                              <a:moveTo>
                                <a:pt x="0" y="121"/>
                              </a:moveTo>
                              <a:lnTo>
                                <a:pt x="0" y="133"/>
                              </a:lnTo>
                              <a:moveTo>
                                <a:pt x="0" y="152"/>
                              </a:moveTo>
                              <a:lnTo>
                                <a:pt x="0" y="164"/>
                              </a:lnTo>
                              <a:moveTo>
                                <a:pt x="0" y="183"/>
                              </a:moveTo>
                              <a:lnTo>
                                <a:pt x="0" y="195"/>
                              </a:lnTo>
                              <a:moveTo>
                                <a:pt x="0" y="214"/>
                              </a:moveTo>
                              <a:lnTo>
                                <a:pt x="0" y="226"/>
                              </a:lnTo>
                              <a:moveTo>
                                <a:pt x="0" y="244"/>
                              </a:moveTo>
                              <a:lnTo>
                                <a:pt x="0" y="256"/>
                              </a:lnTo>
                              <a:moveTo>
                                <a:pt x="0" y="275"/>
                              </a:moveTo>
                              <a:lnTo>
                                <a:pt x="0" y="286"/>
                              </a:lnTo>
                            </a:path>
                          </a:pathLst>
                        </a:custGeom>
                        <a:noFill/>
                        <a:ln w="889"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232.8pt;margin-top:433.65pt;height:14.35pt;width:0.1pt;mso-position-horizontal-relative:page;mso-position-vertical-relative:page;z-index:251675648;mso-width-relative:page;mso-height-relative:page;" filled="f" stroked="t" coordsize="2,287" o:allowincell="f" o:gfxdata="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Dm2mUu2gAAAAsBAAAPAAAAAAAAAAEAIAAAACIAAABkcnMvZG93bnJldi54bWxQ&#10;SwECFAAUAAAACACHTuJAmaHuJaACAABTBwAADgAAAAAAAAABACAAAAApAQAAZHJzL2Uyb0RvYy54&#10;bWxQSwUGAAAAAAYABgBZAQAAOwYAAAAA&#10;" path="m0,0l0,10m0,29l0,41m0,60l0,72m0,91l0,103m0,121l0,133m0,152l0,164m0,183l0,195m0,214l0,226m0,244l0,256m0,275l0,286e">
                <v:fill on="f" focussize="0,0"/>
                <v:stroke weight="0.07pt" color="#000000" joinstyle="round"/>
                <v:imagedata o:title=""/>
                <o:lock v:ext="edit" aspectratio="f"/>
              </v:shape>
            </w:pict>
          </mc:Fallback>
        </mc:AlternateContent>
      </w:r>
      <w:r>
        <w:rPr>
          <w:rFonts w:hint="default" w:ascii="Times New Roman" w:hAnsi="Times New Roman" w:eastAsia="宋体" w:cs="Times New Roman"/>
          <w:spacing w:val="0"/>
          <w:w w:val="100"/>
          <w:position w:val="0"/>
        </w:rPr>
        <mc:AlternateContent>
          <mc:Choice Requires="wps">
            <w:drawing>
              <wp:anchor distT="0" distB="0" distL="114300" distR="114300" simplePos="0" relativeHeight="251673600" behindDoc="0" locked="0" layoutInCell="0" allowOverlap="1">
                <wp:simplePos x="0" y="0"/>
                <wp:positionH relativeFrom="page">
                  <wp:posOffset>2430145</wp:posOffset>
                </wp:positionH>
                <wp:positionV relativeFrom="page">
                  <wp:posOffset>6118860</wp:posOffset>
                </wp:positionV>
                <wp:extent cx="658495" cy="7620"/>
                <wp:effectExtent l="0" t="0" r="0" b="0"/>
                <wp:wrapNone/>
                <wp:docPr id="85" name="任意多边形 85"/>
                <wp:cNvGraphicFramePr/>
                <a:graphic xmlns:a="http://schemas.openxmlformats.org/drawingml/2006/main">
                  <a:graphicData uri="http://schemas.microsoft.com/office/word/2010/wordprocessingShape">
                    <wps:wsp>
                      <wps:cNvSpPr/>
                      <wps:spPr>
                        <a:xfrm>
                          <a:off x="0" y="0"/>
                          <a:ext cx="658495" cy="7620"/>
                        </a:xfrm>
                        <a:custGeom>
                          <a:avLst/>
                          <a:gdLst/>
                          <a:ahLst/>
                          <a:cxnLst/>
                          <a:pathLst>
                            <a:path w="1036" h="12">
                              <a:moveTo>
                                <a:pt x="1035" y="11"/>
                              </a:moveTo>
                              <a:lnTo>
                                <a:pt x="1035" y="0"/>
                              </a:lnTo>
                              <a:moveTo>
                                <a:pt x="0" y="0"/>
                              </a:moveTo>
                              <a:lnTo>
                                <a:pt x="0" y="11"/>
                              </a:lnTo>
                              <a:moveTo>
                                <a:pt x="0" y="11"/>
                              </a:moveTo>
                              <a:lnTo>
                                <a:pt x="13" y="11"/>
                              </a:lnTo>
                              <a:moveTo>
                                <a:pt x="30" y="11"/>
                              </a:moveTo>
                              <a:lnTo>
                                <a:pt x="42" y="11"/>
                              </a:lnTo>
                              <a:moveTo>
                                <a:pt x="60" y="11"/>
                              </a:moveTo>
                              <a:lnTo>
                                <a:pt x="71" y="11"/>
                              </a:lnTo>
                              <a:moveTo>
                                <a:pt x="89" y="11"/>
                              </a:moveTo>
                              <a:lnTo>
                                <a:pt x="100" y="11"/>
                              </a:lnTo>
                              <a:moveTo>
                                <a:pt x="118" y="11"/>
                              </a:moveTo>
                              <a:lnTo>
                                <a:pt x="130" y="11"/>
                              </a:lnTo>
                              <a:moveTo>
                                <a:pt x="147" y="11"/>
                              </a:moveTo>
                              <a:lnTo>
                                <a:pt x="159" y="11"/>
                              </a:lnTo>
                              <a:moveTo>
                                <a:pt x="176" y="11"/>
                              </a:moveTo>
                              <a:lnTo>
                                <a:pt x="188" y="11"/>
                              </a:lnTo>
                              <a:moveTo>
                                <a:pt x="205" y="11"/>
                              </a:moveTo>
                              <a:lnTo>
                                <a:pt x="217" y="11"/>
                              </a:lnTo>
                              <a:moveTo>
                                <a:pt x="235" y="11"/>
                              </a:moveTo>
                              <a:lnTo>
                                <a:pt x="247" y="11"/>
                              </a:lnTo>
                              <a:moveTo>
                                <a:pt x="264" y="11"/>
                              </a:moveTo>
                              <a:lnTo>
                                <a:pt x="276" y="11"/>
                              </a:lnTo>
                              <a:moveTo>
                                <a:pt x="293" y="11"/>
                              </a:moveTo>
                              <a:lnTo>
                                <a:pt x="305" y="11"/>
                              </a:lnTo>
                              <a:moveTo>
                                <a:pt x="322" y="11"/>
                              </a:moveTo>
                              <a:lnTo>
                                <a:pt x="334" y="11"/>
                              </a:lnTo>
                              <a:moveTo>
                                <a:pt x="351" y="11"/>
                              </a:moveTo>
                              <a:lnTo>
                                <a:pt x="363" y="11"/>
                              </a:lnTo>
                              <a:moveTo>
                                <a:pt x="381" y="11"/>
                              </a:moveTo>
                              <a:lnTo>
                                <a:pt x="392" y="11"/>
                              </a:lnTo>
                              <a:moveTo>
                                <a:pt x="410" y="11"/>
                              </a:moveTo>
                              <a:lnTo>
                                <a:pt x="421" y="11"/>
                              </a:lnTo>
                              <a:moveTo>
                                <a:pt x="439" y="11"/>
                              </a:moveTo>
                              <a:lnTo>
                                <a:pt x="451" y="11"/>
                              </a:lnTo>
                              <a:moveTo>
                                <a:pt x="468" y="11"/>
                              </a:moveTo>
                              <a:lnTo>
                                <a:pt x="480" y="11"/>
                              </a:lnTo>
                              <a:moveTo>
                                <a:pt x="497" y="11"/>
                              </a:moveTo>
                              <a:lnTo>
                                <a:pt x="509" y="11"/>
                              </a:lnTo>
                              <a:moveTo>
                                <a:pt x="527" y="11"/>
                              </a:moveTo>
                              <a:lnTo>
                                <a:pt x="538" y="11"/>
                              </a:lnTo>
                              <a:moveTo>
                                <a:pt x="556" y="11"/>
                              </a:moveTo>
                              <a:lnTo>
                                <a:pt x="567" y="11"/>
                              </a:lnTo>
                              <a:moveTo>
                                <a:pt x="585" y="11"/>
                              </a:moveTo>
                              <a:lnTo>
                                <a:pt x="596" y="11"/>
                              </a:lnTo>
                              <a:moveTo>
                                <a:pt x="614" y="11"/>
                              </a:moveTo>
                              <a:lnTo>
                                <a:pt x="626" y="11"/>
                              </a:lnTo>
                              <a:moveTo>
                                <a:pt x="643" y="11"/>
                              </a:moveTo>
                              <a:lnTo>
                                <a:pt x="655" y="11"/>
                              </a:lnTo>
                              <a:moveTo>
                                <a:pt x="672" y="11"/>
                              </a:moveTo>
                              <a:lnTo>
                                <a:pt x="684" y="11"/>
                              </a:lnTo>
                              <a:moveTo>
                                <a:pt x="701" y="11"/>
                              </a:moveTo>
                              <a:lnTo>
                                <a:pt x="713" y="11"/>
                              </a:lnTo>
                              <a:moveTo>
                                <a:pt x="731" y="11"/>
                              </a:moveTo>
                              <a:lnTo>
                                <a:pt x="742" y="11"/>
                              </a:lnTo>
                              <a:moveTo>
                                <a:pt x="760" y="11"/>
                              </a:moveTo>
                              <a:lnTo>
                                <a:pt x="772" y="11"/>
                              </a:lnTo>
                              <a:moveTo>
                                <a:pt x="789" y="11"/>
                              </a:moveTo>
                              <a:lnTo>
                                <a:pt x="801" y="11"/>
                              </a:lnTo>
                              <a:moveTo>
                                <a:pt x="818" y="11"/>
                              </a:moveTo>
                              <a:lnTo>
                                <a:pt x="830" y="11"/>
                              </a:lnTo>
                              <a:moveTo>
                                <a:pt x="847" y="11"/>
                              </a:moveTo>
                              <a:lnTo>
                                <a:pt x="859" y="11"/>
                              </a:lnTo>
                              <a:moveTo>
                                <a:pt x="877" y="11"/>
                              </a:moveTo>
                              <a:lnTo>
                                <a:pt x="888" y="11"/>
                              </a:lnTo>
                              <a:moveTo>
                                <a:pt x="906" y="11"/>
                              </a:moveTo>
                              <a:lnTo>
                                <a:pt x="918" y="11"/>
                              </a:lnTo>
                              <a:moveTo>
                                <a:pt x="935" y="11"/>
                              </a:moveTo>
                              <a:lnTo>
                                <a:pt x="947" y="11"/>
                              </a:lnTo>
                              <a:moveTo>
                                <a:pt x="964" y="11"/>
                              </a:moveTo>
                              <a:lnTo>
                                <a:pt x="976" y="11"/>
                              </a:lnTo>
                              <a:moveTo>
                                <a:pt x="994" y="11"/>
                              </a:moveTo>
                              <a:lnTo>
                                <a:pt x="1005" y="11"/>
                              </a:lnTo>
                              <a:moveTo>
                                <a:pt x="1023" y="11"/>
                              </a:moveTo>
                              <a:lnTo>
                                <a:pt x="1035" y="11"/>
                              </a:lnTo>
                            </a:path>
                          </a:pathLst>
                        </a:custGeom>
                        <a:noFill/>
                        <a:ln w="889"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91.35pt;margin-top:481.8pt;height:0.6pt;width:51.85pt;mso-position-horizontal-relative:page;mso-position-vertical-relative:page;z-index:251673600;mso-width-relative:page;mso-height-relative:page;" filled="f" stroked="t" coordsize="1036,12" o:allowincell="f" o:gfxdata="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" path="m1035,11l1035,0m0,0l0,11m0,11l13,11m30,11l42,11m60,11l71,11m89,11l100,11m118,11l130,11m147,11l159,11m176,11l188,11m205,11l217,11m235,11l247,11m264,11l276,11m293,11l305,11m322,11l334,11m351,11l363,11m381,11l392,11m410,11l421,11m439,11l451,11m468,11l480,11m497,11l509,11m527,11l538,11m556,11l567,11m585,11l596,11m614,11l626,11m643,11l655,11m672,11l684,11m701,11l713,11m731,11l742,11m760,11l772,11m789,11l801,11m818,11l830,11m847,11l859,11m877,11l888,11m906,11l918,11m935,11l947,11m964,11l976,11m994,11l1005,11m1023,11l1035,11e">
                <v:fill on="f" focussize="0,0"/>
                <v:stroke weight="0.07pt" color="#000000" joinstyle="round"/>
                <v:imagedata o:title=""/>
                <o:lock v:ext="edit" aspectratio="f"/>
              </v:shape>
            </w:pict>
          </mc:Fallback>
        </mc:AlternateContent>
      </w:r>
      <w:r>
        <w:rPr>
          <w:rFonts w:hint="default" w:ascii="Times New Roman" w:hAnsi="Times New Roman" w:eastAsia="宋体" w:cs="Times New Roman"/>
          <w:spacing w:val="0"/>
          <w:w w:val="100"/>
          <w:position w:val="0"/>
          <w:sz w:val="24"/>
          <w:szCs w:val="24"/>
        </w:rPr>
        <w:t>置为原则，建立污染源头、处理过程和最终排放的</w:t>
      </w:r>
    </w:p>
    <w:p w14:paraId="0EF97155">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spacing w:val="0"/>
          <w:w w:val="100"/>
          <w:position w:val="0"/>
          <w:sz w:val="24"/>
          <w:szCs w:val="24"/>
          <w:u w:val="single"/>
        </w:rPr>
      </w:pPr>
      <w:r>
        <w:rPr>
          <w:rFonts w:hint="default" w:ascii="Times New Roman" w:hAnsi="Times New Roman" w:eastAsia="宋体" w:cs="Times New Roman"/>
          <w:spacing w:val="0"/>
          <w:w w:val="100"/>
          <w:position w:val="0"/>
          <w:sz w:val="24"/>
          <w:szCs w:val="24"/>
          <w:u w:val="single"/>
        </w:rPr>
        <w:t>三级防控”机制，确保事故状态下的事故液全部处于受控状态，事故液应得到有效处理达标后排放，防治对水环境的污染。</w:t>
      </w:r>
    </w:p>
    <w:p w14:paraId="2D00E43F">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spacing w:val="0"/>
          <w:w w:val="100"/>
          <w:position w:val="0"/>
          <w:sz w:val="24"/>
          <w:szCs w:val="24"/>
          <w:u w:val="single"/>
        </w:rPr>
      </w:pPr>
      <w:r>
        <w:rPr>
          <w:rFonts w:hint="default" w:ascii="Times New Roman" w:hAnsi="Times New Roman" w:eastAsia="宋体" w:cs="Times New Roman"/>
          <w:spacing w:val="0"/>
          <w:w w:val="100"/>
          <w:position w:val="0"/>
          <w:sz w:val="24"/>
          <w:szCs w:val="24"/>
          <w:u w:val="single"/>
        </w:rPr>
        <w:t>预防与控制体系分为三级，对水环境风险控制实现源头、过程、终端三级防控。</w:t>
      </w:r>
    </w:p>
    <w:p w14:paraId="6BD2D3E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spacing w:val="0"/>
          <w:w w:val="100"/>
          <w:position w:val="0"/>
          <w:sz w:val="24"/>
          <w:szCs w:val="24"/>
          <w:u w:val="single"/>
        </w:rPr>
      </w:pPr>
      <w:r>
        <w:rPr>
          <w:rFonts w:hint="default" w:ascii="Times New Roman" w:hAnsi="Times New Roman" w:eastAsia="宋体" w:cs="Times New Roman"/>
          <w:spacing w:val="0"/>
          <w:w w:val="100"/>
          <w:position w:val="0"/>
          <w:sz w:val="24"/>
          <w:szCs w:val="24"/>
          <w:u w:val="single"/>
        </w:rPr>
        <w:t>（1）一级防控措施是建设装置区导流设施、储液池等设施，罐区设置围堰及其配套设施（如 隔油池、清污水切换设施等），构筑生产过程中环境安全的第一层防控网，将泄漏物料、消防废水切换到处理系统，防止轻微事故泄漏物料、消防废水和污染雨水等造成环境污染；</w:t>
      </w:r>
    </w:p>
    <w:p w14:paraId="3877949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spacing w:val="0"/>
          <w:w w:val="100"/>
          <w:position w:val="0"/>
          <w:sz w:val="24"/>
          <w:szCs w:val="24"/>
          <w:u w:val="single"/>
        </w:rPr>
      </w:pPr>
      <w:r>
        <w:rPr>
          <w:rFonts w:hint="default" w:ascii="Times New Roman" w:hAnsi="Times New Roman" w:eastAsia="宋体" w:cs="Times New Roman"/>
          <w:spacing w:val="0"/>
          <w:w w:val="100"/>
          <w:position w:val="0"/>
          <w:sz w:val="24"/>
          <w:szCs w:val="24"/>
          <w:u w:val="single"/>
        </w:rPr>
        <w:t>（2）二级防控措施是在产生污染严重的装置区或厂区建设应急事故水池及其配套设施（如事 故导排系统），切断污染物与外部的通道、导入污水处理系统，将污染控制在厂内，防止单套生产装置（罐区）较大事故泄漏物料和污染消防废水造成的环境污染；</w:t>
      </w:r>
    </w:p>
    <w:p w14:paraId="6FAE79E7">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left"/>
        <w:textAlignment w:val="auto"/>
        <w:rPr>
          <w:rFonts w:hint="default" w:ascii="Times New Roman" w:hAnsi="Times New Roman" w:eastAsia="宋体" w:cs="Times New Roman"/>
          <w:spacing w:val="0"/>
          <w:w w:val="100"/>
          <w:position w:val="0"/>
          <w:sz w:val="24"/>
          <w:szCs w:val="24"/>
          <w:u w:val="single"/>
          <w:lang w:eastAsia="zh-CN"/>
        </w:rPr>
      </w:pPr>
      <w:r>
        <w:rPr>
          <w:rFonts w:hint="default" w:ascii="Times New Roman" w:hAnsi="Times New Roman" w:eastAsia="宋体" w:cs="Times New Roman"/>
          <w:spacing w:val="0"/>
          <w:w w:val="100"/>
          <w:position w:val="0"/>
          <w:sz w:val="24"/>
          <w:szCs w:val="24"/>
          <w:u w:val="single"/>
        </w:rPr>
        <w:t>（3）三级防控措施是在集中区污水处理厂终端建设末端事故缓冲设施及其配套设施，作为事 故状态下的储存与调控手段，将污染物控制在区内，防控两套及以上生产装置（罐区）重大事故泄漏物料和消防废水造成的环境污染</w:t>
      </w:r>
      <w:r>
        <w:rPr>
          <w:rFonts w:hint="default" w:ascii="Times New Roman" w:hAnsi="Times New Roman" w:eastAsia="宋体" w:cs="Times New Roman"/>
          <w:spacing w:val="0"/>
          <w:w w:val="100"/>
          <w:position w:val="0"/>
          <w:sz w:val="24"/>
          <w:szCs w:val="24"/>
          <w:u w:val="single"/>
          <w:lang w:eastAsia="zh-CN"/>
        </w:rPr>
        <w:t>。</w:t>
      </w:r>
    </w:p>
    <w:p w14:paraId="2E0C729B">
      <w:pPr>
        <w:pStyle w:val="48"/>
        <w:spacing w:before="0" w:line="360" w:lineRule="auto"/>
        <w:ind w:left="0" w:leftChars="0" w:firstLine="0" w:firstLineChars="0"/>
        <w:rPr>
          <w:rFonts w:hint="default" w:ascii="Times New Roman" w:hAnsi="Times New Roman" w:eastAsia="宋体" w:cs="Times New Roman"/>
          <w:u w:val="single"/>
        </w:rPr>
      </w:pPr>
      <w:r>
        <w:rPr>
          <w:rFonts w:hint="default" w:ascii="Times New Roman" w:hAnsi="Times New Roman" w:eastAsia="宋体" w:cs="Times New Roman"/>
          <w:u w:val="single"/>
        </w:rPr>
        <w:drawing>
          <wp:inline distT="0" distB="0" distL="114300" distR="114300">
            <wp:extent cx="5271135" cy="2212340"/>
            <wp:effectExtent l="0" t="0" r="1905" b="12700"/>
            <wp:docPr id="99"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8"/>
                    <pic:cNvPicPr>
                      <a:picLocks noChangeAspect="1"/>
                    </pic:cNvPicPr>
                  </pic:nvPicPr>
                  <pic:blipFill>
                    <a:blip r:embed="rId71"/>
                    <a:stretch>
                      <a:fillRect/>
                    </a:stretch>
                  </pic:blipFill>
                  <pic:spPr>
                    <a:xfrm>
                      <a:off x="0" y="0"/>
                      <a:ext cx="5271135" cy="2212340"/>
                    </a:xfrm>
                    <a:prstGeom prst="rect">
                      <a:avLst/>
                    </a:prstGeom>
                    <a:noFill/>
                    <a:ln>
                      <a:noFill/>
                    </a:ln>
                  </pic:spPr>
                </pic:pic>
              </a:graphicData>
            </a:graphic>
          </wp:inline>
        </w:drawing>
      </w:r>
    </w:p>
    <w:p w14:paraId="37121E35">
      <w:pPr>
        <w:pStyle w:val="48"/>
        <w:spacing w:before="0" w:line="360" w:lineRule="auto"/>
        <w:ind w:left="0" w:leftChars="0" w:firstLine="0" w:firstLineChars="0"/>
        <w:jc w:val="center"/>
        <w:rPr>
          <w:rFonts w:hint="default" w:ascii="Times New Roman" w:hAnsi="Times New Roman" w:eastAsia="宋体" w:cs="Times New Roman"/>
          <w:b/>
          <w:bCs/>
          <w:sz w:val="21"/>
          <w:szCs w:val="18"/>
          <w:u w:val="single"/>
          <w:lang w:eastAsia="zh-CN"/>
        </w:rPr>
      </w:pPr>
      <w:r>
        <w:rPr>
          <w:rFonts w:hint="default" w:ascii="Times New Roman" w:hAnsi="Times New Roman" w:eastAsia="宋体" w:cs="Times New Roman"/>
          <w:b/>
          <w:bCs/>
          <w:sz w:val="21"/>
          <w:szCs w:val="18"/>
          <w:u w:val="single"/>
          <w:lang w:eastAsia="zh-CN"/>
        </w:rPr>
        <w:t>图</w:t>
      </w:r>
      <w:r>
        <w:rPr>
          <w:rFonts w:hint="default" w:ascii="Times New Roman" w:hAnsi="Times New Roman" w:eastAsia="宋体" w:cs="Times New Roman"/>
          <w:b/>
          <w:bCs/>
          <w:sz w:val="21"/>
          <w:szCs w:val="18"/>
          <w:u w:val="single"/>
          <w:lang w:val="en-US" w:eastAsia="zh-CN"/>
        </w:rPr>
        <w:t>9.6</w:t>
      </w:r>
      <w:r>
        <w:rPr>
          <w:rFonts w:hint="default" w:ascii="Times New Roman" w:hAnsi="Times New Roman" w:eastAsia="宋体" w:cs="Times New Roman"/>
          <w:b/>
          <w:bCs/>
          <w:sz w:val="21"/>
          <w:szCs w:val="18"/>
          <w:u w:val="single"/>
          <w:lang w:eastAsia="zh-CN"/>
        </w:rPr>
        <w:t>-</w:t>
      </w:r>
      <w:r>
        <w:rPr>
          <w:rFonts w:hint="default" w:ascii="Times New Roman" w:hAnsi="Times New Roman" w:eastAsia="宋体" w:cs="Times New Roman"/>
          <w:b/>
          <w:bCs/>
          <w:sz w:val="21"/>
          <w:szCs w:val="18"/>
          <w:u w:val="single"/>
          <w:lang w:val="en-US" w:eastAsia="zh-CN"/>
        </w:rPr>
        <w:t>1</w:t>
      </w:r>
      <w:r>
        <w:rPr>
          <w:rFonts w:hint="default" w:ascii="Times New Roman" w:hAnsi="Times New Roman" w:eastAsia="宋体" w:cs="Times New Roman"/>
          <w:b/>
          <w:bCs/>
          <w:sz w:val="21"/>
          <w:szCs w:val="18"/>
          <w:u w:val="single"/>
          <w:lang w:eastAsia="zh-CN"/>
        </w:rPr>
        <w:t xml:space="preserve">   事故废水截留、收集及处理操作示意图</w:t>
      </w:r>
    </w:p>
    <w:p w14:paraId="17092272">
      <w:pPr>
        <w:pStyle w:val="4"/>
        <w:spacing w:before="0" w:after="0" w:line="360" w:lineRule="auto"/>
        <w:rPr>
          <w:rFonts w:hint="default" w:ascii="Times New Roman" w:hAnsi="Times New Roman" w:eastAsia="宋体" w:cs="Times New Roman"/>
          <w:sz w:val="24"/>
          <w:szCs w:val="24"/>
          <w:u w:val="single"/>
        </w:rPr>
      </w:pPr>
      <w:r>
        <w:rPr>
          <w:rFonts w:hint="default" w:ascii="Times New Roman" w:hAnsi="Times New Roman" w:eastAsia="宋体" w:cs="Times New Roman"/>
          <w:sz w:val="24"/>
          <w:szCs w:val="24"/>
          <w:u w:val="single"/>
        </w:rPr>
        <w:t>9.6.</w:t>
      </w:r>
      <w:r>
        <w:rPr>
          <w:rFonts w:hint="default" w:ascii="Times New Roman" w:hAnsi="Times New Roman" w:eastAsia="宋体" w:cs="Times New Roman"/>
          <w:sz w:val="24"/>
          <w:szCs w:val="24"/>
          <w:u w:val="single"/>
          <w:lang w:val="en-US" w:eastAsia="zh-CN"/>
        </w:rPr>
        <w:t>6其他环境风险防范措施</w:t>
      </w:r>
    </w:p>
    <w:p w14:paraId="72EC86B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1）危险废物贮存仓库及原料暂存间必须配备有专业知识的技术人员，库房及场所应设专人管理，管理人员必须配备可靠的个人安全防护用品。</w:t>
      </w:r>
    </w:p>
    <w:p w14:paraId="62C1C5B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2</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进厂危险废包装容器根据检测结果来验证“废物转移联单”，并与事先 样品对比，相符进厂卸车，不相符退回。并根据鉴定结果和生产状况确定废物在本中心内的去向。危险废包装容器进入存放区后，有关该废包装容器的资料应立即移交给存放区管理员，管理员将根据废物的种类、数量、性质以及综合利用设施的能力制定综合利用计划表，计划表将随废物一起，直到废物被处理处置后才返回管理员，处理处置计划表被添加处理处置时间等信息后存档。</w:t>
      </w:r>
    </w:p>
    <w:p w14:paraId="49DDA4B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3</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库房温度、湿度应严格控制、经常检查，发现变化及时调整。并配备相应灭火器。</w:t>
      </w:r>
    </w:p>
    <w:p w14:paraId="0193D15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4</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储存间内的照明、通风设施应采用防爆型，开关设在仓外。配备相应品种和数量的消防器材。禁止使用易产生火花和机械设备工具。</w:t>
      </w:r>
    </w:p>
    <w:p w14:paraId="1174386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5</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装卸和搬运危废时，操作人员应根据危险性，穿戴相应的防护用品。 搬运作业要注意个人保护，搬运时要轻装轻卸，防止包装及容器损坏，不可将包装容器倒置。</w:t>
      </w:r>
    </w:p>
    <w:p w14:paraId="34E3B51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6</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在存储和处理危废的过程中，泄漏或渗漏的包装容器应迅速移至安全区域。</w:t>
      </w:r>
    </w:p>
    <w:p w14:paraId="037940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7</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加强有毒有害物质的管理，有毒有害物质必须有专人管理，制定严格的制度，存放和使用都必须有严格的记录，防止流失造成危害。</w:t>
      </w:r>
    </w:p>
    <w:p w14:paraId="26A09E8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8</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每个废包装容器丢方去均必须粘贴符合《危险废物贮存污染控制标准》 标签。标签上应注明废物产生单位及其地址、电话、联系人、废物化学成分、危险情况、安全措施等。</w:t>
      </w:r>
    </w:p>
    <w:p w14:paraId="2A17AC7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9</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工作人员应进行培训，熟悉储存物品的分类、性质、保管业务知识和安全知识，掌握设备维护保养方法，并经考核合格后持证上岗。</w:t>
      </w:r>
    </w:p>
    <w:p w14:paraId="378715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10</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加强车辆管理，车辆进出厂区应严格限速，并划定路线，避免发生意外事故。</w:t>
      </w:r>
    </w:p>
    <w:p w14:paraId="2F95044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val="en-US" w:eastAsia="zh-CN"/>
        </w:rPr>
        <w:t>（11）</w:t>
      </w:r>
      <w:r>
        <w:rPr>
          <w:rFonts w:hint="default" w:ascii="Times New Roman" w:hAnsi="Times New Roman" w:eastAsia="宋体" w:cs="Times New Roman"/>
          <w:sz w:val="24"/>
          <w:szCs w:val="28"/>
          <w:u w:val="single"/>
        </w:rPr>
        <w:t>危险废物暂存间四周设置环型事故沟，联结事故收集池，一旦发生泄漏，通过事故沟进行收集，防止外流。</w:t>
      </w:r>
    </w:p>
    <w:p w14:paraId="77DE80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lang w:val="en-US" w:eastAsia="zh-CN"/>
        </w:rPr>
        <w:t>12</w:t>
      </w:r>
      <w:r>
        <w:rPr>
          <w:rFonts w:hint="default" w:ascii="Times New Roman" w:hAnsi="Times New Roman" w:eastAsia="宋体" w:cs="Times New Roman"/>
          <w:sz w:val="24"/>
          <w:szCs w:val="28"/>
          <w:u w:val="single"/>
          <w:lang w:eastAsia="zh-CN"/>
        </w:rPr>
        <w:t>）</w:t>
      </w:r>
      <w:r>
        <w:rPr>
          <w:rFonts w:hint="default" w:ascii="Times New Roman" w:hAnsi="Times New Roman" w:eastAsia="宋体" w:cs="Times New Roman"/>
          <w:sz w:val="24"/>
          <w:szCs w:val="28"/>
          <w:u w:val="single"/>
        </w:rPr>
        <w:t>生产过程中防范措施</w:t>
      </w:r>
    </w:p>
    <w:p w14:paraId="5CDF6D1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生产过程事故风险防范是安全生产的核心，要严格采取措施加以防范，尽可能降低事故概率。</w:t>
      </w:r>
    </w:p>
    <w:p w14:paraId="3C1756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①加强巡查管理，及时发现泄漏情况便于及时处理，必要时按照“ 生产服从安全” 、“ 生产服从环保”原则停车检修。</w:t>
      </w:r>
    </w:p>
    <w:p w14:paraId="49AA44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②在易燃易爆区和生产岗位配备必要的消防器材及消防工具，如干粉灭火器等，对这些器材应配备专人保管，定期检查，以备事故时急用。</w:t>
      </w:r>
    </w:p>
    <w:p w14:paraId="4C9991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③生产现场设置事故照明、安全疏散指示标志；厂房内加强通风，防止有毒物质浓度过高引起中毒。</w:t>
      </w:r>
    </w:p>
    <w:p w14:paraId="01AD1A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lang w:eastAsia="zh-CN"/>
        </w:rPr>
      </w:pPr>
      <w:r>
        <w:rPr>
          <w:rFonts w:hint="default" w:ascii="Times New Roman" w:hAnsi="Times New Roman" w:eastAsia="宋体" w:cs="Times New Roman"/>
          <w:sz w:val="24"/>
          <w:szCs w:val="28"/>
          <w:u w:val="single"/>
        </w:rPr>
        <w:t>④操作人员不得穿戴易产生静电的工作服，不得使用易产生火花的工具，禁止无关人员进入</w:t>
      </w:r>
      <w:r>
        <w:rPr>
          <w:rFonts w:hint="default" w:ascii="Times New Roman" w:hAnsi="Times New Roman" w:eastAsia="宋体" w:cs="Times New Roman"/>
          <w:sz w:val="24"/>
          <w:szCs w:val="28"/>
          <w:u w:val="single"/>
          <w:lang w:val="en-US" w:eastAsia="zh-CN"/>
        </w:rPr>
        <w:t>废矿物油</w:t>
      </w:r>
      <w:r>
        <w:rPr>
          <w:rFonts w:hint="default" w:ascii="Times New Roman" w:hAnsi="Times New Roman" w:eastAsia="宋体" w:cs="Times New Roman"/>
          <w:sz w:val="24"/>
          <w:szCs w:val="28"/>
          <w:u w:val="single"/>
        </w:rPr>
        <w:t>储罐区、危废暂存间等</w:t>
      </w:r>
      <w:r>
        <w:rPr>
          <w:rFonts w:hint="default" w:ascii="Times New Roman" w:hAnsi="Times New Roman" w:eastAsia="宋体" w:cs="Times New Roman"/>
          <w:sz w:val="24"/>
          <w:szCs w:val="28"/>
          <w:u w:val="single"/>
          <w:lang w:eastAsia="zh-CN"/>
        </w:rPr>
        <w:t>。</w:t>
      </w:r>
    </w:p>
    <w:p w14:paraId="22A8F9A5">
      <w:pPr>
        <w:pStyle w:val="4"/>
        <w:spacing w:before="0" w:after="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9.6.</w:t>
      </w:r>
      <w:r>
        <w:rPr>
          <w:rFonts w:hint="default"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rPr>
        <w:t>环境应急预案</w:t>
      </w:r>
    </w:p>
    <w:p w14:paraId="22998306">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为保证企业及人民生命财产的安全，防止突发性重大环境事故发生，并在发生事故时，能迅速有序地开展救援工作，尽最大努力减少事故的危害和损失。企业应根据《湖南省环境保护厅关于印发《湖南省突发环境事件应急预案管理办法》的通知》（湘环发[2013]20号）有关要求，参照《企业突发环境事件风险评估指南（试行）》的有关内容，自行或者委托专业机构编制《突发环境事件应急预案》，并送相关</w:t>
      </w:r>
      <w:r>
        <w:rPr>
          <w:rFonts w:hint="eastAsia" w:ascii="Times New Roman" w:hAnsi="Times New Roman" w:eastAsia="宋体" w:cs="Times New Roman"/>
          <w:sz w:val="24"/>
          <w:szCs w:val="24"/>
          <w:lang w:eastAsia="zh-CN"/>
        </w:rPr>
        <w:t>生态环境部</w:t>
      </w:r>
      <w:r>
        <w:rPr>
          <w:rFonts w:hint="default" w:ascii="Times New Roman" w:hAnsi="Times New Roman" w:eastAsia="宋体" w:cs="Times New Roman"/>
          <w:sz w:val="24"/>
          <w:szCs w:val="24"/>
        </w:rPr>
        <w:t>门进行备案。</w:t>
      </w:r>
    </w:p>
    <w:p w14:paraId="70E30389">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根据本环境风险分析的结果，现提出制定应急预案的纲要，见下表。</w:t>
      </w:r>
    </w:p>
    <w:p w14:paraId="30F8BD15">
      <w:pPr>
        <w:pStyle w:val="48"/>
        <w:spacing w:before="0" w:line="360" w:lineRule="auto"/>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表9.</w:t>
      </w:r>
      <w:r>
        <w:rPr>
          <w:rFonts w:hint="default" w:ascii="Times New Roman" w:hAnsi="Times New Roman" w:eastAsia="宋体" w:cs="Times New Roman"/>
          <w:b/>
          <w:bCs/>
          <w:sz w:val="21"/>
          <w:szCs w:val="21"/>
          <w:lang w:val="en-US" w:eastAsia="zh-CN"/>
        </w:rPr>
        <w:t>6</w:t>
      </w:r>
      <w:r>
        <w:rPr>
          <w:rFonts w:hint="default" w:ascii="Times New Roman" w:hAnsi="Times New Roman" w:eastAsia="宋体" w:cs="Times New Roman"/>
          <w:b/>
          <w:bCs/>
          <w:sz w:val="21"/>
          <w:szCs w:val="21"/>
        </w:rPr>
        <w:t>-1 环境风险突发事故应急预案</w:t>
      </w:r>
    </w:p>
    <w:tbl>
      <w:tblPr>
        <w:tblStyle w:val="59"/>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701"/>
        <w:gridCol w:w="1576"/>
        <w:gridCol w:w="6059"/>
      </w:tblGrid>
      <w:tr w14:paraId="4DE50A2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730E361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序号</w:t>
            </w:r>
          </w:p>
        </w:tc>
        <w:tc>
          <w:tcPr>
            <w:tcW w:w="945" w:type="pct"/>
            <w:vAlign w:val="center"/>
          </w:tcPr>
          <w:p w14:paraId="5F07655D">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项目</w:t>
            </w:r>
          </w:p>
        </w:tc>
        <w:tc>
          <w:tcPr>
            <w:tcW w:w="3634" w:type="pct"/>
            <w:vAlign w:val="center"/>
          </w:tcPr>
          <w:p w14:paraId="7629642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内容及要求</w:t>
            </w:r>
          </w:p>
        </w:tc>
      </w:tr>
      <w:tr w14:paraId="6078279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0AD8E9A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w:t>
            </w:r>
          </w:p>
        </w:tc>
        <w:tc>
          <w:tcPr>
            <w:tcW w:w="945" w:type="pct"/>
            <w:vAlign w:val="center"/>
          </w:tcPr>
          <w:p w14:paraId="37743C2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危险源情况</w:t>
            </w:r>
          </w:p>
        </w:tc>
        <w:tc>
          <w:tcPr>
            <w:tcW w:w="3634" w:type="pct"/>
            <w:vAlign w:val="center"/>
          </w:tcPr>
          <w:p w14:paraId="42858ABC">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详细说明危险源类型、数量、分布及其对环境的风险</w:t>
            </w:r>
          </w:p>
        </w:tc>
      </w:tr>
      <w:tr w14:paraId="7F31D052">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02ACC52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2</w:t>
            </w:r>
          </w:p>
        </w:tc>
        <w:tc>
          <w:tcPr>
            <w:tcW w:w="945" w:type="pct"/>
            <w:vAlign w:val="center"/>
          </w:tcPr>
          <w:p w14:paraId="6386184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应急计划区</w:t>
            </w:r>
          </w:p>
        </w:tc>
        <w:tc>
          <w:tcPr>
            <w:tcW w:w="3634" w:type="pct"/>
            <w:vAlign w:val="center"/>
          </w:tcPr>
          <w:p w14:paraId="24699700">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生产区、仓储区、临近地区。</w:t>
            </w:r>
          </w:p>
        </w:tc>
      </w:tr>
      <w:tr w14:paraId="505B6AD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758F4A1C">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3</w:t>
            </w:r>
          </w:p>
        </w:tc>
        <w:tc>
          <w:tcPr>
            <w:tcW w:w="945" w:type="pct"/>
            <w:vAlign w:val="center"/>
          </w:tcPr>
          <w:p w14:paraId="530648B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应急组织</w:t>
            </w:r>
          </w:p>
        </w:tc>
        <w:tc>
          <w:tcPr>
            <w:tcW w:w="3634" w:type="pct"/>
            <w:vAlign w:val="center"/>
          </w:tcPr>
          <w:p w14:paraId="1B5C390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企业：成立公司应急指挥小组，由公司最高领导层担任小组长，负责现场全面指挥，专业救援队伍负责事故控制、救援和善后处理。</w:t>
            </w:r>
          </w:p>
          <w:p w14:paraId="1C034CB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临近地区：地区指挥部，负责企业附近地区全面指挥，救援，管制和疏散</w:t>
            </w:r>
          </w:p>
        </w:tc>
      </w:tr>
      <w:tr w14:paraId="282BC1AF">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6E86F76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4</w:t>
            </w:r>
          </w:p>
        </w:tc>
        <w:tc>
          <w:tcPr>
            <w:tcW w:w="945" w:type="pct"/>
            <w:vAlign w:val="center"/>
          </w:tcPr>
          <w:p w14:paraId="733C1DA1">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应急状态分类应</w:t>
            </w:r>
          </w:p>
          <w:p w14:paraId="45E8AE3C">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急响应程序</w:t>
            </w:r>
          </w:p>
        </w:tc>
        <w:tc>
          <w:tcPr>
            <w:tcW w:w="3634" w:type="pct"/>
            <w:vAlign w:val="center"/>
          </w:tcPr>
          <w:p w14:paraId="6E3A5BB0">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规定环境风险事故的级别及相应的应急状态分类，以此制定相应的应急响应程序。</w:t>
            </w:r>
          </w:p>
        </w:tc>
      </w:tr>
      <w:tr w14:paraId="60461E2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3D570E7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5</w:t>
            </w:r>
          </w:p>
        </w:tc>
        <w:tc>
          <w:tcPr>
            <w:tcW w:w="945" w:type="pct"/>
            <w:vAlign w:val="center"/>
          </w:tcPr>
          <w:p w14:paraId="10866B5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应急设施设备与材料</w:t>
            </w:r>
          </w:p>
        </w:tc>
        <w:tc>
          <w:tcPr>
            <w:tcW w:w="3634" w:type="pct"/>
            <w:vAlign w:val="center"/>
          </w:tcPr>
          <w:p w14:paraId="19028F09">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生产装置和罐区：防有毒有害物质外溢、扩散；中毒人员急救所用的一些药品、器材；液态废物贮存场（特别是废矿物油贮存区）应设置事故应急池，以防液体进一步扩散；配备必要的防毒面具。</w:t>
            </w:r>
          </w:p>
          <w:p w14:paraId="43C298F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临界地区：烧伤、中毒人员急救所用的一些药品、器材。</w:t>
            </w:r>
          </w:p>
        </w:tc>
      </w:tr>
      <w:tr w14:paraId="21643B3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4F4ED8A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6</w:t>
            </w:r>
          </w:p>
        </w:tc>
        <w:tc>
          <w:tcPr>
            <w:tcW w:w="945" w:type="pct"/>
            <w:vAlign w:val="center"/>
          </w:tcPr>
          <w:p w14:paraId="1E1B061A">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应急通讯通告与</w:t>
            </w:r>
          </w:p>
          <w:p w14:paraId="7237E00E">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交通</w:t>
            </w:r>
          </w:p>
        </w:tc>
        <w:tc>
          <w:tcPr>
            <w:tcW w:w="3634" w:type="pct"/>
            <w:vAlign w:val="center"/>
          </w:tcPr>
          <w:p w14:paraId="2F35CD22">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规定应急状态下的通讯、通告方式和交通保障、管理等事项。可充分利用现代化的通信设施，如手机、固定电话、广播、电视等</w:t>
            </w:r>
          </w:p>
        </w:tc>
      </w:tr>
      <w:tr w14:paraId="73A469F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11F8CAA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7</w:t>
            </w:r>
          </w:p>
        </w:tc>
        <w:tc>
          <w:tcPr>
            <w:tcW w:w="945" w:type="pct"/>
            <w:vAlign w:val="center"/>
          </w:tcPr>
          <w:p w14:paraId="5CAE118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应急环境监测及事故后评价</w:t>
            </w:r>
          </w:p>
        </w:tc>
        <w:tc>
          <w:tcPr>
            <w:tcW w:w="3634" w:type="pct"/>
            <w:vAlign w:val="center"/>
          </w:tcPr>
          <w:p w14:paraId="6BF35851">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由专业人员对环境分析事故现场进行应急监测，对事故性质、严重程度均所造成的环境危害后果进行评估，吸取经验教训避免再次发生事故，为指挥部门提供决策依据。</w:t>
            </w:r>
          </w:p>
        </w:tc>
      </w:tr>
      <w:tr w14:paraId="1B6A0C0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6DB4781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8</w:t>
            </w:r>
          </w:p>
        </w:tc>
        <w:tc>
          <w:tcPr>
            <w:tcW w:w="945" w:type="pct"/>
            <w:vAlign w:val="center"/>
          </w:tcPr>
          <w:p w14:paraId="158E0216">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应急防护措施消除泄漏措施  及需使用器材</w:t>
            </w:r>
          </w:p>
        </w:tc>
        <w:tc>
          <w:tcPr>
            <w:tcW w:w="3634" w:type="pct"/>
            <w:vAlign w:val="center"/>
          </w:tcPr>
          <w:p w14:paraId="08A84901">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事故现场：控制事故发展，防止扩大、蔓延及连锁反应；清除现场泄漏物，降低危害；相应的设施器材配备；</w:t>
            </w:r>
          </w:p>
          <w:p w14:paraId="36556AF9">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邻近地区：控制防火区域，控制和消除环境污染的措施及相应的设备配备。</w:t>
            </w:r>
          </w:p>
        </w:tc>
      </w:tr>
      <w:tr w14:paraId="157648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5451495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9</w:t>
            </w:r>
          </w:p>
        </w:tc>
        <w:tc>
          <w:tcPr>
            <w:tcW w:w="945" w:type="pct"/>
            <w:vAlign w:val="center"/>
          </w:tcPr>
          <w:p w14:paraId="7AA23A13">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应急剂量控制撤</w:t>
            </w:r>
          </w:p>
          <w:p w14:paraId="702B5B1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离组织计划医疗</w:t>
            </w:r>
          </w:p>
          <w:p w14:paraId="02F5305E">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救护与保护公众</w:t>
            </w:r>
          </w:p>
          <w:p w14:paraId="50E32A69">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en-US"/>
              </w:rPr>
              <w:t>健康</w:t>
            </w:r>
          </w:p>
        </w:tc>
        <w:tc>
          <w:tcPr>
            <w:tcW w:w="3634" w:type="pct"/>
            <w:vAlign w:val="center"/>
          </w:tcPr>
          <w:p w14:paraId="195BE62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事故现场：事故处理人员制定毒物的应急剂量、现场及临近装置人员的撤离组织计划和紧急救护方案；</w:t>
            </w:r>
          </w:p>
          <w:p w14:paraId="293666C6">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临近地区：制定受事故影响的临近地区内人员对毒物的应急剂量、公众的疏散组织计划和紧急救护方案。</w:t>
            </w:r>
          </w:p>
        </w:tc>
      </w:tr>
      <w:tr w14:paraId="50B409E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29D301E3">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10</w:t>
            </w:r>
          </w:p>
        </w:tc>
        <w:tc>
          <w:tcPr>
            <w:tcW w:w="945" w:type="pct"/>
            <w:vAlign w:val="center"/>
          </w:tcPr>
          <w:p w14:paraId="6229678B">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应急状态中止恢复措施</w:t>
            </w:r>
          </w:p>
        </w:tc>
        <w:tc>
          <w:tcPr>
            <w:tcW w:w="3634" w:type="pct"/>
            <w:vAlign w:val="center"/>
          </w:tcPr>
          <w:p w14:paraId="240FB2AA">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事故现场：规定应急状态终止秩序；事故现场善后处理，恢复生产措施；</w:t>
            </w:r>
          </w:p>
          <w:p w14:paraId="1AD26B63">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临近地区：解除事故警戒，公众返回和善后回复措施。</w:t>
            </w:r>
          </w:p>
        </w:tc>
      </w:tr>
      <w:tr w14:paraId="0BD560E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03AF1075">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11</w:t>
            </w:r>
          </w:p>
        </w:tc>
        <w:tc>
          <w:tcPr>
            <w:tcW w:w="945" w:type="pct"/>
            <w:vAlign w:val="center"/>
          </w:tcPr>
          <w:p w14:paraId="1E30DEC8">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人员培训与演习</w:t>
            </w:r>
          </w:p>
        </w:tc>
        <w:tc>
          <w:tcPr>
            <w:tcW w:w="3634" w:type="pct"/>
            <w:vAlign w:val="center"/>
          </w:tcPr>
          <w:p w14:paraId="531E6A99">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应急计划制定后，平时安排事故出路人员进行相关知识培训并进行事故应急处理演习；对工厂工人进行安全卫生教育。</w:t>
            </w:r>
          </w:p>
        </w:tc>
      </w:tr>
      <w:tr w14:paraId="6C2B50AD">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656B066B">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12</w:t>
            </w:r>
          </w:p>
        </w:tc>
        <w:tc>
          <w:tcPr>
            <w:tcW w:w="945" w:type="pct"/>
            <w:vAlign w:val="center"/>
          </w:tcPr>
          <w:p w14:paraId="24E72320">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公众教育信息发</w:t>
            </w:r>
          </w:p>
          <w:p w14:paraId="253865B7">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布</w:t>
            </w:r>
          </w:p>
        </w:tc>
        <w:tc>
          <w:tcPr>
            <w:tcW w:w="3634" w:type="pct"/>
            <w:vAlign w:val="center"/>
          </w:tcPr>
          <w:p w14:paraId="42454F85">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对工厂临近地区公众开展环境风险事故预防教育、应急知识培训并定期发布相关信息。</w:t>
            </w:r>
          </w:p>
        </w:tc>
      </w:tr>
      <w:tr w14:paraId="2510A57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0" w:hRule="atLeast"/>
        </w:trPr>
        <w:tc>
          <w:tcPr>
            <w:tcW w:w="421" w:type="pct"/>
            <w:vAlign w:val="center"/>
          </w:tcPr>
          <w:p w14:paraId="39D29551">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13</w:t>
            </w:r>
          </w:p>
        </w:tc>
        <w:tc>
          <w:tcPr>
            <w:tcW w:w="945" w:type="pct"/>
            <w:vAlign w:val="center"/>
          </w:tcPr>
          <w:p w14:paraId="35045746">
            <w:pPr>
              <w:pStyle w:val="60"/>
              <w:rPr>
                <w:rFonts w:hint="default" w:ascii="Times New Roman" w:hAnsi="Times New Roman" w:eastAsia="宋体" w:cs="Times New Roman"/>
                <w:sz w:val="21"/>
                <w:lang w:eastAsia="en-US"/>
              </w:rPr>
            </w:pPr>
            <w:r>
              <w:rPr>
                <w:rFonts w:hint="default" w:ascii="Times New Roman" w:hAnsi="Times New Roman" w:eastAsia="宋体" w:cs="Times New Roman"/>
                <w:sz w:val="21"/>
                <w:lang w:eastAsia="en-US"/>
              </w:rPr>
              <w:t>记录和报告</w:t>
            </w:r>
          </w:p>
        </w:tc>
        <w:tc>
          <w:tcPr>
            <w:tcW w:w="3634" w:type="pct"/>
            <w:vAlign w:val="center"/>
          </w:tcPr>
          <w:p w14:paraId="5511E694">
            <w:pPr>
              <w:pStyle w:val="60"/>
              <w:rPr>
                <w:rFonts w:hint="default" w:ascii="Times New Roman" w:hAnsi="Times New Roman" w:eastAsia="宋体" w:cs="Times New Roman"/>
                <w:sz w:val="21"/>
                <w:lang w:eastAsia="zh-CN"/>
              </w:rPr>
            </w:pPr>
            <w:r>
              <w:rPr>
                <w:rFonts w:hint="default" w:ascii="Times New Roman" w:hAnsi="Times New Roman" w:eastAsia="宋体" w:cs="Times New Roman"/>
                <w:sz w:val="21"/>
                <w:lang w:eastAsia="zh-CN"/>
              </w:rPr>
              <w:t>设应急事故专门记录，建立档案和报告制度，设专门部门负责管理。</w:t>
            </w:r>
          </w:p>
        </w:tc>
      </w:tr>
    </w:tbl>
    <w:p w14:paraId="692D3B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color="auto"/>
          <w:lang w:val="en-US" w:eastAsia="zh-CN"/>
        </w:rPr>
      </w:pPr>
      <w:r>
        <w:rPr>
          <w:rFonts w:hint="default" w:ascii="Times New Roman" w:hAnsi="Times New Roman" w:eastAsia="宋体" w:cs="Times New Roman"/>
          <w:sz w:val="24"/>
          <w:szCs w:val="28"/>
          <w:u w:val="single" w:color="auto"/>
          <w:lang w:val="en-US" w:eastAsia="zh-CN"/>
        </w:rPr>
        <w:t>根据项目可能发生的风险事故，评价建议项目配备一下应急物资清单（最终应急物资清单以企业编制的突发环境事件应急预案为准）。</w:t>
      </w:r>
    </w:p>
    <w:p w14:paraId="5BDA04DA">
      <w:pPr>
        <w:pStyle w:val="48"/>
        <w:keepNext w:val="0"/>
        <w:keepLines w:val="0"/>
        <w:pageBreakBefore w:val="0"/>
        <w:widowControl w:val="0"/>
        <w:kinsoku/>
        <w:wordWrap/>
        <w:overflowPunct/>
        <w:topLinePunct w:val="0"/>
        <w:autoSpaceDE/>
        <w:autoSpaceDN/>
        <w:bidi w:val="0"/>
        <w:adjustRightInd/>
        <w:snapToGrid/>
        <w:spacing w:before="0" w:line="360" w:lineRule="auto"/>
        <w:ind w:firstLine="0" w:firstLineChars="0"/>
        <w:jc w:val="center"/>
        <w:textAlignment w:val="auto"/>
        <w:rPr>
          <w:rFonts w:hint="default" w:ascii="Times New Roman" w:hAnsi="Times New Roman" w:eastAsia="宋体" w:cs="Times New Roman"/>
          <w:u w:val="single" w:color="auto"/>
          <w:lang w:val="en-US" w:eastAsia="zh-CN"/>
        </w:rPr>
      </w:pPr>
      <w:r>
        <w:rPr>
          <w:rFonts w:hint="default" w:ascii="Times New Roman" w:hAnsi="Times New Roman" w:eastAsia="宋体" w:cs="Times New Roman"/>
          <w:b/>
          <w:bCs/>
          <w:sz w:val="21"/>
          <w:szCs w:val="21"/>
          <w:u w:val="single" w:color="auto"/>
        </w:rPr>
        <w:t>表9.</w:t>
      </w:r>
      <w:r>
        <w:rPr>
          <w:rFonts w:hint="default" w:ascii="Times New Roman" w:hAnsi="Times New Roman" w:eastAsia="宋体" w:cs="Times New Roman"/>
          <w:b/>
          <w:bCs/>
          <w:sz w:val="21"/>
          <w:szCs w:val="21"/>
          <w:u w:val="single" w:color="auto"/>
          <w:lang w:val="en-US" w:eastAsia="zh-CN"/>
        </w:rPr>
        <w:t>6</w:t>
      </w:r>
      <w:r>
        <w:rPr>
          <w:rFonts w:hint="default" w:ascii="Times New Roman" w:hAnsi="Times New Roman" w:eastAsia="宋体" w:cs="Times New Roman"/>
          <w:b/>
          <w:bCs/>
          <w:sz w:val="21"/>
          <w:szCs w:val="21"/>
          <w:u w:val="single" w:color="auto"/>
        </w:rPr>
        <w:t>-</w:t>
      </w:r>
      <w:r>
        <w:rPr>
          <w:rFonts w:hint="default" w:ascii="Times New Roman" w:hAnsi="Times New Roman" w:eastAsia="宋体" w:cs="Times New Roman"/>
          <w:b/>
          <w:bCs/>
          <w:sz w:val="21"/>
          <w:szCs w:val="21"/>
          <w:u w:val="single" w:color="auto"/>
          <w:lang w:val="en-US" w:eastAsia="zh-CN"/>
        </w:rPr>
        <w:t>2</w:t>
      </w:r>
      <w:r>
        <w:rPr>
          <w:rFonts w:hint="default" w:ascii="Times New Roman" w:hAnsi="Times New Roman" w:eastAsia="宋体" w:cs="Times New Roman"/>
          <w:b/>
          <w:bCs/>
          <w:sz w:val="21"/>
          <w:szCs w:val="21"/>
          <w:u w:val="single" w:color="auto"/>
        </w:rPr>
        <w:t xml:space="preserve"> 环境风险突发事故应急预案</w:t>
      </w:r>
    </w:p>
    <w:tbl>
      <w:tblPr>
        <w:tblStyle w:val="32"/>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20"/>
        <w:gridCol w:w="4748"/>
        <w:gridCol w:w="1319"/>
        <w:gridCol w:w="1632"/>
      </w:tblGrid>
      <w:tr w14:paraId="39ED446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10B5EE1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序号</w:t>
            </w:r>
          </w:p>
        </w:tc>
        <w:tc>
          <w:tcPr>
            <w:tcW w:w="2786" w:type="pct"/>
            <w:tcBorders>
              <w:tl2br w:val="nil"/>
              <w:tr2bl w:val="nil"/>
            </w:tcBorders>
            <w:noWrap w:val="0"/>
            <w:vAlign w:val="center"/>
          </w:tcPr>
          <w:p w14:paraId="45DF2B5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品名</w:t>
            </w:r>
          </w:p>
        </w:tc>
        <w:tc>
          <w:tcPr>
            <w:tcW w:w="774" w:type="pct"/>
            <w:tcBorders>
              <w:tl2br w:val="nil"/>
              <w:tr2bl w:val="nil"/>
            </w:tcBorders>
            <w:noWrap w:val="0"/>
            <w:vAlign w:val="center"/>
          </w:tcPr>
          <w:p w14:paraId="4ADE2465">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lang w:eastAsia="zh-CN"/>
              </w:rPr>
            </w:pPr>
            <w:r>
              <w:rPr>
                <w:rFonts w:hint="default" w:ascii="Times New Roman" w:hAnsi="Times New Roman" w:eastAsia="宋体" w:cs="Times New Roman"/>
                <w:sz w:val="21"/>
                <w:szCs w:val="21"/>
                <w:highlight w:val="none"/>
                <w:u w:val="single" w:color="auto"/>
                <w:lang w:val="en-US" w:eastAsia="zh-CN"/>
              </w:rPr>
              <w:t>数量</w:t>
            </w:r>
          </w:p>
        </w:tc>
        <w:tc>
          <w:tcPr>
            <w:tcW w:w="957" w:type="pct"/>
            <w:tcBorders>
              <w:tl2br w:val="nil"/>
              <w:tr2bl w:val="nil"/>
            </w:tcBorders>
            <w:noWrap w:val="0"/>
            <w:vAlign w:val="center"/>
          </w:tcPr>
          <w:p w14:paraId="0E40189F">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位置</w:t>
            </w:r>
          </w:p>
        </w:tc>
      </w:tr>
      <w:tr w14:paraId="1C13F8E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4695A60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1</w:t>
            </w:r>
          </w:p>
        </w:tc>
        <w:tc>
          <w:tcPr>
            <w:tcW w:w="2786" w:type="pct"/>
            <w:tcBorders>
              <w:tl2br w:val="nil"/>
              <w:tr2bl w:val="nil"/>
            </w:tcBorders>
            <w:noWrap w:val="0"/>
            <w:vAlign w:val="center"/>
          </w:tcPr>
          <w:p w14:paraId="4B26A890">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带上网的电脑以及无线电话</w:t>
            </w:r>
          </w:p>
        </w:tc>
        <w:tc>
          <w:tcPr>
            <w:tcW w:w="774" w:type="pct"/>
            <w:tcBorders>
              <w:tl2br w:val="nil"/>
              <w:tr2bl w:val="nil"/>
            </w:tcBorders>
            <w:noWrap w:val="0"/>
            <w:vAlign w:val="center"/>
          </w:tcPr>
          <w:p w14:paraId="3F85D749">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lang w:val="en-US" w:eastAsia="zh-CN"/>
              </w:rPr>
              <w:t>10</w:t>
            </w:r>
            <w:r>
              <w:rPr>
                <w:rFonts w:hint="default" w:ascii="Times New Roman" w:hAnsi="Times New Roman" w:eastAsia="宋体" w:cs="Times New Roman"/>
                <w:kern w:val="0"/>
                <w:sz w:val="21"/>
                <w:szCs w:val="21"/>
                <w:u w:val="single" w:color="auto"/>
              </w:rPr>
              <w:t>台</w:t>
            </w:r>
          </w:p>
        </w:tc>
        <w:tc>
          <w:tcPr>
            <w:tcW w:w="957" w:type="pct"/>
            <w:tcBorders>
              <w:tl2br w:val="nil"/>
              <w:tr2bl w:val="nil"/>
            </w:tcBorders>
            <w:noWrap w:val="0"/>
            <w:vAlign w:val="center"/>
          </w:tcPr>
          <w:p w14:paraId="1F6F9270">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所有</w:t>
            </w:r>
            <w:r>
              <w:rPr>
                <w:rFonts w:hint="default" w:ascii="Times New Roman" w:hAnsi="Times New Roman" w:eastAsia="宋体" w:cs="Times New Roman"/>
                <w:kern w:val="0"/>
                <w:sz w:val="21"/>
                <w:szCs w:val="21"/>
                <w:u w:val="single" w:color="auto"/>
                <w:lang w:val="en-US" w:eastAsia="zh-CN"/>
              </w:rPr>
              <w:t>区域</w:t>
            </w:r>
          </w:p>
        </w:tc>
      </w:tr>
      <w:tr w14:paraId="2B8786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07" w:hRule="atLeast"/>
          <w:jc w:val="center"/>
        </w:trPr>
        <w:tc>
          <w:tcPr>
            <w:tcW w:w="481" w:type="pct"/>
            <w:tcBorders>
              <w:tl2br w:val="nil"/>
              <w:tr2bl w:val="nil"/>
            </w:tcBorders>
            <w:noWrap w:val="0"/>
            <w:vAlign w:val="center"/>
          </w:tcPr>
          <w:p w14:paraId="79A6A626">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2</w:t>
            </w:r>
          </w:p>
        </w:tc>
        <w:tc>
          <w:tcPr>
            <w:tcW w:w="2786" w:type="pct"/>
            <w:tcBorders>
              <w:tl2br w:val="nil"/>
              <w:tr2bl w:val="nil"/>
            </w:tcBorders>
            <w:noWrap w:val="0"/>
            <w:vAlign w:val="center"/>
          </w:tcPr>
          <w:p w14:paraId="1C3D2CA3">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lang w:val="en-US" w:eastAsia="zh-CN"/>
              </w:rPr>
              <w:t>应急</w:t>
            </w:r>
            <w:r>
              <w:rPr>
                <w:rFonts w:hint="default" w:ascii="Times New Roman" w:hAnsi="Times New Roman" w:eastAsia="宋体" w:cs="Times New Roman"/>
                <w:kern w:val="0"/>
                <w:sz w:val="21"/>
                <w:szCs w:val="21"/>
                <w:u w:val="single" w:color="auto"/>
              </w:rPr>
              <w:t>手提式</w:t>
            </w:r>
            <w:r>
              <w:rPr>
                <w:rFonts w:hint="default" w:ascii="Times New Roman" w:hAnsi="Times New Roman" w:eastAsia="宋体" w:cs="Times New Roman"/>
                <w:kern w:val="0"/>
                <w:sz w:val="21"/>
                <w:szCs w:val="21"/>
                <w:u w:val="single" w:color="auto"/>
                <w:lang w:val="en-US" w:eastAsia="zh-CN"/>
              </w:rPr>
              <w:t>水</w:t>
            </w:r>
            <w:r>
              <w:rPr>
                <w:rFonts w:hint="default" w:ascii="Times New Roman" w:hAnsi="Times New Roman" w:eastAsia="宋体" w:cs="Times New Roman"/>
                <w:kern w:val="0"/>
                <w:sz w:val="21"/>
                <w:szCs w:val="21"/>
                <w:u w:val="single" w:color="auto"/>
              </w:rPr>
              <w:t>泵</w:t>
            </w:r>
          </w:p>
        </w:tc>
        <w:tc>
          <w:tcPr>
            <w:tcW w:w="774" w:type="pct"/>
            <w:tcBorders>
              <w:tl2br w:val="nil"/>
              <w:tr2bl w:val="nil"/>
            </w:tcBorders>
            <w:noWrap w:val="0"/>
            <w:vAlign w:val="center"/>
          </w:tcPr>
          <w:p w14:paraId="72F972B5">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2</w:t>
            </w:r>
            <w:r>
              <w:rPr>
                <w:rFonts w:hint="default" w:ascii="Times New Roman" w:hAnsi="Times New Roman" w:eastAsia="宋体" w:cs="Times New Roman"/>
                <w:kern w:val="0"/>
                <w:sz w:val="21"/>
                <w:szCs w:val="21"/>
                <w:u w:val="single" w:color="auto"/>
                <w:lang w:val="en-US" w:eastAsia="zh-CN"/>
              </w:rPr>
              <w:t>台</w:t>
            </w:r>
          </w:p>
        </w:tc>
        <w:tc>
          <w:tcPr>
            <w:tcW w:w="957" w:type="pct"/>
            <w:tcBorders>
              <w:tl2br w:val="nil"/>
              <w:tr2bl w:val="nil"/>
            </w:tcBorders>
            <w:noWrap w:val="0"/>
            <w:vAlign w:val="center"/>
          </w:tcPr>
          <w:p w14:paraId="27BB2FA5">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7D78480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10D4C9F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3</w:t>
            </w:r>
          </w:p>
        </w:tc>
        <w:tc>
          <w:tcPr>
            <w:tcW w:w="2786" w:type="pct"/>
            <w:tcBorders>
              <w:tl2br w:val="nil"/>
              <w:tr2bl w:val="nil"/>
            </w:tcBorders>
            <w:noWrap w:val="0"/>
            <w:vAlign w:val="center"/>
          </w:tcPr>
          <w:p w14:paraId="7D93D67E">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手提式干粉灭火器</w:t>
            </w:r>
          </w:p>
        </w:tc>
        <w:tc>
          <w:tcPr>
            <w:tcW w:w="774" w:type="pct"/>
            <w:tcBorders>
              <w:tl2br w:val="nil"/>
              <w:tr2bl w:val="nil"/>
            </w:tcBorders>
            <w:noWrap w:val="0"/>
            <w:vAlign w:val="center"/>
          </w:tcPr>
          <w:p w14:paraId="243C1237">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lang w:val="en-US" w:eastAsia="zh-CN"/>
              </w:rPr>
              <w:t>2</w:t>
            </w:r>
            <w:r>
              <w:rPr>
                <w:rFonts w:hint="default" w:ascii="Times New Roman" w:hAnsi="Times New Roman" w:eastAsia="宋体" w:cs="Times New Roman"/>
                <w:kern w:val="0"/>
                <w:sz w:val="21"/>
                <w:szCs w:val="21"/>
                <w:u w:val="single" w:color="auto"/>
              </w:rPr>
              <w:t>0</w:t>
            </w:r>
            <w:r>
              <w:rPr>
                <w:rFonts w:hint="default" w:ascii="Times New Roman" w:hAnsi="Times New Roman" w:eastAsia="宋体" w:cs="Times New Roman"/>
                <w:kern w:val="0"/>
                <w:sz w:val="21"/>
                <w:szCs w:val="21"/>
                <w:u w:val="single" w:color="auto"/>
                <w:lang w:val="en-US" w:eastAsia="zh-CN"/>
              </w:rPr>
              <w:t>个</w:t>
            </w:r>
          </w:p>
        </w:tc>
        <w:tc>
          <w:tcPr>
            <w:tcW w:w="957" w:type="pct"/>
            <w:tcBorders>
              <w:tl2br w:val="nil"/>
              <w:tr2bl w:val="nil"/>
            </w:tcBorders>
            <w:noWrap w:val="0"/>
            <w:vAlign w:val="center"/>
          </w:tcPr>
          <w:p w14:paraId="2AE52A5C">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所有</w:t>
            </w:r>
            <w:r>
              <w:rPr>
                <w:rFonts w:hint="default" w:ascii="Times New Roman" w:hAnsi="Times New Roman" w:eastAsia="宋体" w:cs="Times New Roman"/>
                <w:kern w:val="0"/>
                <w:sz w:val="21"/>
                <w:szCs w:val="21"/>
                <w:u w:val="single" w:color="auto"/>
                <w:lang w:val="en-US" w:eastAsia="zh-CN"/>
              </w:rPr>
              <w:t>区域</w:t>
            </w:r>
          </w:p>
        </w:tc>
      </w:tr>
      <w:tr w14:paraId="12E6AA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077BCDEE">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4</w:t>
            </w:r>
          </w:p>
        </w:tc>
        <w:tc>
          <w:tcPr>
            <w:tcW w:w="2786" w:type="pct"/>
            <w:tcBorders>
              <w:tl2br w:val="nil"/>
              <w:tr2bl w:val="nil"/>
            </w:tcBorders>
            <w:noWrap w:val="0"/>
            <w:vAlign w:val="center"/>
          </w:tcPr>
          <w:p w14:paraId="122FD6FD">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消防水枪及水带</w:t>
            </w:r>
          </w:p>
        </w:tc>
        <w:tc>
          <w:tcPr>
            <w:tcW w:w="774" w:type="pct"/>
            <w:tcBorders>
              <w:tl2br w:val="nil"/>
              <w:tr2bl w:val="nil"/>
            </w:tcBorders>
            <w:noWrap w:val="0"/>
            <w:vAlign w:val="center"/>
          </w:tcPr>
          <w:p w14:paraId="3F1C1741">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2套</w:t>
            </w:r>
          </w:p>
        </w:tc>
        <w:tc>
          <w:tcPr>
            <w:tcW w:w="957" w:type="pct"/>
            <w:tcBorders>
              <w:tl2br w:val="nil"/>
              <w:tr2bl w:val="nil"/>
            </w:tcBorders>
            <w:noWrap w:val="0"/>
            <w:vAlign w:val="center"/>
          </w:tcPr>
          <w:p w14:paraId="1C7278D1">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385FD51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05E3DCE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5</w:t>
            </w:r>
          </w:p>
        </w:tc>
        <w:tc>
          <w:tcPr>
            <w:tcW w:w="2786" w:type="pct"/>
            <w:tcBorders>
              <w:tl2br w:val="nil"/>
              <w:tr2bl w:val="nil"/>
            </w:tcBorders>
            <w:noWrap w:val="0"/>
            <w:vAlign w:val="center"/>
          </w:tcPr>
          <w:p w14:paraId="6703616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rPr>
              <w:t>防腐防渗托盘</w:t>
            </w:r>
          </w:p>
        </w:tc>
        <w:tc>
          <w:tcPr>
            <w:tcW w:w="774" w:type="pct"/>
            <w:tcBorders>
              <w:tl2br w:val="nil"/>
              <w:tr2bl w:val="nil"/>
            </w:tcBorders>
            <w:noWrap w:val="0"/>
            <w:vAlign w:val="center"/>
          </w:tcPr>
          <w:p w14:paraId="04938C1D">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lang w:val="en-US" w:eastAsia="zh-CN"/>
              </w:rPr>
              <w:t>若干</w:t>
            </w:r>
          </w:p>
        </w:tc>
        <w:tc>
          <w:tcPr>
            <w:tcW w:w="957" w:type="pct"/>
            <w:tcBorders>
              <w:tl2br w:val="nil"/>
              <w:tr2bl w:val="nil"/>
            </w:tcBorders>
            <w:noWrap w:val="0"/>
            <w:vAlign w:val="center"/>
          </w:tcPr>
          <w:p w14:paraId="0AF78D1E">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kern w:val="0"/>
                <w:sz w:val="21"/>
                <w:szCs w:val="21"/>
                <w:u w:val="single" w:color="auto"/>
                <w:lang w:val="en-US" w:eastAsia="zh-CN"/>
              </w:rPr>
              <w:t>各危废间</w:t>
            </w:r>
          </w:p>
        </w:tc>
      </w:tr>
      <w:tr w14:paraId="4030A8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2E5DB91B">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6</w:t>
            </w:r>
          </w:p>
        </w:tc>
        <w:tc>
          <w:tcPr>
            <w:tcW w:w="2786" w:type="pct"/>
            <w:tcBorders>
              <w:tl2br w:val="nil"/>
              <w:tr2bl w:val="nil"/>
            </w:tcBorders>
            <w:noWrap w:val="0"/>
            <w:vAlign w:val="center"/>
          </w:tcPr>
          <w:p w14:paraId="70AFCF34">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rPr>
              <w:t>应急空桶</w:t>
            </w:r>
          </w:p>
        </w:tc>
        <w:tc>
          <w:tcPr>
            <w:tcW w:w="774" w:type="pct"/>
            <w:tcBorders>
              <w:tl2br w:val="nil"/>
              <w:tr2bl w:val="nil"/>
            </w:tcBorders>
            <w:noWrap w:val="0"/>
            <w:vAlign w:val="center"/>
          </w:tcPr>
          <w:p w14:paraId="14DC2CA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lang w:val="en-US" w:eastAsia="zh-CN"/>
              </w:rPr>
              <w:t>5</w:t>
            </w:r>
            <w:r>
              <w:rPr>
                <w:rFonts w:hint="default" w:ascii="Times New Roman" w:hAnsi="Times New Roman" w:eastAsia="宋体" w:cs="Times New Roman"/>
                <w:sz w:val="21"/>
                <w:szCs w:val="21"/>
                <w:u w:val="single" w:color="auto"/>
              </w:rPr>
              <w:t>个</w:t>
            </w:r>
          </w:p>
        </w:tc>
        <w:tc>
          <w:tcPr>
            <w:tcW w:w="957" w:type="pct"/>
            <w:tcBorders>
              <w:tl2br w:val="nil"/>
              <w:tr2bl w:val="nil"/>
            </w:tcBorders>
            <w:noWrap w:val="0"/>
            <w:vAlign w:val="center"/>
          </w:tcPr>
          <w:p w14:paraId="47246D4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46D1566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5E89928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7</w:t>
            </w:r>
          </w:p>
        </w:tc>
        <w:tc>
          <w:tcPr>
            <w:tcW w:w="2786" w:type="pct"/>
            <w:tcBorders>
              <w:tl2br w:val="nil"/>
              <w:tr2bl w:val="nil"/>
            </w:tcBorders>
            <w:noWrap w:val="0"/>
            <w:vAlign w:val="center"/>
          </w:tcPr>
          <w:p w14:paraId="232FE5A1">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rPr>
              <w:t>沙袋</w:t>
            </w:r>
          </w:p>
        </w:tc>
        <w:tc>
          <w:tcPr>
            <w:tcW w:w="774" w:type="pct"/>
            <w:tcBorders>
              <w:tl2br w:val="nil"/>
              <w:tr2bl w:val="nil"/>
            </w:tcBorders>
            <w:noWrap w:val="0"/>
            <w:vAlign w:val="center"/>
          </w:tcPr>
          <w:p w14:paraId="70B610A3">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lang w:val="en-US" w:eastAsia="zh-CN"/>
              </w:rPr>
              <w:t>若干</w:t>
            </w:r>
          </w:p>
        </w:tc>
        <w:tc>
          <w:tcPr>
            <w:tcW w:w="957" w:type="pct"/>
            <w:tcBorders>
              <w:tl2br w:val="nil"/>
              <w:tr2bl w:val="nil"/>
            </w:tcBorders>
            <w:noWrap w:val="0"/>
            <w:vAlign w:val="center"/>
          </w:tcPr>
          <w:p w14:paraId="71BAC96D">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40D788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229FB67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8</w:t>
            </w:r>
          </w:p>
        </w:tc>
        <w:tc>
          <w:tcPr>
            <w:tcW w:w="2786" w:type="pct"/>
            <w:tcBorders>
              <w:tl2br w:val="nil"/>
              <w:tr2bl w:val="nil"/>
            </w:tcBorders>
            <w:noWrap w:val="0"/>
            <w:vAlign w:val="center"/>
          </w:tcPr>
          <w:p w14:paraId="32D7B010">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rPr>
              <w:t>扫把、撮箕</w:t>
            </w:r>
          </w:p>
        </w:tc>
        <w:tc>
          <w:tcPr>
            <w:tcW w:w="774" w:type="pct"/>
            <w:tcBorders>
              <w:tl2br w:val="nil"/>
              <w:tr2bl w:val="nil"/>
            </w:tcBorders>
            <w:noWrap w:val="0"/>
            <w:vAlign w:val="center"/>
          </w:tcPr>
          <w:p w14:paraId="62659F8E">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lang w:val="en-US" w:eastAsia="zh-CN"/>
              </w:rPr>
              <w:t>5套</w:t>
            </w:r>
          </w:p>
        </w:tc>
        <w:tc>
          <w:tcPr>
            <w:tcW w:w="957" w:type="pct"/>
            <w:tcBorders>
              <w:tl2br w:val="nil"/>
              <w:tr2bl w:val="nil"/>
            </w:tcBorders>
            <w:noWrap w:val="0"/>
            <w:vAlign w:val="center"/>
          </w:tcPr>
          <w:p w14:paraId="39484E9E">
            <w:pPr>
              <w:keepNext w:val="0"/>
              <w:keepLines w:val="0"/>
              <w:suppressLineNumbers w:val="0"/>
              <w:spacing w:before="0" w:beforeAutospacing="0" w:after="0" w:afterAutospacing="0" w:line="240" w:lineRule="auto"/>
              <w:ind w:left="0" w:leftChars="0" w:right="0" w:firstLine="0" w:firstLineChars="0"/>
              <w:jc w:val="center"/>
              <w:rPr>
                <w:rFonts w:hint="default" w:ascii="Times New Roman" w:hAnsi="Times New Roman" w:eastAsia="宋体" w:cs="Times New Roman"/>
                <w:sz w:val="21"/>
                <w:szCs w:val="21"/>
                <w:u w:val="single" w:color="auto"/>
                <w:lang w:val="en-US" w:eastAsia="zh-CN" w:bidi="ar-SA"/>
              </w:rPr>
            </w:pPr>
            <w:r>
              <w:rPr>
                <w:rFonts w:hint="default" w:ascii="Times New Roman" w:hAnsi="Times New Roman" w:eastAsia="宋体" w:cs="Times New Roman"/>
                <w:sz w:val="21"/>
                <w:szCs w:val="21"/>
                <w:u w:val="single" w:color="auto"/>
                <w:lang w:val="en-US" w:eastAsia="zh-CN"/>
              </w:rPr>
              <w:t>全厂房</w:t>
            </w:r>
          </w:p>
        </w:tc>
      </w:tr>
      <w:tr w14:paraId="1DD07F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0630BCD1">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9</w:t>
            </w:r>
          </w:p>
        </w:tc>
        <w:tc>
          <w:tcPr>
            <w:tcW w:w="2786" w:type="pct"/>
            <w:tcBorders>
              <w:tl2br w:val="nil"/>
              <w:tr2bl w:val="nil"/>
            </w:tcBorders>
            <w:noWrap w:val="0"/>
            <w:vAlign w:val="center"/>
          </w:tcPr>
          <w:p w14:paraId="49D5B21F">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吸附毡</w:t>
            </w:r>
          </w:p>
        </w:tc>
        <w:tc>
          <w:tcPr>
            <w:tcW w:w="774" w:type="pct"/>
            <w:tcBorders>
              <w:tl2br w:val="nil"/>
              <w:tr2bl w:val="nil"/>
            </w:tcBorders>
            <w:noWrap w:val="0"/>
            <w:vAlign w:val="center"/>
          </w:tcPr>
          <w:p w14:paraId="546E6F3D">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25</w:t>
            </w:r>
            <w:r>
              <w:rPr>
                <w:rFonts w:hint="default" w:ascii="Times New Roman" w:hAnsi="Times New Roman" w:eastAsia="宋体" w:cs="Times New Roman"/>
                <w:kern w:val="0"/>
                <w:sz w:val="21"/>
                <w:szCs w:val="21"/>
                <w:u w:val="single" w:color="auto"/>
                <w:lang w:val="en-US" w:eastAsia="zh-CN"/>
              </w:rPr>
              <w:t>m</w:t>
            </w:r>
            <w:r>
              <w:rPr>
                <w:rFonts w:hint="default" w:ascii="Times New Roman" w:hAnsi="Times New Roman" w:eastAsia="宋体" w:cs="Times New Roman"/>
                <w:kern w:val="0"/>
                <w:sz w:val="21"/>
                <w:szCs w:val="21"/>
                <w:u w:val="single" w:color="auto"/>
                <w:vertAlign w:val="superscript"/>
                <w:lang w:val="en-US" w:eastAsia="zh-CN"/>
              </w:rPr>
              <w:t>2</w:t>
            </w:r>
          </w:p>
        </w:tc>
        <w:tc>
          <w:tcPr>
            <w:tcW w:w="957" w:type="pct"/>
            <w:tcBorders>
              <w:tl2br w:val="nil"/>
              <w:tr2bl w:val="nil"/>
            </w:tcBorders>
            <w:noWrap w:val="0"/>
            <w:vAlign w:val="center"/>
          </w:tcPr>
          <w:p w14:paraId="1C11A4A1">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23B1A2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2B3DBD78">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10</w:t>
            </w:r>
          </w:p>
        </w:tc>
        <w:tc>
          <w:tcPr>
            <w:tcW w:w="2786" w:type="pct"/>
            <w:tcBorders>
              <w:tl2br w:val="nil"/>
              <w:tr2bl w:val="nil"/>
            </w:tcBorders>
            <w:noWrap w:val="0"/>
            <w:vAlign w:val="center"/>
          </w:tcPr>
          <w:p w14:paraId="14C6243F">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堵漏器材（棉纱、捆扎带（堵漏胶带）、专用扳手、铁箍等）</w:t>
            </w:r>
          </w:p>
        </w:tc>
        <w:tc>
          <w:tcPr>
            <w:tcW w:w="774" w:type="pct"/>
            <w:tcBorders>
              <w:tl2br w:val="nil"/>
              <w:tr2bl w:val="nil"/>
            </w:tcBorders>
            <w:noWrap w:val="0"/>
            <w:vAlign w:val="center"/>
          </w:tcPr>
          <w:p w14:paraId="598C7E87">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1套</w:t>
            </w:r>
          </w:p>
        </w:tc>
        <w:tc>
          <w:tcPr>
            <w:tcW w:w="957" w:type="pct"/>
            <w:tcBorders>
              <w:tl2br w:val="nil"/>
              <w:tr2bl w:val="nil"/>
            </w:tcBorders>
            <w:noWrap w:val="0"/>
            <w:vAlign w:val="center"/>
          </w:tcPr>
          <w:p w14:paraId="6049595A">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6C83EF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57BDB2C0">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11</w:t>
            </w:r>
          </w:p>
        </w:tc>
        <w:tc>
          <w:tcPr>
            <w:tcW w:w="2786" w:type="pct"/>
            <w:tcBorders>
              <w:tl2br w:val="nil"/>
              <w:tr2bl w:val="nil"/>
            </w:tcBorders>
            <w:noWrap w:val="0"/>
            <w:vAlign w:val="center"/>
          </w:tcPr>
          <w:p w14:paraId="5839A7FF">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移动排风扇</w:t>
            </w:r>
          </w:p>
        </w:tc>
        <w:tc>
          <w:tcPr>
            <w:tcW w:w="774" w:type="pct"/>
            <w:tcBorders>
              <w:tl2br w:val="nil"/>
              <w:tr2bl w:val="nil"/>
            </w:tcBorders>
            <w:noWrap w:val="0"/>
            <w:vAlign w:val="center"/>
          </w:tcPr>
          <w:p w14:paraId="4E1F030E">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lang w:val="en-US" w:eastAsia="zh-CN"/>
              </w:rPr>
              <w:t>2</w:t>
            </w:r>
            <w:r>
              <w:rPr>
                <w:rFonts w:hint="default" w:ascii="Times New Roman" w:hAnsi="Times New Roman" w:eastAsia="宋体" w:cs="Times New Roman"/>
                <w:kern w:val="0"/>
                <w:sz w:val="21"/>
                <w:szCs w:val="21"/>
                <w:u w:val="single" w:color="auto"/>
              </w:rPr>
              <w:t>台</w:t>
            </w:r>
          </w:p>
        </w:tc>
        <w:tc>
          <w:tcPr>
            <w:tcW w:w="957" w:type="pct"/>
            <w:tcBorders>
              <w:tl2br w:val="nil"/>
              <w:tr2bl w:val="nil"/>
            </w:tcBorders>
            <w:noWrap w:val="0"/>
            <w:vAlign w:val="center"/>
          </w:tcPr>
          <w:p w14:paraId="07878396">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35B76D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0A3626B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12</w:t>
            </w:r>
          </w:p>
        </w:tc>
        <w:tc>
          <w:tcPr>
            <w:tcW w:w="2786" w:type="pct"/>
            <w:tcBorders>
              <w:tl2br w:val="nil"/>
              <w:tr2bl w:val="nil"/>
            </w:tcBorders>
            <w:noWrap w:val="0"/>
            <w:vAlign w:val="center"/>
          </w:tcPr>
          <w:p w14:paraId="6D0B4077">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防毒面具</w:t>
            </w:r>
          </w:p>
        </w:tc>
        <w:tc>
          <w:tcPr>
            <w:tcW w:w="774" w:type="pct"/>
            <w:tcBorders>
              <w:tl2br w:val="nil"/>
              <w:tr2bl w:val="nil"/>
            </w:tcBorders>
            <w:noWrap w:val="0"/>
            <w:vAlign w:val="center"/>
          </w:tcPr>
          <w:p w14:paraId="754D8251">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1</w:t>
            </w:r>
            <w:r>
              <w:rPr>
                <w:rFonts w:hint="default" w:ascii="Times New Roman" w:hAnsi="Times New Roman" w:eastAsia="宋体" w:cs="Times New Roman"/>
                <w:kern w:val="0"/>
                <w:sz w:val="21"/>
                <w:szCs w:val="21"/>
                <w:u w:val="single" w:color="auto"/>
                <w:lang w:val="en-US" w:eastAsia="zh-CN"/>
              </w:rPr>
              <w:t>0</w:t>
            </w:r>
            <w:r>
              <w:rPr>
                <w:rFonts w:hint="default" w:ascii="Times New Roman" w:hAnsi="Times New Roman" w:eastAsia="宋体" w:cs="Times New Roman"/>
                <w:kern w:val="0"/>
                <w:sz w:val="21"/>
                <w:szCs w:val="21"/>
                <w:u w:val="single" w:color="auto"/>
              </w:rPr>
              <w:t>套</w:t>
            </w:r>
          </w:p>
        </w:tc>
        <w:tc>
          <w:tcPr>
            <w:tcW w:w="957" w:type="pct"/>
            <w:tcBorders>
              <w:tl2br w:val="nil"/>
              <w:tr2bl w:val="nil"/>
            </w:tcBorders>
            <w:noWrap w:val="0"/>
            <w:vAlign w:val="center"/>
          </w:tcPr>
          <w:p w14:paraId="23A5CB4A">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297ABE7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631D3EE9">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13</w:t>
            </w:r>
          </w:p>
        </w:tc>
        <w:tc>
          <w:tcPr>
            <w:tcW w:w="2786" w:type="pct"/>
            <w:tcBorders>
              <w:tl2br w:val="nil"/>
              <w:tr2bl w:val="nil"/>
            </w:tcBorders>
            <w:noWrap w:val="0"/>
            <w:vAlign w:val="center"/>
          </w:tcPr>
          <w:p w14:paraId="249E5A77">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防护口罩（防尘）</w:t>
            </w:r>
          </w:p>
        </w:tc>
        <w:tc>
          <w:tcPr>
            <w:tcW w:w="774" w:type="pct"/>
            <w:tcBorders>
              <w:tl2br w:val="nil"/>
              <w:tr2bl w:val="nil"/>
            </w:tcBorders>
            <w:noWrap w:val="0"/>
            <w:vAlign w:val="center"/>
          </w:tcPr>
          <w:p w14:paraId="1D9B677C">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100个</w:t>
            </w:r>
          </w:p>
        </w:tc>
        <w:tc>
          <w:tcPr>
            <w:tcW w:w="957" w:type="pct"/>
            <w:tcBorders>
              <w:tl2br w:val="nil"/>
              <w:tr2bl w:val="nil"/>
            </w:tcBorders>
            <w:noWrap w:val="0"/>
            <w:vAlign w:val="center"/>
          </w:tcPr>
          <w:p w14:paraId="723B19D7">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414456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486F02A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14</w:t>
            </w:r>
          </w:p>
        </w:tc>
        <w:tc>
          <w:tcPr>
            <w:tcW w:w="2786" w:type="pct"/>
            <w:tcBorders>
              <w:tl2br w:val="nil"/>
              <w:tr2bl w:val="nil"/>
            </w:tcBorders>
            <w:noWrap w:val="0"/>
            <w:vAlign w:val="center"/>
          </w:tcPr>
          <w:p w14:paraId="300836FE">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耐酸碱手套</w:t>
            </w:r>
          </w:p>
        </w:tc>
        <w:tc>
          <w:tcPr>
            <w:tcW w:w="774" w:type="pct"/>
            <w:tcBorders>
              <w:tl2br w:val="nil"/>
              <w:tr2bl w:val="nil"/>
            </w:tcBorders>
            <w:noWrap w:val="0"/>
            <w:vAlign w:val="center"/>
          </w:tcPr>
          <w:p w14:paraId="5456F37C">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lang w:val="en-US" w:eastAsia="zh-CN"/>
              </w:rPr>
              <w:t>1</w:t>
            </w:r>
            <w:r>
              <w:rPr>
                <w:rFonts w:hint="default" w:ascii="Times New Roman" w:hAnsi="Times New Roman" w:eastAsia="宋体" w:cs="Times New Roman"/>
                <w:kern w:val="0"/>
                <w:sz w:val="21"/>
                <w:szCs w:val="21"/>
                <w:u w:val="single" w:color="auto"/>
              </w:rPr>
              <w:t>0套</w:t>
            </w:r>
          </w:p>
        </w:tc>
        <w:tc>
          <w:tcPr>
            <w:tcW w:w="957" w:type="pct"/>
            <w:tcBorders>
              <w:tl2br w:val="nil"/>
              <w:tr2bl w:val="nil"/>
            </w:tcBorders>
            <w:noWrap w:val="0"/>
            <w:vAlign w:val="center"/>
          </w:tcPr>
          <w:p w14:paraId="31BC26DD">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04866B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46B05094">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15</w:t>
            </w:r>
          </w:p>
        </w:tc>
        <w:tc>
          <w:tcPr>
            <w:tcW w:w="2786" w:type="pct"/>
            <w:tcBorders>
              <w:tl2br w:val="nil"/>
              <w:tr2bl w:val="nil"/>
            </w:tcBorders>
            <w:noWrap w:val="0"/>
            <w:vAlign w:val="center"/>
          </w:tcPr>
          <w:p w14:paraId="5BEC92E1">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急救箱（</w:t>
            </w:r>
            <w:r>
              <w:rPr>
                <w:rFonts w:hint="eastAsia" w:ascii="Times New Roman" w:hAnsi="Times New Roman" w:cs="Times New Roman"/>
                <w:kern w:val="0"/>
                <w:sz w:val="21"/>
                <w:szCs w:val="21"/>
                <w:u w:val="single" w:color="auto"/>
                <w:lang w:eastAsia="zh-CN"/>
              </w:rPr>
              <w:t>创可贴</w:t>
            </w:r>
            <w:r>
              <w:rPr>
                <w:rFonts w:hint="default" w:ascii="Times New Roman" w:hAnsi="Times New Roman" w:eastAsia="宋体" w:cs="Times New Roman"/>
                <w:kern w:val="0"/>
                <w:sz w:val="21"/>
                <w:szCs w:val="21"/>
                <w:u w:val="single" w:color="auto"/>
              </w:rPr>
              <w:t>、云南白药喷雾剂、消毒药水、消炎膏、亚硝酸异戊酯、5%硫代硫酸钠等）</w:t>
            </w:r>
          </w:p>
        </w:tc>
        <w:tc>
          <w:tcPr>
            <w:tcW w:w="774" w:type="pct"/>
            <w:tcBorders>
              <w:tl2br w:val="nil"/>
              <w:tr2bl w:val="nil"/>
            </w:tcBorders>
            <w:noWrap w:val="0"/>
            <w:vAlign w:val="center"/>
          </w:tcPr>
          <w:p w14:paraId="0EEE411B">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lang w:val="en-US" w:eastAsia="zh-CN"/>
              </w:rPr>
              <w:t>2</w:t>
            </w:r>
            <w:r>
              <w:rPr>
                <w:rFonts w:hint="default" w:ascii="Times New Roman" w:hAnsi="Times New Roman" w:eastAsia="宋体" w:cs="Times New Roman"/>
                <w:kern w:val="0"/>
                <w:sz w:val="21"/>
                <w:szCs w:val="21"/>
                <w:u w:val="single" w:color="auto"/>
              </w:rPr>
              <w:t>套</w:t>
            </w:r>
          </w:p>
        </w:tc>
        <w:tc>
          <w:tcPr>
            <w:tcW w:w="957" w:type="pct"/>
            <w:tcBorders>
              <w:tl2br w:val="nil"/>
              <w:tr2bl w:val="nil"/>
            </w:tcBorders>
            <w:noWrap w:val="0"/>
            <w:vAlign w:val="center"/>
          </w:tcPr>
          <w:p w14:paraId="243A3C71">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53E72F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3278BD2A">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16</w:t>
            </w:r>
          </w:p>
        </w:tc>
        <w:tc>
          <w:tcPr>
            <w:tcW w:w="2786" w:type="pct"/>
            <w:tcBorders>
              <w:tl2br w:val="nil"/>
              <w:tr2bl w:val="nil"/>
            </w:tcBorders>
            <w:noWrap w:val="0"/>
            <w:vAlign w:val="center"/>
          </w:tcPr>
          <w:p w14:paraId="5C1B8239">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警戒带</w:t>
            </w:r>
          </w:p>
        </w:tc>
        <w:tc>
          <w:tcPr>
            <w:tcW w:w="774" w:type="pct"/>
            <w:tcBorders>
              <w:tl2br w:val="nil"/>
              <w:tr2bl w:val="nil"/>
            </w:tcBorders>
            <w:noWrap w:val="0"/>
            <w:vAlign w:val="center"/>
          </w:tcPr>
          <w:p w14:paraId="1013B0E1">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100米</w:t>
            </w:r>
          </w:p>
        </w:tc>
        <w:tc>
          <w:tcPr>
            <w:tcW w:w="957" w:type="pct"/>
            <w:tcBorders>
              <w:tl2br w:val="nil"/>
              <w:tr2bl w:val="nil"/>
            </w:tcBorders>
            <w:noWrap w:val="0"/>
            <w:vAlign w:val="center"/>
          </w:tcPr>
          <w:p w14:paraId="3BAFEC6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3B66628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2AD882F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rPr>
            </w:pPr>
            <w:r>
              <w:rPr>
                <w:rFonts w:hint="default" w:ascii="Times New Roman" w:hAnsi="Times New Roman" w:eastAsia="宋体" w:cs="Times New Roman"/>
                <w:sz w:val="21"/>
                <w:szCs w:val="21"/>
                <w:highlight w:val="none"/>
                <w:u w:val="single" w:color="auto"/>
              </w:rPr>
              <w:t>17</w:t>
            </w:r>
          </w:p>
        </w:tc>
        <w:tc>
          <w:tcPr>
            <w:tcW w:w="2786" w:type="pct"/>
            <w:tcBorders>
              <w:tl2br w:val="nil"/>
              <w:tr2bl w:val="nil"/>
            </w:tcBorders>
            <w:noWrap w:val="0"/>
            <w:vAlign w:val="center"/>
          </w:tcPr>
          <w:p w14:paraId="2286B748">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应急手电筒</w:t>
            </w:r>
          </w:p>
        </w:tc>
        <w:tc>
          <w:tcPr>
            <w:tcW w:w="774" w:type="pct"/>
            <w:tcBorders>
              <w:tl2br w:val="nil"/>
              <w:tr2bl w:val="nil"/>
            </w:tcBorders>
            <w:noWrap w:val="0"/>
            <w:vAlign w:val="center"/>
          </w:tcPr>
          <w:p w14:paraId="334DCE20">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6个</w:t>
            </w:r>
          </w:p>
        </w:tc>
        <w:tc>
          <w:tcPr>
            <w:tcW w:w="957" w:type="pct"/>
            <w:tcBorders>
              <w:tl2br w:val="nil"/>
              <w:tr2bl w:val="nil"/>
            </w:tcBorders>
            <w:noWrap w:val="0"/>
            <w:vAlign w:val="center"/>
          </w:tcPr>
          <w:p w14:paraId="11F742EA">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6F8816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0915D7D3">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lang w:val="en-US" w:eastAsia="zh-CN"/>
              </w:rPr>
            </w:pPr>
            <w:r>
              <w:rPr>
                <w:rFonts w:hint="default" w:ascii="Times New Roman" w:hAnsi="Times New Roman" w:eastAsia="宋体" w:cs="Times New Roman"/>
                <w:sz w:val="21"/>
                <w:szCs w:val="21"/>
                <w:highlight w:val="none"/>
                <w:u w:val="single" w:color="auto"/>
                <w:lang w:val="en-US" w:eastAsia="zh-CN"/>
              </w:rPr>
              <w:t>18</w:t>
            </w:r>
          </w:p>
        </w:tc>
        <w:tc>
          <w:tcPr>
            <w:tcW w:w="2786" w:type="pct"/>
            <w:tcBorders>
              <w:tl2br w:val="nil"/>
              <w:tr2bl w:val="nil"/>
            </w:tcBorders>
            <w:noWrap w:val="0"/>
            <w:vAlign w:val="center"/>
          </w:tcPr>
          <w:p w14:paraId="3DC92F73">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安全带</w:t>
            </w:r>
          </w:p>
        </w:tc>
        <w:tc>
          <w:tcPr>
            <w:tcW w:w="774" w:type="pct"/>
            <w:tcBorders>
              <w:tl2br w:val="nil"/>
              <w:tr2bl w:val="nil"/>
            </w:tcBorders>
            <w:noWrap w:val="0"/>
            <w:vAlign w:val="center"/>
          </w:tcPr>
          <w:p w14:paraId="0B0FCC19">
            <w:pPr>
              <w:pStyle w:val="110"/>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2套</w:t>
            </w:r>
          </w:p>
        </w:tc>
        <w:tc>
          <w:tcPr>
            <w:tcW w:w="957" w:type="pct"/>
            <w:tcBorders>
              <w:tl2br w:val="nil"/>
              <w:tr2bl w:val="nil"/>
            </w:tcBorders>
            <w:noWrap w:val="0"/>
            <w:vAlign w:val="center"/>
          </w:tcPr>
          <w:p w14:paraId="4ECFCAF9">
            <w:pPr>
              <w:keepNext w:val="0"/>
              <w:keepLines w:val="0"/>
              <w:suppressLineNumbers w:val="0"/>
              <w:spacing w:before="0" w:beforeAutospacing="0" w:after="0" w:afterAutospacing="0"/>
              <w:ind w:left="0" w:right="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办公</w:t>
            </w:r>
            <w:r>
              <w:rPr>
                <w:rFonts w:hint="default" w:ascii="Times New Roman" w:hAnsi="Times New Roman" w:eastAsia="宋体" w:cs="Times New Roman"/>
                <w:kern w:val="0"/>
                <w:sz w:val="21"/>
                <w:szCs w:val="21"/>
                <w:u w:val="single" w:color="auto"/>
                <w:lang w:val="en-US" w:eastAsia="zh-CN"/>
              </w:rPr>
              <w:t>室</w:t>
            </w:r>
          </w:p>
        </w:tc>
      </w:tr>
      <w:tr w14:paraId="4522FA5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1" w:hRule="atLeast"/>
          <w:jc w:val="center"/>
        </w:trPr>
        <w:tc>
          <w:tcPr>
            <w:tcW w:w="481" w:type="pct"/>
            <w:tcBorders>
              <w:tl2br w:val="nil"/>
              <w:tr2bl w:val="nil"/>
            </w:tcBorders>
            <w:noWrap w:val="0"/>
            <w:vAlign w:val="center"/>
          </w:tcPr>
          <w:p w14:paraId="3E3B7CAC">
            <w:pPr>
              <w:keepNext w:val="0"/>
              <w:keepLines w:val="0"/>
              <w:suppressLineNumbers w:val="0"/>
              <w:spacing w:before="0" w:beforeAutospacing="0" w:after="0" w:afterAutospacing="0"/>
              <w:ind w:left="0" w:right="0"/>
              <w:jc w:val="center"/>
              <w:rPr>
                <w:rFonts w:hint="default" w:ascii="Times New Roman" w:hAnsi="Times New Roman" w:eastAsia="宋体" w:cs="Times New Roman"/>
                <w:sz w:val="21"/>
                <w:szCs w:val="21"/>
                <w:highlight w:val="none"/>
                <w:u w:val="single" w:color="auto"/>
                <w:lang w:val="en-US" w:eastAsia="zh-CN"/>
              </w:rPr>
            </w:pPr>
            <w:r>
              <w:rPr>
                <w:rFonts w:hint="default" w:ascii="Times New Roman" w:hAnsi="Times New Roman" w:eastAsia="宋体" w:cs="Times New Roman"/>
                <w:sz w:val="21"/>
                <w:szCs w:val="21"/>
                <w:highlight w:val="none"/>
                <w:u w:val="single" w:color="auto"/>
                <w:lang w:val="en-US" w:eastAsia="zh-CN"/>
              </w:rPr>
              <w:t>19</w:t>
            </w:r>
          </w:p>
        </w:tc>
        <w:tc>
          <w:tcPr>
            <w:tcW w:w="2786" w:type="pct"/>
            <w:tcBorders>
              <w:tl2br w:val="nil"/>
              <w:tr2bl w:val="nil"/>
            </w:tcBorders>
            <w:noWrap w:val="0"/>
            <w:vAlign w:val="center"/>
          </w:tcPr>
          <w:p w14:paraId="1AA1C1CB">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rPr>
              <w:t>汽车（货、客）</w:t>
            </w:r>
          </w:p>
        </w:tc>
        <w:tc>
          <w:tcPr>
            <w:tcW w:w="774" w:type="pct"/>
            <w:tcBorders>
              <w:tl2br w:val="nil"/>
              <w:tr2bl w:val="nil"/>
            </w:tcBorders>
            <w:noWrap w:val="0"/>
            <w:vAlign w:val="center"/>
          </w:tcPr>
          <w:p w14:paraId="3128F8B8">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lang w:val="en-US" w:eastAsia="zh-CN"/>
              </w:rPr>
              <w:t>2</w:t>
            </w:r>
            <w:r>
              <w:rPr>
                <w:rFonts w:hint="default" w:ascii="Times New Roman" w:hAnsi="Times New Roman" w:eastAsia="宋体" w:cs="Times New Roman"/>
                <w:kern w:val="0"/>
                <w:sz w:val="21"/>
                <w:szCs w:val="21"/>
                <w:u w:val="single" w:color="auto"/>
              </w:rPr>
              <w:t>辆</w:t>
            </w:r>
          </w:p>
        </w:tc>
        <w:tc>
          <w:tcPr>
            <w:tcW w:w="957" w:type="pct"/>
            <w:tcBorders>
              <w:tl2br w:val="nil"/>
              <w:tr2bl w:val="nil"/>
            </w:tcBorders>
            <w:noWrap w:val="0"/>
            <w:vAlign w:val="center"/>
          </w:tcPr>
          <w:p w14:paraId="50CC1E31">
            <w:pPr>
              <w:keepNext w:val="0"/>
              <w:keepLines w:val="0"/>
              <w:suppressLineNumbers w:val="0"/>
              <w:autoSpaceDE w:val="0"/>
              <w:autoSpaceDN w:val="0"/>
              <w:adjustRightInd w:val="0"/>
              <w:spacing w:before="0" w:beforeAutospacing="0" w:after="0" w:afterAutospacing="0" w:line="240" w:lineRule="auto"/>
              <w:ind w:left="0" w:leftChars="0" w:right="0" w:firstLine="0" w:firstLineChars="0"/>
              <w:jc w:val="center"/>
              <w:rPr>
                <w:rFonts w:hint="default" w:ascii="Times New Roman" w:hAnsi="Times New Roman" w:eastAsia="宋体" w:cs="Times New Roman"/>
                <w:kern w:val="0"/>
                <w:sz w:val="21"/>
                <w:szCs w:val="21"/>
                <w:u w:val="single" w:color="auto"/>
                <w:lang w:val="en-US" w:eastAsia="zh-CN" w:bidi="ar-SA"/>
              </w:rPr>
            </w:pPr>
            <w:r>
              <w:rPr>
                <w:rFonts w:hint="default" w:ascii="Times New Roman" w:hAnsi="Times New Roman" w:eastAsia="宋体" w:cs="Times New Roman"/>
                <w:kern w:val="0"/>
                <w:sz w:val="21"/>
                <w:szCs w:val="21"/>
                <w:u w:val="single" w:color="auto"/>
                <w:lang w:val="en-US" w:eastAsia="zh-CN"/>
              </w:rPr>
              <w:t>厂区</w:t>
            </w:r>
            <w:r>
              <w:rPr>
                <w:rFonts w:hint="default" w:ascii="Times New Roman" w:hAnsi="Times New Roman" w:eastAsia="宋体" w:cs="Times New Roman"/>
                <w:kern w:val="0"/>
                <w:sz w:val="21"/>
                <w:szCs w:val="21"/>
                <w:u w:val="single" w:color="auto"/>
              </w:rPr>
              <w:t>停车场</w:t>
            </w:r>
          </w:p>
        </w:tc>
      </w:tr>
    </w:tbl>
    <w:p w14:paraId="51567FD9">
      <w:pPr>
        <w:pStyle w:val="3"/>
        <w:spacing w:before="0" w:after="0" w:line="360" w:lineRule="auto"/>
        <w:rPr>
          <w:rFonts w:hint="default" w:ascii="Times New Roman" w:hAnsi="Times New Roman" w:eastAsia="宋体" w:cs="Times New Roman"/>
        </w:rPr>
      </w:pPr>
      <w:bookmarkStart w:id="393" w:name="_Toc14769"/>
      <w:r>
        <w:rPr>
          <w:rFonts w:hint="default" w:ascii="Times New Roman" w:hAnsi="Times New Roman" w:eastAsia="宋体" w:cs="Times New Roman"/>
        </w:rPr>
        <w:t>9.7环境风险评价结论</w:t>
      </w:r>
      <w:bookmarkEnd w:id="393"/>
    </w:p>
    <w:p w14:paraId="4245807D">
      <w:pPr>
        <w:pStyle w:val="48"/>
        <w:spacing w:before="0" w:line="360" w:lineRule="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环境风险主要为泄漏和发生火灾、爆炸引起的环境污染和伴生/次生环境污染。在严格落实本环评提出的各项风险防范措施和事故应急预案后，该项目发生风险事故的可能性进一步降低，其潜在的环境风险是可以接受的。</w:t>
      </w:r>
    </w:p>
    <w:p w14:paraId="4232701E">
      <w:pPr>
        <w:pStyle w:val="48"/>
        <w:spacing w:before="0" w:line="360" w:lineRule="auto"/>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14:paraId="300E2F84">
      <w:pPr>
        <w:pStyle w:val="2"/>
        <w:spacing w:before="0" w:after="0" w:line="360" w:lineRule="auto"/>
        <w:rPr>
          <w:rFonts w:hint="default" w:ascii="Times New Roman" w:hAnsi="Times New Roman" w:eastAsia="宋体" w:cs="Times New Roman"/>
        </w:rPr>
      </w:pPr>
      <w:bookmarkStart w:id="394" w:name="_Toc8008"/>
      <w:bookmarkStart w:id="395" w:name="_Toc106961923"/>
      <w:bookmarkStart w:id="396" w:name="_Toc119413820"/>
      <w:r>
        <w:rPr>
          <w:rFonts w:hint="default" w:ascii="Times New Roman" w:hAnsi="Times New Roman" w:eastAsia="宋体" w:cs="Times New Roman"/>
        </w:rPr>
        <w:t>10总量控制</w:t>
      </w:r>
      <w:bookmarkEnd w:id="394"/>
      <w:bookmarkEnd w:id="395"/>
      <w:bookmarkEnd w:id="396"/>
    </w:p>
    <w:p w14:paraId="09C7EF21">
      <w:pPr>
        <w:pStyle w:val="3"/>
        <w:spacing w:before="0" w:after="0" w:line="360" w:lineRule="auto"/>
        <w:rPr>
          <w:rFonts w:hint="default" w:ascii="Times New Roman" w:hAnsi="Times New Roman" w:eastAsia="宋体" w:cs="Times New Roman"/>
          <w:kern w:val="44"/>
        </w:rPr>
      </w:pPr>
      <w:bookmarkStart w:id="397" w:name="_Toc87017023"/>
      <w:bookmarkStart w:id="398" w:name="_Toc18044"/>
      <w:bookmarkStart w:id="399" w:name="_Toc119413821"/>
      <w:bookmarkStart w:id="400" w:name="_Toc106961924"/>
      <w:r>
        <w:rPr>
          <w:rFonts w:hint="default" w:ascii="Times New Roman" w:hAnsi="Times New Roman" w:eastAsia="宋体" w:cs="Times New Roman"/>
          <w:kern w:val="44"/>
        </w:rPr>
        <w:t>10.1总量控制</w:t>
      </w:r>
      <w:bookmarkEnd w:id="397"/>
      <w:r>
        <w:rPr>
          <w:rFonts w:hint="default" w:ascii="Times New Roman" w:hAnsi="Times New Roman" w:eastAsia="宋体" w:cs="Times New Roman"/>
          <w:kern w:val="44"/>
        </w:rPr>
        <w:t>要求</w:t>
      </w:r>
      <w:bookmarkEnd w:id="398"/>
      <w:bookmarkEnd w:id="399"/>
      <w:bookmarkEnd w:id="400"/>
      <w:r>
        <w:rPr>
          <w:rFonts w:hint="default" w:ascii="Times New Roman" w:hAnsi="Times New Roman" w:eastAsia="宋体" w:cs="Times New Roman"/>
          <w:kern w:val="44"/>
        </w:rPr>
        <w:t xml:space="preserve"> </w:t>
      </w:r>
    </w:p>
    <w:p w14:paraId="1E58D746">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根据“十四五”期间国家实施污染物总量控制的要求，需要进行污染物排放实施总量控制的因子为：</w:t>
      </w:r>
      <w:r>
        <w:rPr>
          <w:rFonts w:hint="default" w:ascii="Times New Roman" w:hAnsi="Times New Roman" w:eastAsia="宋体" w:cs="Times New Roman"/>
          <w:kern w:val="0"/>
          <w:sz w:val="24"/>
        </w:rPr>
        <w:t>NOx、VOCs、CODcr、氨氮</w:t>
      </w:r>
      <w:r>
        <w:rPr>
          <w:rFonts w:hint="default" w:ascii="Times New Roman" w:hAnsi="Times New Roman" w:eastAsia="宋体" w:cs="Times New Roman"/>
          <w:sz w:val="24"/>
        </w:rPr>
        <w:t>。</w:t>
      </w:r>
    </w:p>
    <w:p w14:paraId="403702BC">
      <w:pPr>
        <w:pStyle w:val="3"/>
        <w:spacing w:before="0" w:after="0" w:line="360" w:lineRule="auto"/>
        <w:rPr>
          <w:rFonts w:hint="default" w:ascii="Times New Roman" w:hAnsi="Times New Roman" w:eastAsia="宋体" w:cs="Times New Roman"/>
          <w:kern w:val="44"/>
        </w:rPr>
      </w:pPr>
      <w:bookmarkStart w:id="401" w:name="_Toc119413822"/>
      <w:bookmarkStart w:id="402" w:name="_Toc2472"/>
      <w:bookmarkStart w:id="403" w:name="_Toc87017024"/>
      <w:bookmarkStart w:id="404" w:name="_Toc106961925"/>
      <w:r>
        <w:rPr>
          <w:rFonts w:hint="default" w:ascii="Times New Roman" w:hAnsi="Times New Roman" w:eastAsia="宋体" w:cs="Times New Roman"/>
          <w:kern w:val="44"/>
        </w:rPr>
        <w:t>10.2总量控制原则</w:t>
      </w:r>
      <w:bookmarkEnd w:id="401"/>
      <w:bookmarkEnd w:id="402"/>
      <w:bookmarkEnd w:id="403"/>
      <w:bookmarkEnd w:id="404"/>
    </w:p>
    <w:p w14:paraId="526ADE20">
      <w:pPr>
        <w:spacing w:line="360" w:lineRule="auto"/>
        <w:ind w:firstLine="480" w:firstLineChars="200"/>
        <w:jc w:val="left"/>
        <w:rPr>
          <w:rFonts w:hint="default" w:ascii="Times New Roman" w:hAnsi="Times New Roman" w:eastAsia="宋体" w:cs="Times New Roman"/>
          <w:kern w:val="44"/>
          <w:sz w:val="24"/>
          <w:szCs w:val="24"/>
        </w:rPr>
      </w:pPr>
      <w:r>
        <w:rPr>
          <w:rFonts w:hint="default" w:ascii="Times New Roman" w:hAnsi="Times New Roman" w:eastAsia="宋体" w:cs="Times New Roman"/>
          <w:kern w:val="44"/>
          <w:sz w:val="24"/>
          <w:szCs w:val="24"/>
        </w:rPr>
        <w:t>国家提出的“总量控制”实际是区域性的，亦即当局部不可避免地增加污染物排放时，应对同行业或区域内进行污染物排放总量削减，使区域内污染源的污染物排放负荷控制在一定数量内，使污染物的受纳水体、空气等的环境质量可达到规定的环境目标。</w:t>
      </w:r>
    </w:p>
    <w:p w14:paraId="02733611">
      <w:pPr>
        <w:spacing w:line="360" w:lineRule="auto"/>
        <w:ind w:firstLine="480" w:firstLineChars="200"/>
        <w:jc w:val="left"/>
        <w:rPr>
          <w:rFonts w:hint="default" w:ascii="Times New Roman" w:hAnsi="Times New Roman" w:eastAsia="宋体" w:cs="Times New Roman"/>
          <w:kern w:val="44"/>
          <w:sz w:val="24"/>
          <w:szCs w:val="24"/>
        </w:rPr>
      </w:pPr>
      <w:r>
        <w:rPr>
          <w:rFonts w:hint="default" w:ascii="Times New Roman" w:hAnsi="Times New Roman" w:eastAsia="宋体" w:cs="Times New Roman"/>
          <w:kern w:val="44"/>
          <w:sz w:val="24"/>
          <w:szCs w:val="24"/>
        </w:rPr>
        <w:t>污染物总量控制方案的确定，应在考虑区域环境质量、环境功能及环境管理的基础上，结合项目的实际条件和污染控制措施及经济技术可行性进行。</w:t>
      </w:r>
    </w:p>
    <w:p w14:paraId="189B5E85">
      <w:pPr>
        <w:pStyle w:val="3"/>
        <w:spacing w:before="0" w:after="0" w:line="360" w:lineRule="auto"/>
        <w:rPr>
          <w:rFonts w:hint="default" w:ascii="Times New Roman" w:hAnsi="Times New Roman" w:eastAsia="宋体" w:cs="Times New Roman"/>
          <w:kern w:val="44"/>
        </w:rPr>
      </w:pPr>
      <w:bookmarkStart w:id="405" w:name="_Toc5056"/>
      <w:bookmarkStart w:id="406" w:name="_Toc106961926"/>
      <w:bookmarkStart w:id="407" w:name="_Toc119413823"/>
      <w:r>
        <w:rPr>
          <w:rFonts w:hint="default" w:ascii="Times New Roman" w:hAnsi="Times New Roman" w:eastAsia="宋体" w:cs="Times New Roman"/>
          <w:kern w:val="44"/>
        </w:rPr>
        <w:t>10.3总量控制因子的确定</w:t>
      </w:r>
      <w:bookmarkEnd w:id="405"/>
      <w:bookmarkEnd w:id="406"/>
      <w:bookmarkEnd w:id="407"/>
    </w:p>
    <w:p w14:paraId="330E1E38">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kern w:val="44"/>
          <w:sz w:val="24"/>
          <w:szCs w:val="24"/>
        </w:rPr>
        <w:t>结合本次扩建项目的工程分析，</w:t>
      </w:r>
      <w:r>
        <w:rPr>
          <w:rFonts w:hint="default" w:ascii="Times New Roman" w:hAnsi="Times New Roman" w:eastAsia="宋体" w:cs="Times New Roman"/>
          <w:kern w:val="0"/>
          <w:sz w:val="24"/>
        </w:rPr>
        <w:t>项目</w:t>
      </w:r>
      <w:r>
        <w:rPr>
          <w:rFonts w:hint="eastAsia" w:ascii="Times New Roman" w:hAnsi="Times New Roman" w:cs="Times New Roman"/>
          <w:kern w:val="0"/>
          <w:sz w:val="24"/>
          <w:lang w:val="en-US" w:eastAsia="zh-CN"/>
        </w:rPr>
        <w:t>生活污水（</w:t>
      </w:r>
      <w:r>
        <w:rPr>
          <w:rFonts w:hint="default" w:ascii="Times New Roman" w:hAnsi="Times New Roman" w:eastAsia="宋体" w:cs="Times New Roman"/>
          <w:sz w:val="24"/>
        </w:rPr>
        <w:t>528</w:t>
      </w:r>
      <w:r>
        <w:rPr>
          <w:rFonts w:hint="eastAsia" w:ascii="Times New Roman" w:hAnsi="Times New Roman" w:cs="Times New Roman"/>
          <w:color w:val="000000"/>
          <w:kern w:val="0"/>
          <w:szCs w:val="21"/>
          <w:lang w:val="en-US" w:eastAsia="zh-CN"/>
        </w:rPr>
        <w:t>t/a</w:t>
      </w:r>
      <w:r>
        <w:rPr>
          <w:rFonts w:hint="eastAsia" w:ascii="Times New Roman" w:hAnsi="Times New Roman" w:cs="Times New Roman"/>
          <w:kern w:val="0"/>
          <w:sz w:val="24"/>
          <w:lang w:val="en-US" w:eastAsia="zh-CN"/>
        </w:rPr>
        <w:t>）经化粪池处理后经污水管网排污园区污水处理厂，</w:t>
      </w:r>
      <w:r>
        <w:rPr>
          <w:rFonts w:hint="default" w:ascii="Times New Roman" w:hAnsi="Times New Roman" w:eastAsia="宋体" w:cs="Times New Roman"/>
          <w:kern w:val="0"/>
          <w:sz w:val="24"/>
          <w:lang w:val="en-US" w:eastAsia="zh-CN"/>
        </w:rPr>
        <w:t>生</w:t>
      </w:r>
      <w:r>
        <w:rPr>
          <w:rFonts w:hint="default" w:ascii="Times New Roman" w:hAnsi="Times New Roman" w:eastAsia="宋体" w:cs="Times New Roman"/>
          <w:kern w:val="0"/>
          <w:sz w:val="24"/>
          <w:szCs w:val="24"/>
          <w:lang w:val="en-US" w:eastAsia="zh-CN"/>
        </w:rPr>
        <w:t>产</w:t>
      </w:r>
      <w:r>
        <w:rPr>
          <w:rFonts w:hint="default" w:ascii="Times New Roman" w:hAnsi="Times New Roman" w:eastAsia="宋体" w:cs="Times New Roman"/>
          <w:sz w:val="24"/>
          <w:szCs w:val="24"/>
        </w:rPr>
        <w:t>污水</w:t>
      </w:r>
      <w:r>
        <w:rPr>
          <w:rFonts w:hint="eastAsia" w:ascii="Times New Roman" w:hAnsi="Times New Roman" w:cs="Times New Roman"/>
          <w:sz w:val="24"/>
          <w:szCs w:val="24"/>
          <w:lang w:eastAsia="zh-CN"/>
        </w:rPr>
        <w:t>（</w:t>
      </w:r>
      <w:r>
        <w:rPr>
          <w:rFonts w:hint="default" w:ascii="Times New Roman" w:hAnsi="Times New Roman" w:eastAsia="宋体" w:cs="Times New Roman"/>
          <w:color w:val="000000"/>
          <w:kern w:val="0"/>
          <w:sz w:val="24"/>
          <w:szCs w:val="24"/>
        </w:rPr>
        <w:t>7392</w:t>
      </w:r>
      <w:r>
        <w:rPr>
          <w:rFonts w:hint="eastAsia" w:ascii="Times New Roman" w:hAnsi="Times New Roman" w:cs="Times New Roman"/>
          <w:color w:val="000000"/>
          <w:kern w:val="0"/>
          <w:sz w:val="24"/>
          <w:szCs w:val="24"/>
          <w:lang w:val="en-US" w:eastAsia="zh-CN"/>
        </w:rPr>
        <w:t>t/a</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经自建污水处理站处理后</w:t>
      </w:r>
      <w:r>
        <w:rPr>
          <w:rFonts w:hint="eastAsia" w:ascii="Times New Roman" w:hAnsi="Times New Roman" w:cs="Times New Roman"/>
          <w:sz w:val="24"/>
          <w:szCs w:val="24"/>
          <w:lang w:val="en-US" w:eastAsia="zh-CN"/>
        </w:rPr>
        <w:t>经污水管网</w:t>
      </w:r>
      <w:r>
        <w:rPr>
          <w:rFonts w:hint="default" w:ascii="Times New Roman" w:hAnsi="Times New Roman" w:eastAsia="宋体" w:cs="Times New Roman"/>
          <w:sz w:val="24"/>
          <w:szCs w:val="24"/>
        </w:rPr>
        <w:t>排入</w:t>
      </w:r>
      <w:r>
        <w:rPr>
          <w:rFonts w:hint="eastAsia" w:ascii="Times New Roman" w:hAnsi="Times New Roman" w:cs="Times New Roman"/>
          <w:sz w:val="24"/>
          <w:szCs w:val="24"/>
          <w:lang w:val="en-US" w:eastAsia="zh-CN"/>
        </w:rPr>
        <w:t>园区</w:t>
      </w:r>
      <w:r>
        <w:rPr>
          <w:rFonts w:hint="default" w:ascii="Times New Roman" w:hAnsi="Times New Roman" w:eastAsia="宋体" w:cs="Times New Roman"/>
          <w:sz w:val="24"/>
          <w:szCs w:val="24"/>
        </w:rPr>
        <w:t>污水处理厂，</w:t>
      </w:r>
      <w:r>
        <w:rPr>
          <w:rFonts w:hint="eastAsia" w:ascii="Times New Roman" w:hAnsi="Times New Roman" w:cs="Times New Roman"/>
          <w:sz w:val="24"/>
          <w:szCs w:val="24"/>
          <w:lang w:val="en-US" w:eastAsia="zh-CN"/>
        </w:rPr>
        <w:t>废水排放总量为7920t/a，经</w:t>
      </w:r>
      <w:r>
        <w:rPr>
          <w:rFonts w:hint="default" w:ascii="Times New Roman" w:hAnsi="Times New Roman" w:eastAsia="宋体" w:cs="Times New Roman"/>
          <w:sz w:val="24"/>
          <w:szCs w:val="24"/>
        </w:rPr>
        <w:t>处理</w:t>
      </w:r>
      <w:r>
        <w:rPr>
          <w:rFonts w:hint="eastAsia" w:ascii="Times New Roman" w:hAnsi="Times New Roman" w:cs="Times New Roman"/>
          <w:sz w:val="24"/>
          <w:szCs w:val="24"/>
          <w:lang w:val="en-US" w:eastAsia="zh-CN"/>
        </w:rPr>
        <w:t>达标</w:t>
      </w:r>
      <w:r>
        <w:rPr>
          <w:rFonts w:hint="default" w:ascii="Times New Roman" w:hAnsi="Times New Roman" w:eastAsia="宋体" w:cs="Times New Roman"/>
          <w:sz w:val="24"/>
          <w:szCs w:val="24"/>
        </w:rPr>
        <w:t>后</w:t>
      </w:r>
      <w:r>
        <w:rPr>
          <w:rFonts w:hint="eastAsia" w:ascii="Times New Roman" w:hAnsi="Times New Roman" w:cs="Times New Roman"/>
          <w:sz w:val="24"/>
          <w:szCs w:val="24"/>
          <w:lang w:val="en-US" w:eastAsia="zh-CN"/>
        </w:rPr>
        <w:t>最终进入环境</w:t>
      </w:r>
      <w:r>
        <w:rPr>
          <w:rFonts w:hint="default" w:ascii="Times New Roman" w:hAnsi="Times New Roman" w:eastAsia="宋体" w:cs="Times New Roman"/>
          <w:sz w:val="24"/>
          <w:szCs w:val="24"/>
        </w:rPr>
        <w:t xml:space="preserve">总量为COD </w:t>
      </w:r>
      <w:r>
        <w:rPr>
          <w:rFonts w:hint="eastAsia" w:ascii="Times New Roman" w:hAnsi="Times New Roman" w:cs="Times New Roman"/>
          <w:sz w:val="24"/>
          <w:szCs w:val="24"/>
          <w:lang w:val="en-US" w:eastAsia="zh-CN"/>
        </w:rPr>
        <w:t>0.475</w:t>
      </w:r>
      <w:r>
        <w:rPr>
          <w:rFonts w:hint="default" w:ascii="Times New Roman" w:hAnsi="Times New Roman" w:eastAsia="宋体" w:cs="Times New Roman"/>
          <w:sz w:val="24"/>
          <w:szCs w:val="24"/>
        </w:rPr>
        <w:t>t/a、NH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 0.</w:t>
      </w:r>
      <w:r>
        <w:rPr>
          <w:rFonts w:hint="eastAsia" w:ascii="Times New Roman" w:hAnsi="Times New Roman" w:cs="Times New Roman"/>
          <w:sz w:val="24"/>
          <w:szCs w:val="24"/>
          <w:lang w:val="en-US" w:eastAsia="zh-CN"/>
        </w:rPr>
        <w:t>119</w:t>
      </w:r>
      <w:r>
        <w:rPr>
          <w:rFonts w:hint="default" w:ascii="Times New Roman" w:hAnsi="Times New Roman" w:eastAsia="宋体" w:cs="Times New Roman"/>
          <w:sz w:val="24"/>
          <w:szCs w:val="24"/>
        </w:rPr>
        <w:t>t/a</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COD和</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w:t>
      </w:r>
      <w:r>
        <w:rPr>
          <w:rFonts w:hint="eastAsia" w:ascii="Times New Roman" w:hAnsi="Times New Roman" w:cs="Times New Roman"/>
          <w:sz w:val="24"/>
          <w:szCs w:val="24"/>
          <w:lang w:val="en-US" w:eastAsia="zh-CN"/>
        </w:rPr>
        <w:t>的总量控制指标需通过购买或调剂的方式获得</w:t>
      </w:r>
      <w:r>
        <w:rPr>
          <w:rFonts w:hint="default" w:ascii="Times New Roman" w:hAnsi="Times New Roman" w:eastAsia="宋体" w:cs="Times New Roman"/>
          <w:sz w:val="24"/>
          <w:szCs w:val="24"/>
        </w:rPr>
        <w:t>。</w:t>
      </w:r>
    </w:p>
    <w:p w14:paraId="18FC50DF">
      <w:pPr>
        <w:spacing w:line="360" w:lineRule="auto"/>
        <w:ind w:firstLine="480" w:firstLineChars="200"/>
        <w:jc w:val="left"/>
        <w:rPr>
          <w:rFonts w:hint="default" w:ascii="Times New Roman" w:hAnsi="Times New Roman" w:eastAsia="宋体" w:cs="Times New Roman"/>
          <w:kern w:val="0"/>
          <w:sz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kern w:val="0"/>
          <w:sz w:val="24"/>
        </w:rPr>
        <w:t>项目排放废气涉及VOCs，其排放总量为3.</w:t>
      </w:r>
      <w:r>
        <w:rPr>
          <w:rFonts w:hint="default" w:ascii="Times New Roman" w:hAnsi="Times New Roman" w:eastAsia="宋体" w:cs="Times New Roman"/>
          <w:kern w:val="0"/>
          <w:sz w:val="24"/>
          <w:lang w:val="en-US" w:eastAsia="zh-CN"/>
        </w:rPr>
        <w:t>2956</w:t>
      </w:r>
      <w:r>
        <w:rPr>
          <w:rFonts w:hint="default" w:ascii="Times New Roman" w:hAnsi="Times New Roman" w:eastAsia="宋体" w:cs="Times New Roman"/>
          <w:kern w:val="0"/>
          <w:sz w:val="24"/>
        </w:rPr>
        <w:t>t/a（其中有组织排放1.67</w:t>
      </w:r>
      <w:r>
        <w:rPr>
          <w:rFonts w:hint="default" w:ascii="Times New Roman" w:hAnsi="Times New Roman" w:eastAsia="宋体" w:cs="Times New Roman"/>
          <w:kern w:val="0"/>
          <w:sz w:val="24"/>
          <w:lang w:val="en-US" w:eastAsia="zh-CN"/>
        </w:rPr>
        <w:t>56</w:t>
      </w:r>
      <w:r>
        <w:rPr>
          <w:rFonts w:hint="default" w:ascii="Times New Roman" w:hAnsi="Times New Roman" w:eastAsia="宋体" w:cs="Times New Roman"/>
          <w:kern w:val="0"/>
          <w:sz w:val="24"/>
        </w:rPr>
        <w:t xml:space="preserve">t/a、无组织排放1.62t/a）。 </w:t>
      </w:r>
    </w:p>
    <w:p w14:paraId="323FA4F8">
      <w:pPr>
        <w:pStyle w:val="2"/>
        <w:spacing w:before="0" w:after="0" w:line="360" w:lineRule="auto"/>
        <w:rPr>
          <w:rFonts w:hint="default" w:ascii="Times New Roman" w:hAnsi="Times New Roman" w:eastAsia="宋体" w:cs="Times New Roman"/>
        </w:rPr>
      </w:pPr>
      <w:bookmarkStart w:id="408" w:name="_Toc16595"/>
      <w:bookmarkStart w:id="409" w:name="_Toc119413824"/>
      <w:bookmarkStart w:id="410" w:name="_Toc106961927"/>
      <w:r>
        <w:rPr>
          <w:rFonts w:hint="default" w:ascii="Times New Roman" w:hAnsi="Times New Roman" w:eastAsia="宋体" w:cs="Times New Roman"/>
        </w:rPr>
        <w:t>11环境管理与监测计划</w:t>
      </w:r>
      <w:bookmarkEnd w:id="408"/>
      <w:bookmarkEnd w:id="409"/>
      <w:bookmarkEnd w:id="410"/>
    </w:p>
    <w:p w14:paraId="7A220F0A">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加强环境管理和环境监测是执行《中华人民共和国环境保护法》等法规、条例和标准的重要手段，也是实现建设项目社会效益、经济效益、环境效益协调发展的必要保障。为使项目在促进当地经济建设的同时尽可能减少对环境的负面影响，确保各项环保处理设施的正常运行，企业必须</w:t>
      </w:r>
      <w:r>
        <w:rPr>
          <w:rFonts w:hint="eastAsia" w:ascii="Times New Roman" w:hAnsi="Times New Roman" w:cs="Times New Roman"/>
          <w:sz w:val="24"/>
          <w:szCs w:val="24"/>
          <w:lang w:eastAsia="zh-CN"/>
        </w:rPr>
        <w:t>建立健全</w:t>
      </w:r>
      <w:r>
        <w:rPr>
          <w:rFonts w:hint="default" w:ascii="Times New Roman" w:hAnsi="Times New Roman" w:eastAsia="宋体" w:cs="Times New Roman"/>
          <w:sz w:val="24"/>
          <w:szCs w:val="24"/>
        </w:rPr>
        <w:t>各项环境管理制度和制定详细的环境监测计划。</w:t>
      </w:r>
    </w:p>
    <w:p w14:paraId="648BD94A">
      <w:pPr>
        <w:pStyle w:val="3"/>
        <w:spacing w:before="0" w:after="0" w:line="360" w:lineRule="auto"/>
        <w:rPr>
          <w:rFonts w:hint="default" w:ascii="Times New Roman" w:hAnsi="Times New Roman" w:eastAsia="宋体" w:cs="Times New Roman"/>
        </w:rPr>
      </w:pPr>
      <w:bookmarkStart w:id="411" w:name="_Toc33007221"/>
      <w:bookmarkStart w:id="412" w:name="_Toc106961928"/>
      <w:bookmarkStart w:id="413" w:name="_Toc264633390"/>
      <w:bookmarkStart w:id="414" w:name="_Toc17653"/>
      <w:bookmarkStart w:id="415" w:name="_Toc87017034"/>
      <w:bookmarkStart w:id="416" w:name="_Toc267404158"/>
      <w:bookmarkStart w:id="417" w:name="_Toc480715241"/>
      <w:bookmarkStart w:id="418" w:name="_Toc1120431"/>
      <w:bookmarkStart w:id="419" w:name="_Toc119413825"/>
      <w:r>
        <w:rPr>
          <w:rFonts w:hint="default" w:ascii="Times New Roman" w:hAnsi="Times New Roman" w:eastAsia="宋体" w:cs="Times New Roman"/>
        </w:rPr>
        <w:t>11.1环境管理</w:t>
      </w:r>
      <w:bookmarkEnd w:id="411"/>
      <w:bookmarkEnd w:id="412"/>
      <w:bookmarkEnd w:id="413"/>
      <w:bookmarkEnd w:id="414"/>
      <w:bookmarkEnd w:id="415"/>
      <w:bookmarkEnd w:id="416"/>
      <w:bookmarkEnd w:id="417"/>
      <w:bookmarkEnd w:id="418"/>
      <w:bookmarkEnd w:id="419"/>
    </w:p>
    <w:p w14:paraId="6E97AF31">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11.1.1环境管理机制</w:t>
      </w:r>
    </w:p>
    <w:p w14:paraId="252AABFA">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项目的环境管理体系可分为管理机构与监督机构。</w:t>
      </w:r>
    </w:p>
    <w:p w14:paraId="034324E1">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（1）环境管理机构</w:t>
      </w:r>
    </w:p>
    <w:p w14:paraId="7D7718C8">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项目建设单位组织设立环境保护专门机构，环境管理要贯彻到生产建设的全过程，纳入企业发展计划，在厂部、车间、班组建立、建全环保岗位，实行主要领导负责制，其主要职责是：</w:t>
      </w:r>
    </w:p>
    <w:p w14:paraId="085F1233">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①贯彻执行国家和地方各项环保方针、政策和法规，制定全厂环境保护制度和细则。</w:t>
      </w:r>
    </w:p>
    <w:p w14:paraId="1150B70C">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②管理项目建设期的扬尘、污水和噪声污染及制定各项环境管理制度；在运营期，定期检查各生产设备的运行状况，减少“跑、冒、滴、漏”现象的发生，保证生产的正常运行；定期检测各治污设备的运行状况，如：除尘设备、污水处理设施等，并建立各治污设备的运行档案，确保各污染处理设施的正常运行，杜绝污染事故的发生。</w:t>
      </w:r>
    </w:p>
    <w:p w14:paraId="456B6084">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③具体制定运营期各污染治理设施的处理工艺技术规范和操作规程，建立各污染源监测制度，按环境监测部门的要求，制定各项化(检)验技术规程，按规定定期对各污染源排放点进行监测，保证处理效果达到设计要求，各污染源达标排放。</w:t>
      </w:r>
    </w:p>
    <w:p w14:paraId="78A12EA5">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④加强宣传教育，不断提高各级管理者和广大企业职工对环境保护的认识水平，定期培训环境管理人员，做到分工明确、责任清晰。</w:t>
      </w:r>
    </w:p>
    <w:p w14:paraId="74B4BD29">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⑤编制突发性环境事故应急处理流程；对突发性环境事故，进行协调处理。</w:t>
      </w:r>
    </w:p>
    <w:p w14:paraId="376873B7">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（2）环境监督机构</w:t>
      </w:r>
    </w:p>
    <w:p w14:paraId="4BA92A72">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衡阳市生态环境局松木分局负责项目环境保护工作实施监督管理：组织和协调有关机构为项目环境保护工作服务，审查环境影响报告书；监督项目环境管理计划的实施；负责项目环境保护设施的竣工验收；确保项目应执行的环境管理法规和标准；指导对项目施工期和营运期的环境监督管理。</w:t>
      </w:r>
    </w:p>
    <w:p w14:paraId="18F500FA">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11.1.2环境管理计划</w:t>
      </w:r>
    </w:p>
    <w:p w14:paraId="756776F2">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（1）施工期环境管理要求</w:t>
      </w:r>
    </w:p>
    <w:p w14:paraId="3D59626A">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①项目各项环保设施的设计、施工计划等必须与主体工程同时进行，并将项目设计和施工计划报送环保主管部门审查；</w:t>
      </w:r>
    </w:p>
    <w:p w14:paraId="4ECA7AA5">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②项目竣工验收时必须提交环保设施竣工验收监测报告，经验收合格并发放合格证，才可以投入使用，进行正式的运转；</w:t>
      </w:r>
    </w:p>
    <w:p w14:paraId="2AB66B30">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（2）运行期环境管理要求</w:t>
      </w:r>
    </w:p>
    <w:p w14:paraId="0CF377AC">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①加强环境监测工作，对废气、废水总排放口要定期进行监测，要有详细的记录。</w:t>
      </w:r>
    </w:p>
    <w:p w14:paraId="25AAF18C">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②企业会同相关</w:t>
      </w:r>
      <w:r>
        <w:rPr>
          <w:rFonts w:hint="eastAsia" w:ascii="Times New Roman" w:hAnsi="Times New Roman" w:cs="Times New Roman"/>
          <w:lang w:eastAsia="zh-CN"/>
        </w:rPr>
        <w:t>生态环境部</w:t>
      </w:r>
      <w:r>
        <w:rPr>
          <w:rFonts w:hint="default" w:ascii="Times New Roman" w:hAnsi="Times New Roman" w:eastAsia="宋体" w:cs="Times New Roman"/>
        </w:rPr>
        <w:t>门对项目所在地环境空气质量、纳污水体水质定期进行监测，并备案。一旦出现水质明显恶化或生态系统不良情况应及时查明原因并进行补救。</w:t>
      </w:r>
    </w:p>
    <w:p w14:paraId="4EB8FD0D">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项目具体环境管理计划见表11.1-1。</w:t>
      </w:r>
    </w:p>
    <w:p w14:paraId="72DA733A">
      <w:pPr>
        <w:pStyle w:val="57"/>
        <w:snapToGrid/>
        <w:spacing w:beforeLines="0"/>
        <w:rPr>
          <w:rFonts w:hint="default" w:ascii="Times New Roman" w:hAnsi="Times New Roman" w:eastAsia="宋体" w:cs="Times New Roman"/>
          <w:color w:val="auto"/>
        </w:rPr>
      </w:pPr>
      <w:r>
        <w:rPr>
          <w:rFonts w:hint="default" w:ascii="Times New Roman" w:hAnsi="Times New Roman" w:eastAsia="宋体" w:cs="Times New Roman"/>
          <w:color w:val="auto"/>
        </w:rPr>
        <w:t>表11.1-1  项目环境管理计划</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05"/>
        <w:gridCol w:w="1483"/>
        <w:gridCol w:w="4617"/>
        <w:gridCol w:w="1817"/>
      </w:tblGrid>
      <w:tr w14:paraId="3DEFE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1225" w:type="pct"/>
            <w:gridSpan w:val="2"/>
            <w:vAlign w:val="center"/>
          </w:tcPr>
          <w:p w14:paraId="74A28EFE">
            <w:pPr>
              <w:keepNext w:val="0"/>
              <w:keepLines w:val="0"/>
              <w:suppressLineNumbers w:val="0"/>
              <w:spacing w:before="60" w:beforeAutospacing="0" w:after="6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类别</w:t>
            </w:r>
          </w:p>
        </w:tc>
        <w:tc>
          <w:tcPr>
            <w:tcW w:w="2709" w:type="pct"/>
            <w:vAlign w:val="center"/>
          </w:tcPr>
          <w:p w14:paraId="09274CC1">
            <w:pPr>
              <w:keepNext w:val="0"/>
              <w:keepLines w:val="0"/>
              <w:suppressLineNumbers w:val="0"/>
              <w:spacing w:before="60" w:beforeAutospacing="0" w:after="6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管理措施</w:t>
            </w:r>
          </w:p>
        </w:tc>
        <w:tc>
          <w:tcPr>
            <w:tcW w:w="1066" w:type="pct"/>
            <w:vAlign w:val="center"/>
          </w:tcPr>
          <w:p w14:paraId="2C38BE40">
            <w:pPr>
              <w:keepNext w:val="0"/>
              <w:keepLines w:val="0"/>
              <w:suppressLineNumbers w:val="0"/>
              <w:spacing w:before="60" w:beforeAutospacing="0" w:after="60" w:afterAutospacing="0"/>
              <w:ind w:left="0" w:right="0"/>
              <w:jc w:val="center"/>
              <w:rPr>
                <w:rFonts w:hint="default" w:ascii="Times New Roman" w:hAnsi="Times New Roman" w:eastAsia="宋体" w:cs="Times New Roman"/>
                <w:b/>
                <w:szCs w:val="21"/>
              </w:rPr>
            </w:pPr>
            <w:r>
              <w:rPr>
                <w:rFonts w:hint="default" w:ascii="Times New Roman" w:hAnsi="Times New Roman" w:eastAsia="宋体" w:cs="Times New Roman"/>
                <w:b/>
                <w:szCs w:val="21"/>
              </w:rPr>
              <w:t>实施机构</w:t>
            </w:r>
          </w:p>
        </w:tc>
      </w:tr>
      <w:tr w14:paraId="306D53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5" w:type="pct"/>
            <w:vAlign w:val="center"/>
          </w:tcPr>
          <w:p w14:paraId="75A91DF2">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870" w:type="pct"/>
            <w:vAlign w:val="center"/>
          </w:tcPr>
          <w:p w14:paraId="3E0BC601">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大气环境</w:t>
            </w:r>
          </w:p>
        </w:tc>
        <w:tc>
          <w:tcPr>
            <w:tcW w:w="2709" w:type="pct"/>
            <w:vMerge w:val="restart"/>
            <w:vAlign w:val="center"/>
          </w:tcPr>
          <w:p w14:paraId="445EABE9">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加强管理，保证各处理设施正常运行。</w:t>
            </w:r>
          </w:p>
        </w:tc>
        <w:tc>
          <w:tcPr>
            <w:tcW w:w="1066" w:type="pct"/>
            <w:vMerge w:val="restart"/>
            <w:vAlign w:val="center"/>
          </w:tcPr>
          <w:p w14:paraId="417D4CC3">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建设单位</w:t>
            </w:r>
          </w:p>
        </w:tc>
      </w:tr>
      <w:tr w14:paraId="481098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5" w:type="pct"/>
            <w:vAlign w:val="center"/>
          </w:tcPr>
          <w:p w14:paraId="7203C74D">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870" w:type="pct"/>
            <w:vAlign w:val="center"/>
          </w:tcPr>
          <w:p w14:paraId="2B8D7CA6">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地表水环境</w:t>
            </w:r>
          </w:p>
        </w:tc>
        <w:tc>
          <w:tcPr>
            <w:tcW w:w="2709" w:type="pct"/>
            <w:vMerge w:val="continue"/>
            <w:vAlign w:val="center"/>
          </w:tcPr>
          <w:p w14:paraId="301B652C">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p>
        </w:tc>
        <w:tc>
          <w:tcPr>
            <w:tcW w:w="1066" w:type="pct"/>
            <w:vMerge w:val="continue"/>
            <w:vAlign w:val="center"/>
          </w:tcPr>
          <w:p w14:paraId="5EFF1D61">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p>
        </w:tc>
      </w:tr>
      <w:tr w14:paraId="61861D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5" w:type="pct"/>
            <w:vAlign w:val="center"/>
          </w:tcPr>
          <w:p w14:paraId="344FF87D">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870" w:type="pct"/>
            <w:vAlign w:val="center"/>
          </w:tcPr>
          <w:p w14:paraId="5541B153">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声环境</w:t>
            </w:r>
          </w:p>
        </w:tc>
        <w:tc>
          <w:tcPr>
            <w:tcW w:w="2709" w:type="pct"/>
            <w:vMerge w:val="continue"/>
            <w:vAlign w:val="center"/>
          </w:tcPr>
          <w:p w14:paraId="0596E30A">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p>
        </w:tc>
        <w:tc>
          <w:tcPr>
            <w:tcW w:w="1066" w:type="pct"/>
            <w:vMerge w:val="continue"/>
            <w:vAlign w:val="center"/>
          </w:tcPr>
          <w:p w14:paraId="43A43100">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p>
        </w:tc>
      </w:tr>
      <w:tr w14:paraId="33E24F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5" w:type="pct"/>
            <w:vAlign w:val="center"/>
          </w:tcPr>
          <w:p w14:paraId="1B89C44A">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870" w:type="pct"/>
            <w:vAlign w:val="center"/>
          </w:tcPr>
          <w:p w14:paraId="21B35651">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固体废物</w:t>
            </w:r>
          </w:p>
        </w:tc>
        <w:tc>
          <w:tcPr>
            <w:tcW w:w="2709" w:type="pct"/>
            <w:vMerge w:val="continue"/>
            <w:vAlign w:val="center"/>
          </w:tcPr>
          <w:p w14:paraId="6D0D01B8">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p>
        </w:tc>
        <w:tc>
          <w:tcPr>
            <w:tcW w:w="1066" w:type="pct"/>
            <w:vMerge w:val="continue"/>
            <w:vAlign w:val="center"/>
          </w:tcPr>
          <w:p w14:paraId="50658EEA">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p>
        </w:tc>
      </w:tr>
      <w:tr w14:paraId="057E3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5" w:type="pct"/>
            <w:vAlign w:val="center"/>
          </w:tcPr>
          <w:p w14:paraId="3F917466">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870" w:type="pct"/>
            <w:vAlign w:val="center"/>
          </w:tcPr>
          <w:p w14:paraId="573E399D">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地下水环境</w:t>
            </w:r>
          </w:p>
        </w:tc>
        <w:tc>
          <w:tcPr>
            <w:tcW w:w="2709" w:type="pct"/>
            <w:vMerge w:val="continue"/>
            <w:vAlign w:val="center"/>
          </w:tcPr>
          <w:p w14:paraId="3BF61853">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p>
        </w:tc>
        <w:tc>
          <w:tcPr>
            <w:tcW w:w="1066" w:type="pct"/>
            <w:vMerge w:val="continue"/>
            <w:vAlign w:val="center"/>
          </w:tcPr>
          <w:p w14:paraId="7448EDCA">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p>
        </w:tc>
      </w:tr>
      <w:tr w14:paraId="28B57E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55" w:type="pct"/>
            <w:vAlign w:val="center"/>
          </w:tcPr>
          <w:p w14:paraId="53426FA4">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6</w:t>
            </w:r>
          </w:p>
        </w:tc>
        <w:tc>
          <w:tcPr>
            <w:tcW w:w="870" w:type="pct"/>
            <w:vAlign w:val="center"/>
          </w:tcPr>
          <w:p w14:paraId="3E24720B">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环境监测</w:t>
            </w:r>
          </w:p>
        </w:tc>
        <w:tc>
          <w:tcPr>
            <w:tcW w:w="2709" w:type="pct"/>
            <w:vAlign w:val="center"/>
          </w:tcPr>
          <w:p w14:paraId="69EE5B4A">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按照环境监测技术规范</w:t>
            </w:r>
          </w:p>
          <w:p w14:paraId="4A7BA3ED">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及生态环境部门颁布的监测标准、方法执行。</w:t>
            </w:r>
          </w:p>
        </w:tc>
        <w:tc>
          <w:tcPr>
            <w:tcW w:w="1066" w:type="pct"/>
            <w:vAlign w:val="center"/>
          </w:tcPr>
          <w:p w14:paraId="31598F3A">
            <w:pPr>
              <w:keepNext w:val="0"/>
              <w:keepLines w:val="0"/>
              <w:suppressLineNumbers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有资质单位</w:t>
            </w:r>
          </w:p>
        </w:tc>
      </w:tr>
    </w:tbl>
    <w:p w14:paraId="51B5D9EA">
      <w:pPr>
        <w:pStyle w:val="4"/>
        <w:spacing w:before="0" w:after="0" w:line="360" w:lineRule="auto"/>
        <w:rPr>
          <w:rFonts w:hint="default" w:ascii="Times New Roman" w:hAnsi="Times New Roman" w:eastAsia="宋体" w:cs="Times New Roman"/>
          <w:sz w:val="28"/>
          <w:u w:val="single"/>
          <w:lang w:val="en-US" w:eastAsia="zh-CN"/>
        </w:rPr>
      </w:pPr>
      <w:bookmarkStart w:id="420" w:name="_Toc264633391"/>
      <w:bookmarkStart w:id="421" w:name="_Toc106961929"/>
      <w:bookmarkStart w:id="422" w:name="_Toc267404159"/>
      <w:bookmarkStart w:id="423" w:name="_Toc33007222"/>
      <w:bookmarkStart w:id="424" w:name="_Toc119413826"/>
      <w:bookmarkStart w:id="425" w:name="_Toc87017035"/>
      <w:bookmarkStart w:id="426" w:name="_Toc480715242"/>
      <w:bookmarkStart w:id="427" w:name="_Toc1120432"/>
      <w:r>
        <w:rPr>
          <w:rFonts w:hint="default" w:ascii="Times New Roman" w:hAnsi="Times New Roman" w:eastAsia="宋体" w:cs="Times New Roman"/>
          <w:sz w:val="28"/>
          <w:u w:val="single"/>
        </w:rPr>
        <w:t>11.1.</w:t>
      </w:r>
      <w:r>
        <w:rPr>
          <w:rFonts w:hint="default" w:ascii="Times New Roman" w:hAnsi="Times New Roman" w:eastAsia="宋体" w:cs="Times New Roman"/>
          <w:sz w:val="28"/>
          <w:u w:val="single"/>
          <w:lang w:val="en-US" w:eastAsia="zh-CN"/>
        </w:rPr>
        <w:t>3与排污许可证的衔接</w:t>
      </w:r>
    </w:p>
    <w:p w14:paraId="1FDA2C0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根据《关于做好环境影响评价制度与排污许可制衔接相关工作的通知》（环办环评[2017]84号）：</w:t>
      </w:r>
    </w:p>
    <w:p w14:paraId="34FCB3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1）环境影响评价制度是建设项目的环境准入门槛，是申请排污许可证的前提和重要依据。排污许可制是企事业单位生产运营期排污的法律依据，是确保环境影响评价提出的污染防治设施和措施落实落地的重要保障。在排污许可管理中，严格按照环境影响报告书以及审批文件要求核发排污许可证，维护环境影响评价的有效性。</w:t>
      </w:r>
    </w:p>
    <w:p w14:paraId="6C12EA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（2）建设项目发生实际排污行为之前，排污单位应当按照国家环境保护相关法律法规以及排污许可证申请与核发技术规范要求申请排污许可证，不得无证排污或不按证排污，建设项目无证排污或不按证排污的， 建设单位不得出具该项目验收合格的意见。验收报告中与污染物排放相关的主要内容应当纳入该项目验收完成当年排污许可证执行年报。排污许可证执行报告、台账记录以及自行监测执行情况等应作为开展建设项目环境影响评价的重要依据。</w:t>
      </w:r>
    </w:p>
    <w:p w14:paraId="46C4C9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8"/>
          <w:u w:val="single"/>
        </w:rPr>
      </w:pPr>
      <w:r>
        <w:rPr>
          <w:rFonts w:hint="default" w:ascii="Times New Roman" w:hAnsi="Times New Roman" w:eastAsia="宋体" w:cs="Times New Roman"/>
          <w:sz w:val="24"/>
          <w:szCs w:val="28"/>
          <w:u w:val="single"/>
        </w:rPr>
        <w:t>（3）对照《固定污染源排污许可分类管理名录（2019 年版）》，本项目属于四十五、生态保护和环境治理业 77、103 环境治理业 772 “专业从事危险废物贮存、利用、处理、处置（含焚烧发电）的，专业从事一般工业固体废物贮存、处置（含焚烧发电）的” 中从事危险废物贮存、利用项目，需要实行排污许可重点管理。建设单位应在取得环评批复后，在启动生产设施或者发生实际排污之前申请取得排污许可证。</w:t>
      </w:r>
    </w:p>
    <w:p w14:paraId="68969895">
      <w:pPr>
        <w:pStyle w:val="3"/>
        <w:spacing w:before="0" w:after="0" w:line="360" w:lineRule="auto"/>
        <w:rPr>
          <w:rFonts w:hint="default" w:ascii="Times New Roman" w:hAnsi="Times New Roman" w:eastAsia="宋体" w:cs="Times New Roman"/>
        </w:rPr>
      </w:pPr>
      <w:bookmarkStart w:id="428" w:name="_Toc3633"/>
      <w:r>
        <w:rPr>
          <w:rFonts w:hint="default" w:ascii="Times New Roman" w:hAnsi="Times New Roman" w:eastAsia="宋体" w:cs="Times New Roman"/>
        </w:rPr>
        <w:t>11.2环境监测计划</w:t>
      </w:r>
      <w:bookmarkEnd w:id="420"/>
      <w:bookmarkEnd w:id="421"/>
      <w:bookmarkEnd w:id="422"/>
      <w:bookmarkEnd w:id="423"/>
      <w:bookmarkEnd w:id="424"/>
      <w:bookmarkEnd w:id="425"/>
      <w:bookmarkEnd w:id="426"/>
      <w:bookmarkEnd w:id="427"/>
      <w:bookmarkEnd w:id="428"/>
    </w:p>
    <w:p w14:paraId="249B7105">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11.2.1环境监测目的</w:t>
      </w:r>
    </w:p>
    <w:p w14:paraId="57CC21C6">
      <w:pPr>
        <w:pStyle w:val="122"/>
        <w:adjustRightInd/>
        <w:snapToGrid/>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环境监测是一项政府行为，也是对环境管理技术的支持。环境监测是企业搞好环境管理，促进污染治理设施正常运行的主要保障。通过定期的环境监测，了解邻近地区的环境质量状况，可以及时发现问题、解决问题，从而有利于监督各项环保措施的落实，并根据监测结果适时调整环境保护计划。</w:t>
      </w:r>
    </w:p>
    <w:p w14:paraId="18CC818B">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11.2.2环境监测机构</w:t>
      </w:r>
    </w:p>
    <w:p w14:paraId="0C3450AB">
      <w:pPr>
        <w:pStyle w:val="122"/>
        <w:adjustRightInd/>
        <w:snapToGrid/>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建议本工程施工期和运营期的环境监测工作委托有相应资质的单位承担，日常的生产例行监测由</w:t>
      </w:r>
      <w:r>
        <w:rPr>
          <w:rFonts w:hint="default" w:ascii="Times New Roman" w:hAnsi="Times New Roman" w:eastAsia="宋体" w:cs="Times New Roman"/>
          <w:kern w:val="0"/>
        </w:rPr>
        <w:t>建设单位</w:t>
      </w:r>
      <w:r>
        <w:rPr>
          <w:rFonts w:hint="default" w:ascii="Times New Roman" w:hAnsi="Times New Roman" w:eastAsia="宋体" w:cs="Times New Roman"/>
        </w:rPr>
        <w:t>负责。</w:t>
      </w:r>
    </w:p>
    <w:p w14:paraId="4CC0B67A">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11.2.3监测计划</w:t>
      </w:r>
    </w:p>
    <w:p w14:paraId="17B8E5D0">
      <w:pPr>
        <w:pStyle w:val="122"/>
        <w:adjustRightInd/>
        <w:snapToGrid/>
        <w:spacing w:line="360" w:lineRule="auto"/>
        <w:ind w:firstLine="480"/>
        <w:rPr>
          <w:rFonts w:hint="default" w:ascii="Times New Roman" w:hAnsi="Times New Roman" w:eastAsia="宋体" w:cs="Times New Roman"/>
        </w:rPr>
      </w:pPr>
      <w:r>
        <w:rPr>
          <w:rFonts w:hint="default" w:ascii="Times New Roman" w:hAnsi="Times New Roman" w:eastAsia="宋体" w:cs="Times New Roman"/>
          <w:szCs w:val="24"/>
        </w:rPr>
        <w:t>进行</w:t>
      </w:r>
      <w:r>
        <w:rPr>
          <w:rFonts w:hint="default" w:ascii="Times New Roman" w:hAnsi="Times New Roman" w:eastAsia="宋体" w:cs="Times New Roman"/>
        </w:rPr>
        <w:t>建设项目时，必须按有关要求设置排污口。</w:t>
      </w:r>
    </w:p>
    <w:p w14:paraId="0DB82494">
      <w:pPr>
        <w:pStyle w:val="122"/>
        <w:adjustRightInd/>
        <w:snapToGrid/>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A、在项目设计时应预埋采样口或采样阀，采样口或采样阀设置要有利于废水的流量测量，并制定采样监测计划，并废水排口附近醒目处应树立环保图形标志牌。</w:t>
      </w:r>
    </w:p>
    <w:p w14:paraId="2C2FC603">
      <w:pPr>
        <w:pStyle w:val="122"/>
        <w:adjustRightInd/>
        <w:snapToGrid/>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B、排气筒均应设置永久采样、监测的采样口和采样监测平台，并在排气筒附近地面醒目处设置环保图形标志牌。</w:t>
      </w:r>
    </w:p>
    <w:p w14:paraId="71BF4E93">
      <w:pPr>
        <w:pStyle w:val="122"/>
        <w:adjustRightInd/>
        <w:snapToGrid/>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C、一般工业固体废物、危险废物和生活垃圾等固体废物，处置前应当有防扬散、防流失、防渗等措施，贮存(堆放)处进出路口应设置标志牌。</w:t>
      </w:r>
    </w:p>
    <w:p w14:paraId="39B0503E">
      <w:pPr>
        <w:pStyle w:val="122"/>
        <w:adjustRightInd/>
        <w:snapToGrid/>
        <w:spacing w:line="360" w:lineRule="auto"/>
        <w:ind w:firstLine="482"/>
        <w:rPr>
          <w:rFonts w:hint="default" w:ascii="Times New Roman" w:hAnsi="Times New Roman" w:eastAsia="宋体" w:cs="Times New Roman"/>
          <w:b/>
        </w:rPr>
      </w:pPr>
      <w:r>
        <w:rPr>
          <w:rFonts w:hint="default" w:ascii="Times New Roman" w:hAnsi="Times New Roman" w:eastAsia="宋体" w:cs="Times New Roman"/>
          <w:b/>
        </w:rPr>
        <w:t>（1）污染源监测</w:t>
      </w:r>
    </w:p>
    <w:p w14:paraId="4B85C98A">
      <w:pPr>
        <w:pStyle w:val="122"/>
        <w:adjustRightInd/>
        <w:snapToGrid/>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根据《排污单位自行监测技术指南总则》（HJ 819-2017）和</w:t>
      </w:r>
      <w:r>
        <w:rPr>
          <w:rFonts w:hint="default" w:ascii="Times New Roman" w:hAnsi="Times New Roman" w:eastAsia="宋体" w:cs="Times New Roman"/>
          <w:szCs w:val="21"/>
        </w:rPr>
        <w:t>《排污许可证申请与核发技术规范 工业固体废物和危险废物治理》（HJ 1033—2019）</w:t>
      </w:r>
      <w:r>
        <w:rPr>
          <w:rFonts w:hint="default" w:ascii="Times New Roman" w:hAnsi="Times New Roman" w:eastAsia="宋体" w:cs="Times New Roman"/>
        </w:rPr>
        <w:t>等相关规范，确定污染源监测计划。</w:t>
      </w:r>
    </w:p>
    <w:p w14:paraId="61D61A5D">
      <w:pPr>
        <w:pStyle w:val="122"/>
        <w:adjustRightInd/>
        <w:snapToGrid/>
        <w:spacing w:line="360" w:lineRule="auto"/>
        <w:ind w:firstLine="480"/>
        <w:rPr>
          <w:rFonts w:hint="default" w:ascii="Times New Roman" w:hAnsi="Times New Roman" w:eastAsia="宋体" w:cs="Times New Roman"/>
          <w:szCs w:val="24"/>
        </w:rPr>
      </w:pPr>
      <w:r>
        <w:rPr>
          <w:rFonts w:hint="default" w:ascii="Times New Roman" w:hAnsi="Times New Roman" w:eastAsia="宋体" w:cs="Times New Roman"/>
          <w:szCs w:val="24"/>
        </w:rPr>
        <w:t>①废气、废水污染源监测</w:t>
      </w:r>
    </w:p>
    <w:p w14:paraId="658D357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废气和废水污染源监测计划见表11.2-1。</w:t>
      </w:r>
    </w:p>
    <w:p w14:paraId="63A2F29D">
      <w:pPr>
        <w:spacing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rPr>
        <w:t>表11.2-1  污染源监测计划一览表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582"/>
        <w:gridCol w:w="1180"/>
        <w:gridCol w:w="17"/>
        <w:gridCol w:w="840"/>
        <w:gridCol w:w="1040"/>
        <w:gridCol w:w="1035"/>
        <w:gridCol w:w="418"/>
        <w:gridCol w:w="1052"/>
        <w:gridCol w:w="2358"/>
      </w:tblGrid>
      <w:tr w14:paraId="001FBB7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42" w:type="pct"/>
            <w:vAlign w:val="center"/>
          </w:tcPr>
          <w:p w14:paraId="28354EFA">
            <w:pPr>
              <w:pStyle w:val="66"/>
              <w:keepNext w:val="0"/>
              <w:keepLines w:val="0"/>
              <w:suppressLineNumbers w:val="0"/>
              <w:spacing w:before="0" w:beforeAutospacing="0" w:after="0" w:afterAutospacing="0"/>
              <w:ind w:left="0" w:right="0"/>
              <w:rPr>
                <w:rFonts w:hint="default" w:ascii="Times New Roman" w:hAnsi="Times New Roman" w:eastAsia="宋体" w:cs="Times New Roman"/>
                <w:b/>
                <w:kern w:val="2"/>
                <w:szCs w:val="22"/>
              </w:rPr>
            </w:pPr>
            <w:r>
              <w:rPr>
                <w:rFonts w:hint="default" w:ascii="Times New Roman" w:hAnsi="Times New Roman" w:eastAsia="宋体" w:cs="Times New Roman"/>
                <w:b/>
              </w:rPr>
              <w:t>序号</w:t>
            </w:r>
          </w:p>
        </w:tc>
        <w:tc>
          <w:tcPr>
            <w:tcW w:w="692" w:type="pct"/>
            <w:vAlign w:val="center"/>
          </w:tcPr>
          <w:p w14:paraId="501E852B">
            <w:pPr>
              <w:pStyle w:val="66"/>
              <w:keepNext w:val="0"/>
              <w:keepLines w:val="0"/>
              <w:suppressLineNumbers w:val="0"/>
              <w:spacing w:before="0" w:beforeAutospacing="0" w:after="0" w:afterAutospacing="0"/>
              <w:ind w:left="0" w:right="0"/>
              <w:rPr>
                <w:rFonts w:hint="default" w:ascii="Times New Roman" w:hAnsi="Times New Roman" w:eastAsia="宋体" w:cs="Times New Roman"/>
                <w:b/>
                <w:kern w:val="2"/>
                <w:szCs w:val="22"/>
              </w:rPr>
            </w:pPr>
            <w:r>
              <w:rPr>
                <w:rFonts w:hint="default" w:ascii="Times New Roman" w:hAnsi="Times New Roman" w:eastAsia="宋体" w:cs="Times New Roman"/>
                <w:b/>
              </w:rPr>
              <w:t>污染源</w:t>
            </w:r>
          </w:p>
        </w:tc>
        <w:tc>
          <w:tcPr>
            <w:tcW w:w="503" w:type="pct"/>
            <w:gridSpan w:val="2"/>
            <w:vAlign w:val="center"/>
          </w:tcPr>
          <w:p w14:paraId="7119B52B">
            <w:pPr>
              <w:pStyle w:val="66"/>
              <w:keepNext w:val="0"/>
              <w:keepLines w:val="0"/>
              <w:suppressLineNumbers w:val="0"/>
              <w:spacing w:before="0" w:beforeAutospacing="0" w:after="0" w:afterAutospacing="0"/>
              <w:ind w:left="0" w:right="0"/>
              <w:rPr>
                <w:rFonts w:hint="default" w:ascii="Times New Roman" w:hAnsi="Times New Roman" w:eastAsia="宋体" w:cs="Times New Roman"/>
                <w:b/>
                <w:kern w:val="2"/>
                <w:szCs w:val="22"/>
              </w:rPr>
            </w:pPr>
            <w:r>
              <w:rPr>
                <w:rFonts w:hint="default" w:ascii="Times New Roman" w:hAnsi="Times New Roman" w:eastAsia="宋体" w:cs="Times New Roman"/>
                <w:b/>
              </w:rPr>
              <w:t>监测点位</w:t>
            </w:r>
          </w:p>
        </w:tc>
        <w:tc>
          <w:tcPr>
            <w:tcW w:w="610" w:type="pct"/>
            <w:vAlign w:val="center"/>
          </w:tcPr>
          <w:p w14:paraId="08B3210F">
            <w:pPr>
              <w:pStyle w:val="66"/>
              <w:keepNext w:val="0"/>
              <w:keepLines w:val="0"/>
              <w:suppressLineNumbers w:val="0"/>
              <w:spacing w:before="0" w:beforeAutospacing="0" w:after="0" w:afterAutospacing="0"/>
              <w:ind w:left="0" w:right="0"/>
              <w:rPr>
                <w:rFonts w:hint="default" w:ascii="Times New Roman" w:hAnsi="Times New Roman" w:eastAsia="宋体" w:cs="Times New Roman"/>
                <w:b/>
                <w:kern w:val="2"/>
                <w:szCs w:val="22"/>
              </w:rPr>
            </w:pPr>
            <w:r>
              <w:rPr>
                <w:rFonts w:hint="default" w:ascii="Times New Roman" w:hAnsi="Times New Roman" w:eastAsia="宋体" w:cs="Times New Roman"/>
                <w:b/>
              </w:rPr>
              <w:t>排放口类型</w:t>
            </w:r>
          </w:p>
        </w:tc>
        <w:tc>
          <w:tcPr>
            <w:tcW w:w="607" w:type="pct"/>
            <w:vAlign w:val="center"/>
          </w:tcPr>
          <w:p w14:paraId="218A8265">
            <w:pPr>
              <w:pStyle w:val="66"/>
              <w:keepNext w:val="0"/>
              <w:keepLines w:val="0"/>
              <w:suppressLineNumbers w:val="0"/>
              <w:spacing w:before="0" w:beforeAutospacing="0" w:after="0" w:afterAutospacing="0"/>
              <w:ind w:left="0" w:right="0"/>
              <w:rPr>
                <w:rFonts w:hint="default" w:ascii="Times New Roman" w:hAnsi="Times New Roman" w:eastAsia="宋体" w:cs="Times New Roman"/>
                <w:b/>
                <w:kern w:val="2"/>
                <w:szCs w:val="22"/>
              </w:rPr>
            </w:pPr>
            <w:r>
              <w:rPr>
                <w:rFonts w:hint="default" w:ascii="Times New Roman" w:hAnsi="Times New Roman" w:eastAsia="宋体" w:cs="Times New Roman"/>
                <w:b/>
              </w:rPr>
              <w:t>监测频次</w:t>
            </w:r>
          </w:p>
        </w:tc>
        <w:tc>
          <w:tcPr>
            <w:tcW w:w="860" w:type="pct"/>
            <w:gridSpan w:val="2"/>
            <w:vAlign w:val="center"/>
          </w:tcPr>
          <w:p w14:paraId="51A0FC7A">
            <w:pPr>
              <w:pStyle w:val="66"/>
              <w:keepNext w:val="0"/>
              <w:keepLines w:val="0"/>
              <w:suppressLineNumbers w:val="0"/>
              <w:spacing w:before="0" w:beforeAutospacing="0" w:after="0" w:afterAutospacing="0"/>
              <w:ind w:left="0" w:right="0"/>
              <w:rPr>
                <w:rFonts w:hint="default" w:ascii="Times New Roman" w:hAnsi="Times New Roman" w:eastAsia="宋体" w:cs="Times New Roman"/>
                <w:b/>
                <w:kern w:val="2"/>
                <w:szCs w:val="22"/>
              </w:rPr>
            </w:pPr>
            <w:r>
              <w:rPr>
                <w:rFonts w:hint="default" w:ascii="Times New Roman" w:hAnsi="Times New Roman" w:eastAsia="宋体" w:cs="Times New Roman"/>
                <w:b/>
              </w:rPr>
              <w:t>监测因子</w:t>
            </w:r>
          </w:p>
        </w:tc>
        <w:tc>
          <w:tcPr>
            <w:tcW w:w="1383" w:type="pct"/>
            <w:vAlign w:val="center"/>
          </w:tcPr>
          <w:p w14:paraId="6840CEC7">
            <w:pPr>
              <w:pStyle w:val="66"/>
              <w:keepNext w:val="0"/>
              <w:keepLines w:val="0"/>
              <w:suppressLineNumbers w:val="0"/>
              <w:spacing w:before="0" w:beforeAutospacing="0" w:after="0" w:afterAutospacing="0"/>
              <w:ind w:left="0" w:right="0"/>
              <w:rPr>
                <w:rFonts w:hint="default" w:ascii="Times New Roman" w:hAnsi="Times New Roman" w:eastAsia="宋体" w:cs="Times New Roman"/>
                <w:b/>
                <w:kern w:val="2"/>
                <w:szCs w:val="22"/>
              </w:rPr>
            </w:pPr>
            <w:r>
              <w:rPr>
                <w:rFonts w:hint="default" w:ascii="Times New Roman" w:hAnsi="Times New Roman" w:eastAsia="宋体" w:cs="Times New Roman"/>
                <w:b/>
              </w:rPr>
              <w:t>污染控制标准</w:t>
            </w:r>
          </w:p>
        </w:tc>
      </w:tr>
      <w:tr w14:paraId="1B4D13C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136" w:hRule="atLeast"/>
        </w:trPr>
        <w:tc>
          <w:tcPr>
            <w:tcW w:w="342" w:type="pct"/>
            <w:vMerge w:val="restart"/>
            <w:vAlign w:val="center"/>
          </w:tcPr>
          <w:p w14:paraId="11784B9A">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1</w:t>
            </w:r>
          </w:p>
        </w:tc>
        <w:tc>
          <w:tcPr>
            <w:tcW w:w="692" w:type="pct"/>
            <w:vMerge w:val="restart"/>
            <w:vAlign w:val="center"/>
          </w:tcPr>
          <w:p w14:paraId="2F415EE0">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RCO催化燃烧装置15m排气筒</w:t>
            </w:r>
          </w:p>
        </w:tc>
        <w:tc>
          <w:tcPr>
            <w:tcW w:w="503" w:type="pct"/>
            <w:gridSpan w:val="2"/>
            <w:vMerge w:val="restart"/>
            <w:vAlign w:val="center"/>
          </w:tcPr>
          <w:p w14:paraId="4CCBD508">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DA001</w:t>
            </w:r>
          </w:p>
          <w:p w14:paraId="19C6E006">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出口</w:t>
            </w:r>
          </w:p>
        </w:tc>
        <w:tc>
          <w:tcPr>
            <w:tcW w:w="610" w:type="pct"/>
            <w:vMerge w:val="restart"/>
            <w:vAlign w:val="center"/>
          </w:tcPr>
          <w:p w14:paraId="716C8D00">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一般排放口</w:t>
            </w:r>
          </w:p>
        </w:tc>
        <w:tc>
          <w:tcPr>
            <w:tcW w:w="607" w:type="pct"/>
            <w:vMerge w:val="restart"/>
            <w:vAlign w:val="center"/>
          </w:tcPr>
          <w:p w14:paraId="0075D601">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1次/半年</w:t>
            </w:r>
          </w:p>
        </w:tc>
        <w:tc>
          <w:tcPr>
            <w:tcW w:w="860" w:type="pct"/>
            <w:gridSpan w:val="2"/>
            <w:vAlign w:val="center"/>
          </w:tcPr>
          <w:p w14:paraId="4977E598">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VOCs</w:t>
            </w:r>
          </w:p>
        </w:tc>
        <w:tc>
          <w:tcPr>
            <w:tcW w:w="1383" w:type="pct"/>
            <w:vMerge w:val="restart"/>
            <w:vAlign w:val="center"/>
          </w:tcPr>
          <w:p w14:paraId="0628047C">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《大气污染物综合排放标准》（GB8978-1996）表2标准</w:t>
            </w:r>
          </w:p>
        </w:tc>
      </w:tr>
      <w:tr w14:paraId="5FB702B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5" w:hRule="atLeast"/>
        </w:trPr>
        <w:tc>
          <w:tcPr>
            <w:tcW w:w="342" w:type="pct"/>
            <w:vMerge w:val="continue"/>
            <w:vAlign w:val="center"/>
          </w:tcPr>
          <w:p w14:paraId="2EB55540">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692" w:type="pct"/>
            <w:vMerge w:val="continue"/>
            <w:vAlign w:val="center"/>
          </w:tcPr>
          <w:p w14:paraId="49F37BB7">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03" w:type="pct"/>
            <w:gridSpan w:val="2"/>
            <w:vMerge w:val="continue"/>
            <w:vAlign w:val="center"/>
          </w:tcPr>
          <w:p w14:paraId="560F8742">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610" w:type="pct"/>
            <w:vMerge w:val="continue"/>
            <w:vAlign w:val="center"/>
          </w:tcPr>
          <w:p w14:paraId="4F4C539F">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607" w:type="pct"/>
            <w:vMerge w:val="continue"/>
            <w:vAlign w:val="center"/>
          </w:tcPr>
          <w:p w14:paraId="66326FB3">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860" w:type="pct"/>
            <w:gridSpan w:val="2"/>
            <w:vAlign w:val="center"/>
          </w:tcPr>
          <w:p w14:paraId="156BBF96">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苯</w:t>
            </w:r>
          </w:p>
          <w:p w14:paraId="66CECF14">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甲苯</w:t>
            </w:r>
          </w:p>
          <w:p w14:paraId="4E4CEBD5">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二甲苯</w:t>
            </w:r>
          </w:p>
        </w:tc>
        <w:tc>
          <w:tcPr>
            <w:tcW w:w="1383" w:type="pct"/>
            <w:vMerge w:val="continue"/>
            <w:vAlign w:val="center"/>
          </w:tcPr>
          <w:p w14:paraId="64382170">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p>
        </w:tc>
      </w:tr>
      <w:tr w14:paraId="7A3EFD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955" w:hRule="atLeast"/>
        </w:trPr>
        <w:tc>
          <w:tcPr>
            <w:tcW w:w="342" w:type="pct"/>
            <w:vMerge w:val="restart"/>
            <w:vAlign w:val="center"/>
          </w:tcPr>
          <w:p w14:paraId="77ECD851">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2</w:t>
            </w:r>
          </w:p>
        </w:tc>
        <w:tc>
          <w:tcPr>
            <w:tcW w:w="692" w:type="pct"/>
            <w:vMerge w:val="restart"/>
            <w:vAlign w:val="center"/>
          </w:tcPr>
          <w:p w14:paraId="7D41A542">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UV光解+活性炭吸附装置15m排气筒</w:t>
            </w:r>
          </w:p>
        </w:tc>
        <w:tc>
          <w:tcPr>
            <w:tcW w:w="503" w:type="pct"/>
            <w:gridSpan w:val="2"/>
            <w:vMerge w:val="restart"/>
            <w:vAlign w:val="center"/>
          </w:tcPr>
          <w:p w14:paraId="5B206685">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DA002</w:t>
            </w:r>
          </w:p>
          <w:p w14:paraId="630C3A72">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出口</w:t>
            </w:r>
          </w:p>
        </w:tc>
        <w:tc>
          <w:tcPr>
            <w:tcW w:w="610" w:type="pct"/>
            <w:vMerge w:val="restart"/>
            <w:vAlign w:val="center"/>
          </w:tcPr>
          <w:p w14:paraId="47082D86">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一般排放口</w:t>
            </w:r>
          </w:p>
        </w:tc>
        <w:tc>
          <w:tcPr>
            <w:tcW w:w="607" w:type="pct"/>
            <w:vMerge w:val="restart"/>
            <w:vAlign w:val="center"/>
          </w:tcPr>
          <w:p w14:paraId="2A34BB03">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1次/半年</w:t>
            </w:r>
          </w:p>
        </w:tc>
        <w:tc>
          <w:tcPr>
            <w:tcW w:w="860" w:type="pct"/>
            <w:gridSpan w:val="2"/>
            <w:tcBorders>
              <w:bottom w:val="single" w:color="auto" w:sz="4" w:space="0"/>
            </w:tcBorders>
            <w:vAlign w:val="center"/>
          </w:tcPr>
          <w:p w14:paraId="5BC19F45">
            <w:pPr>
              <w:pStyle w:val="66"/>
              <w:keepNext w:val="0"/>
              <w:keepLines w:val="0"/>
              <w:suppressLineNumbers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eastAsia="宋体" w:cs="Times New Roman"/>
              </w:rPr>
              <w:t>VOCs</w:t>
            </w:r>
          </w:p>
        </w:tc>
        <w:tc>
          <w:tcPr>
            <w:tcW w:w="1383" w:type="pct"/>
            <w:vMerge w:val="restart"/>
            <w:vAlign w:val="center"/>
          </w:tcPr>
          <w:p w14:paraId="0C4F0D9F">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《大气污染物综合排放标准》（GB8978-1996）表2标准</w:t>
            </w:r>
          </w:p>
        </w:tc>
      </w:tr>
      <w:tr w14:paraId="2DBE363A">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1" w:hRule="atLeast"/>
        </w:trPr>
        <w:tc>
          <w:tcPr>
            <w:tcW w:w="342" w:type="pct"/>
            <w:vMerge w:val="continue"/>
            <w:vAlign w:val="center"/>
          </w:tcPr>
          <w:p w14:paraId="3FD7F359">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692" w:type="pct"/>
            <w:vMerge w:val="continue"/>
            <w:vAlign w:val="center"/>
          </w:tcPr>
          <w:p w14:paraId="0172AC23">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503" w:type="pct"/>
            <w:gridSpan w:val="2"/>
            <w:vMerge w:val="continue"/>
            <w:vAlign w:val="center"/>
          </w:tcPr>
          <w:p w14:paraId="14277AB8">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610" w:type="pct"/>
            <w:vMerge w:val="continue"/>
            <w:vAlign w:val="center"/>
          </w:tcPr>
          <w:p w14:paraId="397D7156">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607" w:type="pct"/>
            <w:vMerge w:val="continue"/>
            <w:vAlign w:val="center"/>
          </w:tcPr>
          <w:p w14:paraId="5C2492F4">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p>
        </w:tc>
        <w:tc>
          <w:tcPr>
            <w:tcW w:w="860" w:type="pct"/>
            <w:gridSpan w:val="2"/>
            <w:tcBorders>
              <w:top w:val="single" w:color="auto" w:sz="4" w:space="0"/>
            </w:tcBorders>
            <w:vAlign w:val="center"/>
          </w:tcPr>
          <w:p w14:paraId="384C6D16">
            <w:pPr>
              <w:pStyle w:val="66"/>
              <w:keepNext w:val="0"/>
              <w:keepLines w:val="0"/>
              <w:suppressLineNumbers w:val="0"/>
              <w:spacing w:before="0" w:beforeAutospacing="0" w:after="0" w:afterAutospacing="0"/>
              <w:ind w:left="0" w:right="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硫酸雾</w:t>
            </w:r>
          </w:p>
        </w:tc>
        <w:tc>
          <w:tcPr>
            <w:tcW w:w="1383" w:type="pct"/>
            <w:vMerge w:val="continue"/>
            <w:vAlign w:val="center"/>
          </w:tcPr>
          <w:p w14:paraId="5A02E085">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p>
        </w:tc>
      </w:tr>
      <w:tr w14:paraId="3175253B">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1486" w:hRule="atLeast"/>
        </w:trPr>
        <w:tc>
          <w:tcPr>
            <w:tcW w:w="342" w:type="pct"/>
            <w:vAlign w:val="center"/>
          </w:tcPr>
          <w:p w14:paraId="1FA2C088">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3</w:t>
            </w:r>
          </w:p>
        </w:tc>
        <w:tc>
          <w:tcPr>
            <w:tcW w:w="692" w:type="pct"/>
            <w:vAlign w:val="center"/>
          </w:tcPr>
          <w:p w14:paraId="6E97FAB5">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生产废水</w:t>
            </w:r>
          </w:p>
        </w:tc>
        <w:tc>
          <w:tcPr>
            <w:tcW w:w="503" w:type="pct"/>
            <w:gridSpan w:val="2"/>
            <w:vAlign w:val="center"/>
          </w:tcPr>
          <w:p w14:paraId="2B95F056">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废水总排放量</w:t>
            </w:r>
          </w:p>
        </w:tc>
        <w:tc>
          <w:tcPr>
            <w:tcW w:w="610" w:type="pct"/>
            <w:vAlign w:val="center"/>
          </w:tcPr>
          <w:p w14:paraId="23CE3194">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一般排放口</w:t>
            </w:r>
          </w:p>
        </w:tc>
        <w:tc>
          <w:tcPr>
            <w:tcW w:w="607" w:type="pct"/>
            <w:vAlign w:val="center"/>
          </w:tcPr>
          <w:p w14:paraId="5BFB9613">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手动监测，</w:t>
            </w:r>
          </w:p>
          <w:p w14:paraId="53675BF3">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1次/季度</w:t>
            </w:r>
          </w:p>
        </w:tc>
        <w:tc>
          <w:tcPr>
            <w:tcW w:w="860" w:type="pct"/>
            <w:gridSpan w:val="2"/>
            <w:vAlign w:val="center"/>
          </w:tcPr>
          <w:p w14:paraId="3A6C1C2A">
            <w:pPr>
              <w:pStyle w:val="66"/>
              <w:keepNext w:val="0"/>
              <w:keepLines w:val="0"/>
              <w:suppressLineNumbers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pH、COD、BOD、苯、甲苯、石油类、LAS、SS</w:t>
            </w:r>
          </w:p>
        </w:tc>
        <w:tc>
          <w:tcPr>
            <w:tcW w:w="1383" w:type="pct"/>
            <w:vAlign w:val="center"/>
          </w:tcPr>
          <w:p w14:paraId="14D0A8EF">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rPr>
            </w:pPr>
            <w:r>
              <w:rPr>
                <w:rFonts w:hint="default" w:ascii="Times New Roman" w:hAnsi="Times New Roman" w:eastAsia="宋体" w:cs="Times New Roman"/>
              </w:rPr>
              <w:t>《污水综合排放标准》</w:t>
            </w:r>
          </w:p>
          <w:p w14:paraId="4D482CCB">
            <w:pPr>
              <w:pStyle w:val="66"/>
              <w:keepNext w:val="0"/>
              <w:keepLines w:val="0"/>
              <w:suppressLineNumbers w:val="0"/>
              <w:snapToGrid w:val="0"/>
              <w:spacing w:before="0" w:beforeAutospacing="0" w:after="0" w:afterAutospacing="0"/>
              <w:ind w:left="0" w:right="0"/>
              <w:rPr>
                <w:rFonts w:hint="eastAsia" w:ascii="Times New Roman" w:hAnsi="Times New Roman" w:eastAsia="宋体" w:cs="Times New Roman"/>
                <w:lang w:val="en-US" w:eastAsia="zh-CN"/>
              </w:rPr>
            </w:pPr>
            <w:r>
              <w:rPr>
                <w:rFonts w:hint="default" w:ascii="Times New Roman" w:hAnsi="Times New Roman" w:eastAsia="宋体" w:cs="Times New Roman"/>
              </w:rPr>
              <w:t>（GB8978-1996）表4中三级标准</w:t>
            </w:r>
            <w:r>
              <w:rPr>
                <w:rFonts w:hint="eastAsia" w:cs="Times New Roman"/>
                <w:lang w:val="en-US" w:eastAsia="zh-CN"/>
              </w:rPr>
              <w:t>和松木污水处理厂进水水质要求</w:t>
            </w:r>
          </w:p>
        </w:tc>
      </w:tr>
      <w:tr w14:paraId="15B98E84">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3616" w:type="pct"/>
            <w:gridSpan w:val="8"/>
            <w:vAlign w:val="center"/>
          </w:tcPr>
          <w:p w14:paraId="00949CA4">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废气无组织排放</w:t>
            </w:r>
          </w:p>
        </w:tc>
        <w:tc>
          <w:tcPr>
            <w:tcW w:w="1383" w:type="pct"/>
            <w:vMerge w:val="restart"/>
            <w:vAlign w:val="center"/>
          </w:tcPr>
          <w:p w14:paraId="5F64B187">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kern w:val="2"/>
                <w:szCs w:val="22"/>
              </w:rPr>
              <w:t>同上</w:t>
            </w:r>
          </w:p>
        </w:tc>
      </w:tr>
      <w:tr w14:paraId="2E978AC5">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1044" w:type="pct"/>
            <w:gridSpan w:val="3"/>
            <w:vAlign w:val="center"/>
          </w:tcPr>
          <w:p w14:paraId="6F433756">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厂界</w:t>
            </w:r>
          </w:p>
        </w:tc>
        <w:tc>
          <w:tcPr>
            <w:tcW w:w="1955" w:type="pct"/>
            <w:gridSpan w:val="4"/>
            <w:vAlign w:val="center"/>
          </w:tcPr>
          <w:p w14:paraId="14B97FBC">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1"/>
                <w:lang w:eastAsia="zh-CN"/>
              </w:rPr>
            </w:pPr>
            <w:r>
              <w:rPr>
                <w:rFonts w:hint="default" w:ascii="Times New Roman" w:hAnsi="Times New Roman" w:eastAsia="宋体" w:cs="Times New Roman"/>
              </w:rPr>
              <w:t>VOCs、苯、甲苯、二甲苯、氨、硫化氢、臭气浓度</w:t>
            </w:r>
            <w:r>
              <w:rPr>
                <w:rFonts w:hint="default" w:ascii="Times New Roman" w:hAnsi="Times New Roman" w:eastAsia="宋体" w:cs="Times New Roman"/>
                <w:lang w:eastAsia="zh-CN"/>
              </w:rPr>
              <w:t>、</w:t>
            </w:r>
            <w:r>
              <w:rPr>
                <w:rFonts w:hint="default" w:ascii="Times New Roman" w:hAnsi="Times New Roman" w:eastAsia="宋体" w:cs="Times New Roman"/>
                <w:lang w:val="en-US" w:eastAsia="zh-CN"/>
              </w:rPr>
              <w:t>硫酸雾</w:t>
            </w:r>
          </w:p>
        </w:tc>
        <w:tc>
          <w:tcPr>
            <w:tcW w:w="616" w:type="pct"/>
            <w:vAlign w:val="center"/>
          </w:tcPr>
          <w:p w14:paraId="4BD4CE0B">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1"/>
              </w:rPr>
            </w:pPr>
            <w:r>
              <w:rPr>
                <w:rFonts w:hint="default" w:ascii="Times New Roman" w:hAnsi="Times New Roman" w:eastAsia="宋体" w:cs="Times New Roman"/>
                <w:szCs w:val="21"/>
              </w:rPr>
              <w:t>1次/半年</w:t>
            </w:r>
          </w:p>
        </w:tc>
        <w:tc>
          <w:tcPr>
            <w:tcW w:w="1383" w:type="pct"/>
            <w:vMerge w:val="continue"/>
            <w:vAlign w:val="center"/>
          </w:tcPr>
          <w:p w14:paraId="07BC6662">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p>
        </w:tc>
      </w:tr>
    </w:tbl>
    <w:p w14:paraId="54DAC34D">
      <w:pPr>
        <w:pStyle w:val="122"/>
        <w:ind w:firstLine="480"/>
        <w:rPr>
          <w:rFonts w:hint="default" w:ascii="Times New Roman" w:hAnsi="Times New Roman" w:eastAsia="宋体" w:cs="Times New Roman"/>
        </w:rPr>
      </w:pPr>
      <w:r>
        <w:rPr>
          <w:rFonts w:hint="default" w:ascii="Times New Roman" w:hAnsi="Times New Roman" w:eastAsia="宋体" w:cs="Times New Roman"/>
        </w:rPr>
        <w:t>②噪声监测</w:t>
      </w:r>
    </w:p>
    <w:p w14:paraId="51FE04C2">
      <w:pPr>
        <w:pStyle w:val="57"/>
        <w:spacing w:before="156"/>
        <w:rPr>
          <w:rFonts w:hint="default" w:ascii="Times New Roman" w:hAnsi="Times New Roman" w:eastAsia="宋体" w:cs="Times New Roman"/>
          <w:color w:val="auto"/>
        </w:rPr>
      </w:pPr>
      <w:r>
        <w:rPr>
          <w:rFonts w:hint="default" w:ascii="Times New Roman" w:hAnsi="Times New Roman" w:eastAsia="宋体" w:cs="Times New Roman"/>
          <w:color w:val="auto"/>
        </w:rPr>
        <w:t>表11.2-2  噪声污染源监测计划一览表</w:t>
      </w:r>
    </w:p>
    <w:tbl>
      <w:tblPr>
        <w:tblStyle w:val="32"/>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965"/>
        <w:gridCol w:w="1761"/>
        <w:gridCol w:w="1145"/>
        <w:gridCol w:w="1081"/>
        <w:gridCol w:w="1067"/>
        <w:gridCol w:w="1174"/>
        <w:gridCol w:w="1329"/>
      </w:tblGrid>
      <w:tr w14:paraId="7779B9F9">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66" w:type="pct"/>
            <w:vAlign w:val="center"/>
          </w:tcPr>
          <w:p w14:paraId="05546327">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阶段</w:t>
            </w:r>
          </w:p>
        </w:tc>
        <w:tc>
          <w:tcPr>
            <w:tcW w:w="1033" w:type="pct"/>
            <w:vAlign w:val="center"/>
          </w:tcPr>
          <w:p w14:paraId="3B2CAAA3">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监测地点</w:t>
            </w:r>
          </w:p>
        </w:tc>
        <w:tc>
          <w:tcPr>
            <w:tcW w:w="672" w:type="pct"/>
            <w:vAlign w:val="center"/>
          </w:tcPr>
          <w:p w14:paraId="27939E05">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监测项目</w:t>
            </w:r>
          </w:p>
        </w:tc>
        <w:tc>
          <w:tcPr>
            <w:tcW w:w="634" w:type="pct"/>
            <w:vAlign w:val="center"/>
          </w:tcPr>
          <w:p w14:paraId="2EEE96AD">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监测频率</w:t>
            </w:r>
          </w:p>
        </w:tc>
        <w:tc>
          <w:tcPr>
            <w:tcW w:w="626" w:type="pct"/>
            <w:vAlign w:val="center"/>
          </w:tcPr>
          <w:p w14:paraId="37B460DB">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监测时间</w:t>
            </w:r>
          </w:p>
        </w:tc>
        <w:tc>
          <w:tcPr>
            <w:tcW w:w="689" w:type="pct"/>
            <w:vAlign w:val="center"/>
          </w:tcPr>
          <w:p w14:paraId="66A2FB43">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采样时间</w:t>
            </w:r>
          </w:p>
        </w:tc>
        <w:tc>
          <w:tcPr>
            <w:tcW w:w="781" w:type="pct"/>
            <w:vAlign w:val="center"/>
          </w:tcPr>
          <w:p w14:paraId="4333384A">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实施机构</w:t>
            </w:r>
          </w:p>
        </w:tc>
      </w:tr>
      <w:tr w14:paraId="5657460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c>
          <w:tcPr>
            <w:tcW w:w="566" w:type="pct"/>
            <w:vAlign w:val="center"/>
          </w:tcPr>
          <w:p w14:paraId="49A10767">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营运期</w:t>
            </w:r>
          </w:p>
        </w:tc>
        <w:tc>
          <w:tcPr>
            <w:tcW w:w="1033" w:type="pct"/>
            <w:vAlign w:val="center"/>
          </w:tcPr>
          <w:p w14:paraId="084DBBC9">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厂界外1m（四周各布设1个点）</w:t>
            </w:r>
          </w:p>
        </w:tc>
        <w:tc>
          <w:tcPr>
            <w:tcW w:w="672" w:type="pct"/>
            <w:vAlign w:val="center"/>
          </w:tcPr>
          <w:p w14:paraId="790924F2">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噪声</w:t>
            </w:r>
          </w:p>
        </w:tc>
        <w:tc>
          <w:tcPr>
            <w:tcW w:w="634" w:type="pct"/>
            <w:vAlign w:val="center"/>
          </w:tcPr>
          <w:p w14:paraId="17157A9C">
            <w:pPr>
              <w:pStyle w:val="66"/>
              <w:keepNext w:val="0"/>
              <w:keepLines w:val="0"/>
              <w:suppressLineNumbers w:val="0"/>
              <w:spacing w:before="0" w:beforeAutospacing="0" w:after="0" w:afterAutospacing="0"/>
              <w:ind w:left="0" w:right="0"/>
              <w:rPr>
                <w:rFonts w:hint="eastAsia" w:ascii="Times New Roman" w:hAnsi="Times New Roman" w:eastAsia="宋体" w:cs="Times New Roman"/>
                <w:kern w:val="2"/>
                <w:szCs w:val="22"/>
                <w:lang w:eastAsia="zh-CN"/>
              </w:rPr>
            </w:pPr>
            <w:r>
              <w:rPr>
                <w:rFonts w:hint="default" w:ascii="Times New Roman" w:hAnsi="Times New Roman" w:eastAsia="宋体" w:cs="Times New Roman"/>
                <w:szCs w:val="21"/>
              </w:rPr>
              <w:t>1次/</w:t>
            </w:r>
            <w:r>
              <w:rPr>
                <w:rFonts w:hint="eastAsia" w:cs="Times New Roman"/>
                <w:szCs w:val="21"/>
                <w:lang w:val="en-US" w:eastAsia="zh-CN"/>
              </w:rPr>
              <w:t>季度</w:t>
            </w:r>
          </w:p>
        </w:tc>
        <w:tc>
          <w:tcPr>
            <w:tcW w:w="626" w:type="pct"/>
            <w:vAlign w:val="center"/>
          </w:tcPr>
          <w:p w14:paraId="235C607D">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1天</w:t>
            </w:r>
          </w:p>
        </w:tc>
        <w:tc>
          <w:tcPr>
            <w:tcW w:w="689" w:type="pct"/>
            <w:vAlign w:val="center"/>
          </w:tcPr>
          <w:p w14:paraId="353BA193">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昼、夜各一次</w:t>
            </w:r>
          </w:p>
        </w:tc>
        <w:tc>
          <w:tcPr>
            <w:tcW w:w="781" w:type="pct"/>
            <w:vAlign w:val="center"/>
          </w:tcPr>
          <w:p w14:paraId="3413F47B">
            <w:pPr>
              <w:pStyle w:val="66"/>
              <w:keepNext w:val="0"/>
              <w:keepLines w:val="0"/>
              <w:suppressLineNumbers w:val="0"/>
              <w:spacing w:before="0" w:beforeAutospacing="0" w:after="0" w:afterAutospacing="0"/>
              <w:ind w:left="0" w:right="0"/>
              <w:rPr>
                <w:rFonts w:hint="default" w:ascii="Times New Roman" w:hAnsi="Times New Roman" w:eastAsia="宋体" w:cs="Times New Roman"/>
                <w:kern w:val="2"/>
                <w:szCs w:val="22"/>
              </w:rPr>
            </w:pPr>
            <w:r>
              <w:rPr>
                <w:rFonts w:hint="default" w:ascii="Times New Roman" w:hAnsi="Times New Roman" w:eastAsia="宋体" w:cs="Times New Roman"/>
              </w:rPr>
              <w:t>建设单位</w:t>
            </w:r>
          </w:p>
        </w:tc>
      </w:tr>
    </w:tbl>
    <w:p w14:paraId="77CD97F6">
      <w:pPr>
        <w:pStyle w:val="122"/>
        <w:adjustRightInd/>
        <w:snapToGrid/>
        <w:spacing w:line="360" w:lineRule="auto"/>
        <w:ind w:firstLine="482"/>
        <w:rPr>
          <w:rFonts w:hint="default" w:ascii="Times New Roman" w:hAnsi="Times New Roman" w:eastAsia="宋体" w:cs="Times New Roman"/>
          <w:b/>
          <w:u w:val="single"/>
        </w:rPr>
      </w:pPr>
      <w:r>
        <w:rPr>
          <w:rFonts w:hint="default" w:ascii="Times New Roman" w:hAnsi="Times New Roman" w:eastAsia="宋体" w:cs="Times New Roman"/>
          <w:b/>
          <w:u w:val="single"/>
        </w:rPr>
        <w:t>（2）环境质量监测</w:t>
      </w:r>
    </w:p>
    <w:p w14:paraId="4AD430F6">
      <w:pPr>
        <w:spacing w:line="360" w:lineRule="auto"/>
        <w:ind w:firstLine="420" w:firstLineChars="200"/>
        <w:rPr>
          <w:rFonts w:hint="default" w:ascii="Times New Roman" w:hAnsi="Times New Roman" w:eastAsia="宋体" w:cs="Times New Roman"/>
          <w:b/>
          <w:u w:val="single"/>
          <w:lang w:eastAsia="zh-CN"/>
        </w:rPr>
      </w:pPr>
      <w:r>
        <w:rPr>
          <w:rFonts w:hint="default" w:ascii="Times New Roman" w:hAnsi="Times New Roman" w:eastAsia="宋体" w:cs="Times New Roman"/>
          <w:u w:val="single"/>
        </w:rPr>
        <w:t>根据</w:t>
      </w:r>
      <w:r>
        <w:rPr>
          <w:rFonts w:hint="default" w:ascii="Times New Roman" w:hAnsi="Times New Roman" w:eastAsia="宋体" w:cs="Times New Roman"/>
          <w:sz w:val="24"/>
          <w:szCs w:val="24"/>
          <w:u w:val="single"/>
        </w:rPr>
        <w:t>《环境影响评价技术导则 地下水环境》（HJ610-2016）</w:t>
      </w:r>
      <w:r>
        <w:rPr>
          <w:rFonts w:hint="default" w:ascii="Times New Roman" w:hAnsi="Times New Roman" w:eastAsia="宋体" w:cs="Times New Roman"/>
          <w:sz w:val="24"/>
          <w:szCs w:val="24"/>
          <w:u w:val="single"/>
          <w:lang w:eastAsia="zh-CN"/>
        </w:rPr>
        <w:t>、</w:t>
      </w:r>
      <w:r>
        <w:rPr>
          <w:rFonts w:hint="default" w:ascii="Times New Roman" w:hAnsi="Times New Roman" w:eastAsia="宋体" w:cs="Times New Roman"/>
          <w:sz w:val="24"/>
          <w:szCs w:val="24"/>
          <w:u w:val="single"/>
        </w:rPr>
        <w:t>《环境影响评价技术导则 土壤环境（试行）》（HJ964-2018）</w:t>
      </w:r>
      <w:r>
        <w:rPr>
          <w:rFonts w:hint="default" w:ascii="Times New Roman" w:hAnsi="Times New Roman" w:eastAsia="宋体" w:cs="Times New Roman"/>
          <w:sz w:val="24"/>
          <w:szCs w:val="24"/>
          <w:u w:val="single"/>
          <w:lang w:val="en-US" w:eastAsia="zh-CN"/>
        </w:rPr>
        <w:t>以及</w:t>
      </w:r>
      <w:r>
        <w:rPr>
          <w:rFonts w:hint="default" w:ascii="Times New Roman" w:hAnsi="Times New Roman" w:eastAsia="宋体" w:cs="Times New Roman"/>
          <w:b w:val="0"/>
          <w:bCs/>
          <w:sz w:val="24"/>
          <w:szCs w:val="28"/>
          <w:u w:val="single"/>
          <w:lang w:eastAsia="zh-CN"/>
        </w:rPr>
        <w:t>《</w:t>
      </w:r>
      <w:r>
        <w:rPr>
          <w:rFonts w:hint="default" w:ascii="Times New Roman" w:hAnsi="Times New Roman" w:eastAsia="宋体" w:cs="Times New Roman"/>
          <w:b w:val="0"/>
          <w:bCs/>
          <w:sz w:val="24"/>
          <w:szCs w:val="28"/>
          <w:u w:val="single"/>
        </w:rPr>
        <w:t>工业企业土壤和地下水自行监测 技术指南（试行）（HJ 1209—2021）</w:t>
      </w:r>
      <w:r>
        <w:rPr>
          <w:rFonts w:hint="default" w:ascii="Times New Roman" w:hAnsi="Times New Roman" w:eastAsia="宋体" w:cs="Times New Roman"/>
          <w:b w:val="0"/>
          <w:bCs/>
          <w:sz w:val="24"/>
          <w:szCs w:val="28"/>
          <w:u w:val="single"/>
          <w:lang w:eastAsia="zh-CN"/>
        </w:rPr>
        <w:t>，确定</w:t>
      </w:r>
      <w:r>
        <w:rPr>
          <w:rFonts w:hint="default" w:ascii="Times New Roman" w:hAnsi="Times New Roman" w:eastAsia="宋体" w:cs="Times New Roman"/>
          <w:b w:val="0"/>
          <w:bCs/>
          <w:sz w:val="24"/>
          <w:szCs w:val="28"/>
          <w:u w:val="single"/>
          <w:lang w:val="en-US" w:eastAsia="zh-CN"/>
        </w:rPr>
        <w:t>环境质量</w:t>
      </w:r>
      <w:r>
        <w:rPr>
          <w:rFonts w:hint="default" w:ascii="Times New Roman" w:hAnsi="Times New Roman" w:eastAsia="宋体" w:cs="Times New Roman"/>
          <w:b w:val="0"/>
          <w:bCs/>
          <w:sz w:val="24"/>
          <w:szCs w:val="28"/>
          <w:u w:val="single"/>
          <w:lang w:eastAsia="zh-CN"/>
        </w:rPr>
        <w:t>监测计划</w:t>
      </w:r>
    </w:p>
    <w:p w14:paraId="445D0EE2">
      <w:pPr>
        <w:pStyle w:val="122"/>
        <w:adjustRightInd/>
        <w:snapToGrid/>
        <w:spacing w:line="360" w:lineRule="auto"/>
        <w:ind w:firstLine="0" w:firstLineChars="0"/>
        <w:jc w:val="center"/>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表11.2-3 环境质量监测计划一览表</w:t>
      </w:r>
    </w:p>
    <w:tbl>
      <w:tblPr>
        <w:tblStyle w:val="59"/>
        <w:tblW w:w="5016"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206"/>
        <w:gridCol w:w="2757"/>
        <w:gridCol w:w="2767"/>
        <w:gridCol w:w="1633"/>
      </w:tblGrid>
      <w:tr w14:paraId="7A256714">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39" w:hRule="atLeast"/>
        </w:trPr>
        <w:tc>
          <w:tcPr>
            <w:tcW w:w="721" w:type="pct"/>
            <w:tcBorders>
              <w:bottom w:val="single" w:color="000000" w:sz="4" w:space="0"/>
              <w:right w:val="single" w:color="000000" w:sz="4" w:space="0"/>
            </w:tcBorders>
            <w:vAlign w:val="center"/>
          </w:tcPr>
          <w:p w14:paraId="52734FE5">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监测要素</w:t>
            </w:r>
          </w:p>
        </w:tc>
        <w:tc>
          <w:tcPr>
            <w:tcW w:w="1648" w:type="pct"/>
            <w:tcBorders>
              <w:left w:val="single" w:color="000000" w:sz="4" w:space="0"/>
              <w:bottom w:val="single" w:color="000000" w:sz="4" w:space="0"/>
              <w:right w:val="single" w:color="000000" w:sz="4" w:space="0"/>
            </w:tcBorders>
            <w:vAlign w:val="center"/>
          </w:tcPr>
          <w:p w14:paraId="52705360">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监测点及个数</w:t>
            </w:r>
          </w:p>
        </w:tc>
        <w:tc>
          <w:tcPr>
            <w:tcW w:w="1654" w:type="pct"/>
            <w:tcBorders>
              <w:left w:val="single" w:color="000000" w:sz="4" w:space="0"/>
              <w:bottom w:val="single" w:color="000000" w:sz="4" w:space="0"/>
              <w:right w:val="single" w:color="000000" w:sz="4" w:space="0"/>
            </w:tcBorders>
            <w:vAlign w:val="center"/>
          </w:tcPr>
          <w:p w14:paraId="1F2D80C8">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监测项目</w:t>
            </w:r>
          </w:p>
        </w:tc>
        <w:tc>
          <w:tcPr>
            <w:tcW w:w="976" w:type="pct"/>
            <w:tcBorders>
              <w:left w:val="single" w:color="000000" w:sz="4" w:space="0"/>
              <w:bottom w:val="single" w:color="000000" w:sz="4" w:space="0"/>
            </w:tcBorders>
            <w:vAlign w:val="center"/>
          </w:tcPr>
          <w:p w14:paraId="7FAC0C06">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监测频次</w:t>
            </w:r>
          </w:p>
        </w:tc>
      </w:tr>
      <w:tr w14:paraId="7C21B79B">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41" w:hRule="atLeast"/>
        </w:trPr>
        <w:tc>
          <w:tcPr>
            <w:tcW w:w="721" w:type="pct"/>
            <w:tcBorders>
              <w:top w:val="single" w:color="000000" w:sz="4" w:space="0"/>
              <w:bottom w:val="single" w:color="auto" w:sz="4" w:space="0"/>
              <w:right w:val="single" w:color="000000" w:sz="4" w:space="0"/>
            </w:tcBorders>
            <w:vAlign w:val="center"/>
          </w:tcPr>
          <w:p w14:paraId="5DAA2979">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地下水环境</w:t>
            </w:r>
          </w:p>
        </w:tc>
        <w:tc>
          <w:tcPr>
            <w:tcW w:w="1648" w:type="pct"/>
            <w:tcBorders>
              <w:top w:val="single" w:color="000000" w:sz="4" w:space="0"/>
              <w:left w:val="single" w:color="000000" w:sz="4" w:space="0"/>
              <w:bottom w:val="single" w:color="auto" w:sz="4" w:space="0"/>
              <w:right w:val="single" w:color="000000" w:sz="4" w:space="0"/>
            </w:tcBorders>
            <w:vAlign w:val="center"/>
          </w:tcPr>
          <w:p w14:paraId="35B76D78">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危废</w:t>
            </w:r>
            <w:r>
              <w:rPr>
                <w:rFonts w:hint="default" w:ascii="Times New Roman" w:hAnsi="Times New Roman" w:eastAsia="宋体" w:cs="Times New Roman"/>
                <w:sz w:val="21"/>
                <w:u w:val="single"/>
                <w:lang w:val="en-US" w:eastAsia="zh-CN"/>
              </w:rPr>
              <w:t>综合处置</w:t>
            </w:r>
            <w:r>
              <w:rPr>
                <w:rFonts w:hint="default" w:ascii="Times New Roman" w:hAnsi="Times New Roman" w:eastAsia="宋体" w:cs="Times New Roman"/>
                <w:sz w:val="21"/>
                <w:u w:val="single"/>
                <w:lang w:eastAsia="zh-CN"/>
              </w:rPr>
              <w:t>车间，厂区东侧、厂区西侧各布设1个（</w:t>
            </w:r>
            <w:r>
              <w:rPr>
                <w:rFonts w:hint="default" w:ascii="Times New Roman" w:hAnsi="Times New Roman" w:eastAsia="宋体" w:cs="Times New Roman"/>
                <w:sz w:val="21"/>
                <w:u w:val="single"/>
                <w:lang w:val="en-US" w:eastAsia="zh-CN"/>
              </w:rPr>
              <w:t>共3个</w:t>
            </w:r>
            <w:r>
              <w:rPr>
                <w:rFonts w:hint="default" w:ascii="Times New Roman" w:hAnsi="Times New Roman" w:eastAsia="宋体" w:cs="Times New Roman"/>
                <w:sz w:val="21"/>
                <w:u w:val="single"/>
                <w:lang w:eastAsia="zh-CN"/>
              </w:rPr>
              <w:t>）</w:t>
            </w:r>
          </w:p>
        </w:tc>
        <w:tc>
          <w:tcPr>
            <w:tcW w:w="1654" w:type="pct"/>
            <w:tcBorders>
              <w:top w:val="single" w:color="000000" w:sz="4" w:space="0"/>
              <w:left w:val="single" w:color="000000" w:sz="4" w:space="0"/>
              <w:bottom w:val="single" w:color="auto" w:sz="4" w:space="0"/>
              <w:right w:val="single" w:color="000000" w:sz="4" w:space="0"/>
            </w:tcBorders>
            <w:vAlign w:val="center"/>
          </w:tcPr>
          <w:p w14:paraId="102B1ADB">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pH、耗氧量、氨氮、石油类</w:t>
            </w:r>
          </w:p>
        </w:tc>
        <w:tc>
          <w:tcPr>
            <w:tcW w:w="976" w:type="pct"/>
            <w:tcBorders>
              <w:top w:val="single" w:color="000000" w:sz="4" w:space="0"/>
              <w:left w:val="single" w:color="000000" w:sz="4" w:space="0"/>
              <w:bottom w:val="single" w:color="000000" w:sz="4" w:space="0"/>
            </w:tcBorders>
            <w:vAlign w:val="center"/>
          </w:tcPr>
          <w:p w14:paraId="06358F6F">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1次/年</w:t>
            </w:r>
          </w:p>
        </w:tc>
      </w:tr>
      <w:tr w14:paraId="147DF9F1">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5" w:hRule="atLeast"/>
        </w:trPr>
        <w:tc>
          <w:tcPr>
            <w:tcW w:w="721" w:type="pct"/>
            <w:tcBorders>
              <w:top w:val="single" w:color="auto" w:sz="4" w:space="0"/>
              <w:bottom w:val="single" w:color="000000" w:sz="18" w:space="0"/>
              <w:right w:val="single" w:color="000000" w:sz="4" w:space="0"/>
            </w:tcBorders>
            <w:vAlign w:val="center"/>
          </w:tcPr>
          <w:p w14:paraId="236CFD0E">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土壤</w:t>
            </w:r>
          </w:p>
        </w:tc>
        <w:tc>
          <w:tcPr>
            <w:tcW w:w="1648" w:type="pct"/>
            <w:tcBorders>
              <w:top w:val="single" w:color="auto" w:sz="4" w:space="0"/>
              <w:left w:val="single" w:color="000000" w:sz="4" w:space="0"/>
              <w:bottom w:val="single" w:color="000000" w:sz="18" w:space="0"/>
              <w:right w:val="single" w:color="000000" w:sz="4" w:space="0"/>
            </w:tcBorders>
            <w:vAlign w:val="center"/>
          </w:tcPr>
          <w:p w14:paraId="0E16D3E8">
            <w:pPr>
              <w:pStyle w:val="60"/>
              <w:rPr>
                <w:rFonts w:hint="default" w:ascii="Times New Roman" w:hAnsi="Times New Roman" w:eastAsia="宋体" w:cs="Times New Roman"/>
                <w:sz w:val="21"/>
                <w:u w:val="single"/>
                <w:lang w:val="en-US" w:eastAsia="zh-CN"/>
              </w:rPr>
            </w:pPr>
            <w:r>
              <w:rPr>
                <w:rFonts w:hint="default" w:ascii="Times New Roman" w:hAnsi="Times New Roman" w:eastAsia="宋体" w:cs="Times New Roman"/>
                <w:sz w:val="21"/>
                <w:u w:val="single"/>
                <w:lang w:eastAsia="zh-CN"/>
              </w:rPr>
              <w:t>危废</w:t>
            </w:r>
            <w:r>
              <w:rPr>
                <w:rFonts w:hint="default" w:ascii="Times New Roman" w:hAnsi="Times New Roman" w:eastAsia="宋体" w:cs="Times New Roman"/>
                <w:sz w:val="21"/>
                <w:u w:val="single"/>
                <w:lang w:val="en-US" w:eastAsia="zh-CN"/>
              </w:rPr>
              <w:t>综合处置</w:t>
            </w:r>
            <w:r>
              <w:rPr>
                <w:rFonts w:hint="default" w:ascii="Times New Roman" w:hAnsi="Times New Roman" w:eastAsia="宋体" w:cs="Times New Roman"/>
                <w:sz w:val="21"/>
                <w:u w:val="single"/>
                <w:lang w:eastAsia="zh-CN"/>
              </w:rPr>
              <w:t>车间</w:t>
            </w:r>
            <w:r>
              <w:rPr>
                <w:rFonts w:hint="default" w:ascii="Times New Roman" w:hAnsi="Times New Roman" w:eastAsia="宋体" w:cs="Times New Roman"/>
                <w:sz w:val="21"/>
                <w:u w:val="single"/>
                <w:lang w:val="en-US" w:eastAsia="zh-CN"/>
              </w:rPr>
              <w:t>外侧</w:t>
            </w:r>
            <w:r>
              <w:rPr>
                <w:rFonts w:hint="default" w:ascii="Times New Roman" w:hAnsi="Times New Roman" w:eastAsia="宋体" w:cs="Times New Roman"/>
                <w:sz w:val="21"/>
                <w:u w:val="single"/>
                <w:lang w:eastAsia="zh-CN"/>
              </w:rPr>
              <w:t>、</w:t>
            </w:r>
            <w:r>
              <w:rPr>
                <w:rFonts w:hint="default" w:ascii="Times New Roman" w:hAnsi="Times New Roman" w:eastAsia="宋体" w:cs="Times New Roman"/>
                <w:sz w:val="21"/>
                <w:u w:val="single"/>
                <w:lang w:val="en-US" w:eastAsia="zh-CN"/>
              </w:rPr>
              <w:t>调节池外侧</w:t>
            </w:r>
            <w:r>
              <w:rPr>
                <w:rFonts w:hint="default" w:ascii="Times New Roman" w:hAnsi="Times New Roman" w:eastAsia="宋体" w:cs="Times New Roman"/>
                <w:sz w:val="21"/>
                <w:u w:val="single"/>
                <w:lang w:eastAsia="zh-CN"/>
              </w:rPr>
              <w:t>各布设1个</w:t>
            </w:r>
            <w:r>
              <w:rPr>
                <w:rFonts w:hint="default" w:ascii="Times New Roman" w:hAnsi="Times New Roman" w:eastAsia="宋体" w:cs="Times New Roman"/>
                <w:sz w:val="21"/>
                <w:u w:val="single"/>
                <w:lang w:val="en-US" w:eastAsia="zh-CN"/>
              </w:rPr>
              <w:t>深层样点</w:t>
            </w:r>
          </w:p>
        </w:tc>
        <w:tc>
          <w:tcPr>
            <w:tcW w:w="1654" w:type="pct"/>
            <w:tcBorders>
              <w:top w:val="single" w:color="auto" w:sz="4" w:space="0"/>
              <w:left w:val="single" w:color="000000" w:sz="4" w:space="0"/>
              <w:bottom w:val="single" w:color="000000" w:sz="18" w:space="0"/>
              <w:right w:val="single" w:color="000000" w:sz="4" w:space="0"/>
            </w:tcBorders>
            <w:vAlign w:val="center"/>
          </w:tcPr>
          <w:p w14:paraId="2C810A42">
            <w:pPr>
              <w:pStyle w:val="60"/>
              <w:rPr>
                <w:rFonts w:hint="default" w:ascii="Times New Roman" w:hAnsi="Times New Roman" w:eastAsia="宋体" w:cs="Times New Roman"/>
                <w:sz w:val="21"/>
                <w:u w:val="single"/>
                <w:lang w:eastAsia="zh-CN"/>
              </w:rPr>
            </w:pPr>
            <w:r>
              <w:rPr>
                <w:rFonts w:hint="default" w:ascii="Times New Roman" w:hAnsi="Times New Roman" w:eastAsia="宋体" w:cs="Times New Roman"/>
                <w:sz w:val="21"/>
                <w:u w:val="single"/>
                <w:lang w:eastAsia="zh-CN"/>
              </w:rPr>
              <w:t>pH、石油烃</w:t>
            </w:r>
          </w:p>
        </w:tc>
        <w:tc>
          <w:tcPr>
            <w:tcW w:w="976" w:type="pct"/>
            <w:tcBorders>
              <w:top w:val="single" w:color="000000" w:sz="4" w:space="0"/>
              <w:left w:val="single" w:color="000000" w:sz="4" w:space="0"/>
              <w:bottom w:val="single" w:color="000000" w:sz="18" w:space="0"/>
            </w:tcBorders>
            <w:vAlign w:val="center"/>
          </w:tcPr>
          <w:p w14:paraId="4141B72C">
            <w:pPr>
              <w:pStyle w:val="60"/>
              <w:rPr>
                <w:rFonts w:hint="default" w:ascii="Times New Roman" w:hAnsi="Times New Roman" w:eastAsia="宋体" w:cs="Times New Roman"/>
                <w:sz w:val="21"/>
                <w:u w:val="single"/>
                <w:lang w:eastAsia="en-US"/>
              </w:rPr>
            </w:pPr>
            <w:r>
              <w:rPr>
                <w:rFonts w:hint="default" w:ascii="Times New Roman" w:hAnsi="Times New Roman" w:eastAsia="宋体" w:cs="Times New Roman"/>
                <w:sz w:val="21"/>
                <w:u w:val="single"/>
                <w:lang w:eastAsia="en-US"/>
              </w:rPr>
              <w:t>1次/5年</w:t>
            </w:r>
          </w:p>
        </w:tc>
      </w:tr>
    </w:tbl>
    <w:p w14:paraId="7F3714DD">
      <w:pPr>
        <w:pStyle w:val="4"/>
        <w:spacing w:before="0" w:after="0" w:line="360" w:lineRule="auto"/>
        <w:rPr>
          <w:rFonts w:hint="default" w:ascii="Times New Roman" w:hAnsi="Times New Roman" w:eastAsia="宋体" w:cs="Times New Roman"/>
          <w:sz w:val="28"/>
        </w:rPr>
      </w:pPr>
      <w:r>
        <w:rPr>
          <w:rFonts w:hint="default" w:ascii="Times New Roman" w:hAnsi="Times New Roman" w:eastAsia="宋体" w:cs="Times New Roman"/>
          <w:sz w:val="28"/>
        </w:rPr>
        <w:t>11.2.5信息报告和信息公开</w:t>
      </w:r>
    </w:p>
    <w:p w14:paraId="788B3B10">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（1）信息记录</w:t>
      </w:r>
    </w:p>
    <w:p w14:paraId="36B5B4E5">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手工监测的记录</w:t>
      </w:r>
    </w:p>
    <w:p w14:paraId="0A3D1CB2">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a采样记录：采样日期、采样时间、采样点位、混合取样的样品数量、采样器名称、采样人姓名等。</w:t>
      </w:r>
    </w:p>
    <w:p w14:paraId="16919972">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b样品保存和交接：样品保存方式、样品传输交接记录。</w:t>
      </w:r>
    </w:p>
    <w:p w14:paraId="6D61B405">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c样品分析记录：分析日期、样品处理方式、分析方法、质控措施、分析结果、分析人姓名等。</w:t>
      </w:r>
    </w:p>
    <w:p w14:paraId="32CA62F8">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d质控记录：质控结果报告单。</w:t>
      </w:r>
    </w:p>
    <w:p w14:paraId="5C4C7598">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污水处理站运行状况记录。</w:t>
      </w:r>
    </w:p>
    <w:p w14:paraId="65245DC8">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监测期间企业及各主要生产设施、运行状况、产品产量、主要原辅料使用量、取水量、污染治理设施主要运行状态参数、污染治理主要原辅材料消耗情况等。日常生产中上述信息也需整理成台账保存备查。</w:t>
      </w:r>
    </w:p>
    <w:p w14:paraId="36AE9307">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固体废物产生与处理状况记录监测期间各类固体废物的产生量、综合利用量、处置量、贮存量、倾倒丢弃量。</w:t>
      </w:r>
    </w:p>
    <w:p w14:paraId="6FF8318C">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（2）信息报告</w:t>
      </w:r>
    </w:p>
    <w:p w14:paraId="1336BF7C">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排污单位应编写自行监测年度报告，年度报告至少应包含以下内容：</w:t>
      </w:r>
    </w:p>
    <w:p w14:paraId="66C4FD36">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监测方案的调整变化情况及变更原因；企业及各主要生产设施全年运行天数，各监测点、各监测指标全年监测次数、超标情况、浓度分布情况；按要求开展的周边环境质量影响状况监测结果；自行监测开展的其他情况说明；排污单位实现达标排放所采取的主要措施。</w:t>
      </w:r>
    </w:p>
    <w:p w14:paraId="1D143E9F">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（3）应急报告</w:t>
      </w:r>
    </w:p>
    <w:p w14:paraId="0219AEA2">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监测结果出现超标的，排污单位应加密监测，并检查超标原因。短期内无法实现稳定达标排放的，应向环境保护主管部门提交事故分析报告，说明事故发生的原因，采取减轻或防止污染的措施，以及今后的预防及改进措施等；若因发生事故或者其他突发事件，排放的污水可能危及城镇排水与污水处理设施安全运行的，应当立即采取措施消除危害，并及时向城镇排水主管部门和环境保护主管部门等有关部门报告。</w:t>
      </w:r>
    </w:p>
    <w:p w14:paraId="20EAEE64">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（4）信息公开</w:t>
      </w:r>
    </w:p>
    <w:p w14:paraId="37A1A5A7">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排污单位自行监测信息公开内容及方式按照《企业事业单位环境信息公开办法》（环境保护部令第31号）及《国家重点监控企业自行监测及信息公开办法（试行）》（环发〔2013〕81号）执行。非重点排污单位的信息公开要求由地方环境保护主管部门确定。</w:t>
      </w:r>
    </w:p>
    <w:p w14:paraId="78E22022">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11.2.6事故监测计划</w:t>
      </w:r>
    </w:p>
    <w:p w14:paraId="275948F1">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建设项目所在地的环境保护主管部门应按国家有关的法律法规，依法行使对辖区内环境污染事故进行跟踪监测。根据事故可能造成的危害程度和影响范围，环境监测部门应制定相应的事故应急监测计划，报环境保护主管部门批准，进行事故的跟踪监测。</w:t>
      </w:r>
    </w:p>
    <w:p w14:paraId="3A62A13D">
      <w:pPr>
        <w:pStyle w:val="4"/>
        <w:spacing w:before="0" w:after="0" w:line="360" w:lineRule="auto"/>
        <w:rPr>
          <w:rFonts w:hint="default" w:ascii="Times New Roman" w:hAnsi="Times New Roman" w:eastAsia="宋体" w:cs="Times New Roman"/>
          <w:sz w:val="28"/>
        </w:rPr>
      </w:pPr>
      <w:bookmarkStart w:id="429" w:name="_Toc492212909"/>
      <w:bookmarkStart w:id="430" w:name="_Toc517352264"/>
      <w:r>
        <w:rPr>
          <w:rFonts w:hint="default" w:ascii="Times New Roman" w:hAnsi="Times New Roman" w:eastAsia="宋体" w:cs="Times New Roman"/>
          <w:sz w:val="28"/>
        </w:rPr>
        <w:t>11.2.</w:t>
      </w:r>
      <w:bookmarkEnd w:id="429"/>
      <w:r>
        <w:rPr>
          <w:rFonts w:hint="default" w:ascii="Times New Roman" w:hAnsi="Times New Roman" w:eastAsia="宋体" w:cs="Times New Roman"/>
          <w:sz w:val="28"/>
        </w:rPr>
        <w:t>7监测上报制度</w:t>
      </w:r>
      <w:bookmarkEnd w:id="430"/>
    </w:p>
    <w:p w14:paraId="3380C05A">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（1）每次监测都应有完整的记录。监测数据应及时整理、统计，公司环境监测室每月上报一次监测结果。并应做好监测资料的归档工作。</w:t>
      </w:r>
    </w:p>
    <w:p w14:paraId="76E88614">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（2）监测时发现有异常现象应及时向公司环境管理部门反映。</w:t>
      </w:r>
    </w:p>
    <w:p w14:paraId="3FE294BB">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（3）监测结果要定期接受项目所在地环保行政主管部门的考核。</w:t>
      </w:r>
    </w:p>
    <w:p w14:paraId="5D6E7ACE">
      <w:pPr>
        <w:pStyle w:val="3"/>
        <w:spacing w:before="0" w:after="0" w:line="360" w:lineRule="auto"/>
        <w:rPr>
          <w:rFonts w:hint="default" w:ascii="Times New Roman" w:hAnsi="Times New Roman" w:eastAsia="宋体" w:cs="Times New Roman"/>
        </w:rPr>
      </w:pPr>
      <w:bookmarkStart w:id="431" w:name="_Toc480715243"/>
      <w:bookmarkStart w:id="432" w:name="_Toc224964415"/>
      <w:bookmarkStart w:id="433" w:name="_Toc2695"/>
      <w:bookmarkStart w:id="434" w:name="_Toc33007223"/>
      <w:bookmarkStart w:id="435" w:name="_Toc225356338"/>
      <w:bookmarkStart w:id="436" w:name="_Toc106961930"/>
      <w:bookmarkStart w:id="437" w:name="_Toc1120433"/>
      <w:bookmarkStart w:id="438" w:name="_Toc267404160"/>
      <w:bookmarkStart w:id="439" w:name="_Toc87017036"/>
      <w:bookmarkStart w:id="440" w:name="_Toc119413827"/>
      <w:bookmarkStart w:id="441" w:name="_Toc264633392"/>
      <w:bookmarkStart w:id="442" w:name="_Toc195160137"/>
      <w:bookmarkStart w:id="443" w:name="_Toc225174367"/>
      <w:r>
        <w:rPr>
          <w:rFonts w:hint="default" w:ascii="Times New Roman" w:hAnsi="Times New Roman" w:eastAsia="宋体" w:cs="Times New Roman"/>
        </w:rPr>
        <w:t>11.3排污口规范化设置</w:t>
      </w:r>
      <w:bookmarkEnd w:id="431"/>
      <w:bookmarkEnd w:id="432"/>
      <w:bookmarkEnd w:id="433"/>
      <w:bookmarkEnd w:id="434"/>
      <w:bookmarkEnd w:id="435"/>
      <w:bookmarkEnd w:id="436"/>
      <w:bookmarkEnd w:id="437"/>
      <w:bookmarkEnd w:id="438"/>
      <w:bookmarkEnd w:id="439"/>
      <w:bookmarkEnd w:id="440"/>
      <w:bookmarkEnd w:id="441"/>
      <w:bookmarkEnd w:id="442"/>
      <w:bookmarkEnd w:id="443"/>
    </w:p>
    <w:p w14:paraId="2CBC36D5">
      <w:pPr>
        <w:pStyle w:val="122"/>
        <w:adjustRightInd/>
        <w:snapToGrid/>
        <w:spacing w:line="440" w:lineRule="exact"/>
        <w:ind w:firstLine="480"/>
        <w:rPr>
          <w:rFonts w:hint="default" w:ascii="Times New Roman" w:hAnsi="Times New Roman" w:eastAsia="宋体" w:cs="Times New Roman"/>
        </w:rPr>
      </w:pPr>
      <w:r>
        <w:rPr>
          <w:rFonts w:hint="default" w:ascii="Times New Roman" w:hAnsi="Times New Roman" w:eastAsia="宋体" w:cs="Times New Roman"/>
        </w:rPr>
        <w:t>废水排放口、固定噪声源、固体废物贮存和烟囱必须按照《排污口设置与规范化整治管理办法》进行建设，应符合“一明显、二合理、三便于”的要求，即环保标志明显，排污口（接管口）设置合理，便于采集样品、便于监测计量、便于公众参与和监督管理。同时要求按照</w:t>
      </w:r>
      <w:r>
        <w:rPr>
          <w:rFonts w:hint="eastAsia" w:ascii="Times New Roman" w:hAnsi="Times New Roman" w:eastAsia="宋体" w:cs="Times New Roman"/>
          <w:lang w:val="en-US" w:eastAsia="zh-CN"/>
        </w:rPr>
        <w:t>生态环境部</w:t>
      </w:r>
      <w:r>
        <w:rPr>
          <w:rFonts w:hint="default" w:ascii="Times New Roman" w:hAnsi="Times New Roman" w:eastAsia="宋体" w:cs="Times New Roman"/>
        </w:rPr>
        <w:t>制定的《环境保护图形标志实施细则（试行）》的规定，设置与排污口相应的图形标志牌。</w:t>
      </w:r>
    </w:p>
    <w:p w14:paraId="012432F1">
      <w:pPr>
        <w:pStyle w:val="122"/>
        <w:adjustRightInd/>
        <w:snapToGrid/>
        <w:spacing w:line="440" w:lineRule="exact"/>
        <w:ind w:firstLine="480"/>
        <w:rPr>
          <w:rFonts w:hint="default" w:ascii="Times New Roman" w:hAnsi="Times New Roman" w:eastAsia="宋体" w:cs="Times New Roman"/>
        </w:rPr>
      </w:pPr>
      <w:r>
        <w:rPr>
          <w:rFonts w:hint="default" w:ascii="Times New Roman" w:hAnsi="Times New Roman" w:eastAsia="宋体" w:cs="Times New Roman"/>
        </w:rPr>
        <w:t>（1）烟囱设置取样口，并具备采样监测条件，排放口附近树立图形标志牌，烟囱应设置在线监测设施。</w:t>
      </w:r>
    </w:p>
    <w:p w14:paraId="421D42D0">
      <w:pPr>
        <w:pStyle w:val="122"/>
        <w:adjustRightInd/>
        <w:snapToGrid/>
        <w:spacing w:line="440" w:lineRule="exact"/>
        <w:ind w:firstLine="480"/>
        <w:rPr>
          <w:rFonts w:hint="default" w:ascii="Times New Roman" w:hAnsi="Times New Roman" w:eastAsia="宋体" w:cs="Times New Roman"/>
        </w:rPr>
      </w:pPr>
      <w:r>
        <w:rPr>
          <w:rFonts w:hint="default" w:ascii="Times New Roman" w:hAnsi="Times New Roman" w:eastAsia="宋体" w:cs="Times New Roman"/>
        </w:rPr>
        <w:t>（2）在废水排放口处设置测流段及采样池，在采样池侧按规范安装废水排放口标志牌。</w:t>
      </w:r>
    </w:p>
    <w:p w14:paraId="14B0B45D">
      <w:pPr>
        <w:pStyle w:val="122"/>
        <w:adjustRightInd/>
        <w:snapToGrid/>
        <w:spacing w:line="440" w:lineRule="exact"/>
        <w:ind w:firstLine="480"/>
        <w:rPr>
          <w:rFonts w:hint="default" w:ascii="Times New Roman" w:hAnsi="Times New Roman" w:eastAsia="宋体" w:cs="Times New Roman"/>
        </w:rPr>
      </w:pPr>
      <w:r>
        <w:rPr>
          <w:rFonts w:hint="default" w:ascii="Times New Roman" w:hAnsi="Times New Roman" w:eastAsia="宋体" w:cs="Times New Roman"/>
        </w:rPr>
        <w:t>（3）排污口管理。建设单位应在各个排污口处树立标志牌，并如实填写《中华人民共和国规范化排污口标记登记证》，由</w:t>
      </w:r>
      <w:r>
        <w:rPr>
          <w:rFonts w:hint="eastAsia" w:ascii="Times New Roman" w:hAnsi="Times New Roman" w:eastAsia="宋体" w:cs="Times New Roman"/>
          <w:lang w:eastAsia="zh-CN"/>
        </w:rPr>
        <w:t>生态环境部</w:t>
      </w:r>
      <w:r>
        <w:rPr>
          <w:rFonts w:hint="default" w:ascii="Times New Roman" w:hAnsi="Times New Roman" w:eastAsia="宋体" w:cs="Times New Roman"/>
        </w:rPr>
        <w:t>门签发。环保主管部门和建设单位可分别按以下内容建立排污口管理的专门档案：排污口性质和编号；位置；排放主要污染物种类、数量、浓度；排放去向；达标情况；治理设施运行情况及整改意见。</w:t>
      </w:r>
    </w:p>
    <w:p w14:paraId="1E20F095">
      <w:pPr>
        <w:pStyle w:val="122"/>
        <w:adjustRightInd/>
        <w:snapToGrid/>
        <w:spacing w:line="440" w:lineRule="exact"/>
        <w:ind w:firstLine="480"/>
        <w:rPr>
          <w:rFonts w:hint="default" w:ascii="Times New Roman" w:hAnsi="Times New Roman" w:eastAsia="宋体" w:cs="Times New Roman"/>
        </w:rPr>
      </w:pPr>
      <w:r>
        <w:rPr>
          <w:rFonts w:hint="default" w:ascii="Times New Roman" w:hAnsi="Times New Roman" w:eastAsia="宋体" w:cs="Times New Roman"/>
        </w:rPr>
        <w:t>（4）环境保护图形标志</w:t>
      </w:r>
    </w:p>
    <w:p w14:paraId="29B18F71">
      <w:pPr>
        <w:pStyle w:val="122"/>
        <w:adjustRightInd/>
        <w:snapToGrid/>
        <w:spacing w:line="440" w:lineRule="exact"/>
        <w:ind w:firstLine="480"/>
        <w:rPr>
          <w:rFonts w:hint="default" w:ascii="Times New Roman" w:hAnsi="Times New Roman" w:eastAsia="宋体" w:cs="Times New Roman"/>
        </w:rPr>
      </w:pPr>
      <w:r>
        <w:rPr>
          <w:rFonts w:hint="default" w:ascii="Times New Roman" w:hAnsi="Times New Roman" w:eastAsia="宋体" w:cs="Times New Roman"/>
        </w:rPr>
        <w:t>在厂区的废水排放口、废气排放源、固体废物贮存处置场应设置环境保护图形标志，图形符号分为提示图形和警告图形符号两种，分别按</w:t>
      </w:r>
      <w:r>
        <w:rPr>
          <w:rFonts w:hint="eastAsia" w:ascii="Times New Roman" w:hAnsi="Times New Roman" w:eastAsia="宋体" w:cs="Times New Roman"/>
          <w:lang w:eastAsia="zh-CN"/>
        </w:rPr>
        <w:t>《</w:t>
      </w:r>
      <w:r>
        <w:rPr>
          <w:rFonts w:hint="default" w:ascii="Times New Roman" w:hAnsi="Times New Roman" w:eastAsia="宋体" w:cs="Times New Roman"/>
        </w:rPr>
        <w:t>环境保护图形标志——排放口（源）</w:t>
      </w:r>
      <w:r>
        <w:rPr>
          <w:rFonts w:hint="eastAsia" w:ascii="Times New Roman" w:hAnsi="Times New Roman" w:eastAsia="宋体" w:cs="Times New Roman"/>
          <w:lang w:eastAsia="zh-CN"/>
        </w:rPr>
        <w:t>》</w:t>
      </w:r>
      <w:r>
        <w:rPr>
          <w:rFonts w:hint="default" w:ascii="Times New Roman" w:hAnsi="Times New Roman" w:eastAsia="宋体" w:cs="Times New Roman"/>
        </w:rPr>
        <w:t>（GB15562.1-1995）、《环境保护图形标志—固体废物贮存（处置）场》（GB 15562.2-1995）修改单执行。环境保护图形符号见表11.3-1，环境保护图形标志的形状及颜色见表11.3-2。</w:t>
      </w:r>
    </w:p>
    <w:p w14:paraId="29D3E763">
      <w:pPr>
        <w:spacing w:line="440" w:lineRule="exact"/>
        <w:jc w:val="center"/>
        <w:rPr>
          <w:rFonts w:hint="default" w:ascii="Times New Roman" w:hAnsi="Times New Roman" w:eastAsia="宋体" w:cs="Times New Roman"/>
          <w:b/>
          <w:sz w:val="24"/>
          <w:szCs w:val="24"/>
        </w:rPr>
      </w:pPr>
      <w:r>
        <w:rPr>
          <w:rFonts w:hint="default" w:ascii="Times New Roman" w:hAnsi="Times New Roman" w:eastAsia="宋体" w:cs="Times New Roman"/>
          <w:b/>
        </w:rPr>
        <w:t>表11.3-1  环境保护图形符号</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1"/>
        <w:gridCol w:w="1699"/>
        <w:gridCol w:w="2136"/>
        <w:gridCol w:w="1467"/>
        <w:gridCol w:w="2539"/>
      </w:tblGrid>
      <w:tr w14:paraId="103526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19" w:hRule="atLeast"/>
        </w:trPr>
        <w:tc>
          <w:tcPr>
            <w:tcW w:w="445" w:type="pct"/>
            <w:vAlign w:val="center"/>
          </w:tcPr>
          <w:p w14:paraId="3B7F26F9">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042" w:type="pct"/>
            <w:vAlign w:val="center"/>
          </w:tcPr>
          <w:p w14:paraId="44BED655">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提示图形符号</w:t>
            </w:r>
          </w:p>
        </w:tc>
        <w:tc>
          <w:tcPr>
            <w:tcW w:w="1073" w:type="pct"/>
            <w:vAlign w:val="center"/>
          </w:tcPr>
          <w:p w14:paraId="115E7A92">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警告图形符号</w:t>
            </w:r>
          </w:p>
        </w:tc>
        <w:tc>
          <w:tcPr>
            <w:tcW w:w="906" w:type="pct"/>
            <w:vAlign w:val="center"/>
          </w:tcPr>
          <w:p w14:paraId="2B48AEED">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1534" w:type="pct"/>
            <w:vAlign w:val="center"/>
          </w:tcPr>
          <w:p w14:paraId="6FE2E87B">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功能</w:t>
            </w:r>
          </w:p>
        </w:tc>
      </w:tr>
      <w:tr w14:paraId="01A2AE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445" w:type="pct"/>
            <w:vAlign w:val="center"/>
          </w:tcPr>
          <w:p w14:paraId="2BEC7F23">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042" w:type="pct"/>
            <w:vAlign w:val="center"/>
          </w:tcPr>
          <w:p w14:paraId="2EBACBB6">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845820" cy="853440"/>
                  <wp:effectExtent l="0" t="0" r="0" b="3810"/>
                  <wp:docPr id="63" name="图片 63" descr="1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300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845820" cy="853440"/>
                          </a:xfrm>
                          <a:prstGeom prst="rect">
                            <a:avLst/>
                          </a:prstGeom>
                          <a:noFill/>
                          <a:ln>
                            <a:noFill/>
                          </a:ln>
                        </pic:spPr>
                      </pic:pic>
                    </a:graphicData>
                  </a:graphic>
                </wp:inline>
              </w:drawing>
            </w:r>
          </w:p>
        </w:tc>
        <w:tc>
          <w:tcPr>
            <w:tcW w:w="1073" w:type="pct"/>
            <w:vAlign w:val="center"/>
          </w:tcPr>
          <w:p w14:paraId="4FE8CCF3">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845820" cy="853440"/>
                  <wp:effectExtent l="0" t="0" r="0" b="3810"/>
                  <wp:docPr id="62" name="图片 62" descr="1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1300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845820" cy="853440"/>
                          </a:xfrm>
                          <a:prstGeom prst="rect">
                            <a:avLst/>
                          </a:prstGeom>
                          <a:noFill/>
                          <a:ln>
                            <a:noFill/>
                          </a:ln>
                        </pic:spPr>
                      </pic:pic>
                    </a:graphicData>
                  </a:graphic>
                </wp:inline>
              </w:drawing>
            </w:r>
          </w:p>
        </w:tc>
        <w:tc>
          <w:tcPr>
            <w:tcW w:w="906" w:type="pct"/>
            <w:vAlign w:val="center"/>
          </w:tcPr>
          <w:p w14:paraId="42392262">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废水排放口</w:t>
            </w:r>
          </w:p>
        </w:tc>
        <w:tc>
          <w:tcPr>
            <w:tcW w:w="1534" w:type="pct"/>
            <w:vAlign w:val="center"/>
          </w:tcPr>
          <w:p w14:paraId="5C023E2C">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表示废水向水体排放</w:t>
            </w:r>
          </w:p>
        </w:tc>
      </w:tr>
      <w:tr w14:paraId="07374C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445" w:type="pct"/>
            <w:vAlign w:val="center"/>
          </w:tcPr>
          <w:p w14:paraId="4742E69E">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2</w:t>
            </w:r>
          </w:p>
        </w:tc>
        <w:tc>
          <w:tcPr>
            <w:tcW w:w="1042" w:type="pct"/>
            <w:vAlign w:val="center"/>
          </w:tcPr>
          <w:p w14:paraId="535191C7">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845820" cy="853440"/>
                  <wp:effectExtent l="0" t="0" r="0" b="3810"/>
                  <wp:docPr id="61" name="图片 61" descr="1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130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845820" cy="853440"/>
                          </a:xfrm>
                          <a:prstGeom prst="rect">
                            <a:avLst/>
                          </a:prstGeom>
                          <a:noFill/>
                          <a:ln>
                            <a:noFill/>
                          </a:ln>
                        </pic:spPr>
                      </pic:pic>
                    </a:graphicData>
                  </a:graphic>
                </wp:inline>
              </w:drawing>
            </w:r>
          </w:p>
        </w:tc>
        <w:tc>
          <w:tcPr>
            <w:tcW w:w="1073" w:type="pct"/>
            <w:vAlign w:val="center"/>
          </w:tcPr>
          <w:p w14:paraId="24A153CD">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891540" cy="891540"/>
                  <wp:effectExtent l="0" t="0" r="3810" b="3810"/>
                  <wp:docPr id="60" name="图片 6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891540" cy="891540"/>
                          </a:xfrm>
                          <a:prstGeom prst="rect">
                            <a:avLst/>
                          </a:prstGeom>
                          <a:noFill/>
                          <a:ln>
                            <a:noFill/>
                          </a:ln>
                        </pic:spPr>
                      </pic:pic>
                    </a:graphicData>
                  </a:graphic>
                </wp:inline>
              </w:drawing>
            </w:r>
          </w:p>
        </w:tc>
        <w:tc>
          <w:tcPr>
            <w:tcW w:w="906" w:type="pct"/>
            <w:vAlign w:val="center"/>
          </w:tcPr>
          <w:p w14:paraId="4BC4BB6D">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废气排放口</w:t>
            </w:r>
          </w:p>
        </w:tc>
        <w:tc>
          <w:tcPr>
            <w:tcW w:w="1534" w:type="pct"/>
            <w:vAlign w:val="center"/>
          </w:tcPr>
          <w:p w14:paraId="54758044">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表示废气向大气环境排放</w:t>
            </w:r>
          </w:p>
        </w:tc>
      </w:tr>
      <w:tr w14:paraId="7216FB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445" w:type="pct"/>
            <w:vAlign w:val="center"/>
          </w:tcPr>
          <w:p w14:paraId="258606E9">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3</w:t>
            </w:r>
          </w:p>
        </w:tc>
        <w:tc>
          <w:tcPr>
            <w:tcW w:w="1042" w:type="pct"/>
            <w:vAlign w:val="center"/>
          </w:tcPr>
          <w:p w14:paraId="11692E29">
            <w:pPr>
              <w:keepNext w:val="0"/>
              <w:keepLines w:val="0"/>
              <w:suppressLineNumbers w:val="0"/>
              <w:adjustRightInd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pict>
                <v:shape id="_x0000_i1034" o:spt="75" type="#_x0000_t75" style="height:67.8pt;width:67.8pt;" filled="f" o:preferrelative="t" stroked="f" coordsize="21600,21600">
                  <v:path/>
                  <v:fill on="f" focussize="0,0"/>
                  <v:stroke on="f" joinstyle="miter"/>
                  <v:imagedata r:id="rId76" r:href="rId77" o:title=""/>
                  <o:lock v:ext="edit" aspectratio="t"/>
                  <w10:wrap type="none"/>
                  <w10:anchorlock/>
                </v:shape>
              </w:pict>
            </w:r>
          </w:p>
        </w:tc>
        <w:tc>
          <w:tcPr>
            <w:tcW w:w="1073" w:type="pct"/>
            <w:vAlign w:val="center"/>
          </w:tcPr>
          <w:p w14:paraId="351FD86C">
            <w:pPr>
              <w:keepNext w:val="0"/>
              <w:keepLines w:val="0"/>
              <w:suppressLineNumbers w:val="0"/>
              <w:adjustRightInd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pict>
                <v:shape id="_x0000_i1035" o:spt="75" type="#_x0000_t75" style="height:60pt;width:72pt;" filled="f" o:preferrelative="t" stroked="f" coordsize="21600,21600">
                  <v:path/>
                  <v:fill on="f" focussize="0,0"/>
                  <v:stroke on="f" joinstyle="miter"/>
                  <v:imagedata r:id="rId78" r:href="rId79" o:title=""/>
                  <o:lock v:ext="edit" aspectratio="t"/>
                  <w10:wrap type="none"/>
                  <w10:anchorlock/>
                </v:shape>
              </w:pict>
            </w:r>
          </w:p>
        </w:tc>
        <w:tc>
          <w:tcPr>
            <w:tcW w:w="906" w:type="pct"/>
            <w:vAlign w:val="center"/>
          </w:tcPr>
          <w:p w14:paraId="0AD66773">
            <w:pPr>
              <w:keepNext w:val="0"/>
              <w:keepLines w:val="0"/>
              <w:suppressLineNumbers w:val="0"/>
              <w:adjustRightInd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噪声排放源</w:t>
            </w:r>
          </w:p>
        </w:tc>
        <w:tc>
          <w:tcPr>
            <w:tcW w:w="1534" w:type="pct"/>
            <w:vAlign w:val="center"/>
          </w:tcPr>
          <w:p w14:paraId="5A411E67">
            <w:pPr>
              <w:keepNext w:val="0"/>
              <w:keepLines w:val="0"/>
              <w:suppressLineNumbers w:val="0"/>
              <w:adjustRightInd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表示噪声向外环境排放</w:t>
            </w:r>
          </w:p>
        </w:tc>
      </w:tr>
      <w:tr w14:paraId="1DBD43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448" w:hRule="atLeast"/>
        </w:trPr>
        <w:tc>
          <w:tcPr>
            <w:tcW w:w="445" w:type="pct"/>
            <w:vAlign w:val="center"/>
          </w:tcPr>
          <w:p w14:paraId="0D5F8A45">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4</w:t>
            </w:r>
          </w:p>
        </w:tc>
        <w:tc>
          <w:tcPr>
            <w:tcW w:w="1042" w:type="pct"/>
            <w:vAlign w:val="center"/>
          </w:tcPr>
          <w:p w14:paraId="488ED8C3">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906780" cy="914400"/>
                  <wp:effectExtent l="0" t="0" r="7620" b="0"/>
                  <wp:docPr id="59" name="图片 59" descr="1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40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906780" cy="914400"/>
                          </a:xfrm>
                          <a:prstGeom prst="rect">
                            <a:avLst/>
                          </a:prstGeom>
                          <a:noFill/>
                          <a:ln>
                            <a:noFill/>
                          </a:ln>
                        </pic:spPr>
                      </pic:pic>
                    </a:graphicData>
                  </a:graphic>
                </wp:inline>
              </w:drawing>
            </w:r>
          </w:p>
        </w:tc>
        <w:tc>
          <w:tcPr>
            <w:tcW w:w="1073" w:type="pct"/>
            <w:vAlign w:val="center"/>
          </w:tcPr>
          <w:p w14:paraId="28567F60">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drawing>
                <wp:inline distT="0" distB="0" distL="0" distR="0">
                  <wp:extent cx="967740" cy="906780"/>
                  <wp:effectExtent l="0" t="0" r="3810" b="7620"/>
                  <wp:docPr id="58" name="图片 58" descr="1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400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967740" cy="906780"/>
                          </a:xfrm>
                          <a:prstGeom prst="rect">
                            <a:avLst/>
                          </a:prstGeom>
                          <a:noFill/>
                          <a:ln>
                            <a:noFill/>
                          </a:ln>
                        </pic:spPr>
                      </pic:pic>
                    </a:graphicData>
                  </a:graphic>
                </wp:inline>
              </w:drawing>
            </w:r>
          </w:p>
        </w:tc>
        <w:tc>
          <w:tcPr>
            <w:tcW w:w="906" w:type="pct"/>
            <w:vAlign w:val="center"/>
          </w:tcPr>
          <w:p w14:paraId="00D88808">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一般固体废物</w:t>
            </w:r>
          </w:p>
        </w:tc>
        <w:tc>
          <w:tcPr>
            <w:tcW w:w="1534" w:type="pct"/>
            <w:vAlign w:val="center"/>
          </w:tcPr>
          <w:p w14:paraId="5D9FCB85">
            <w:pPr>
              <w:pStyle w:val="28"/>
              <w:keepNext w:val="0"/>
              <w:keepLines w:val="0"/>
              <w:suppressLineNumbers w:val="0"/>
              <w:snapToGrid w:val="0"/>
              <w:spacing w:before="0" w:after="0" w:line="240" w:lineRule="auto"/>
              <w:ind w:left="0" w:right="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表示一般固体废物贮存、处置场</w:t>
            </w:r>
          </w:p>
        </w:tc>
      </w:tr>
      <w:tr w14:paraId="2ABD34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31" w:hRule="atLeast"/>
        </w:trPr>
        <w:tc>
          <w:tcPr>
            <w:tcW w:w="445" w:type="pct"/>
            <w:vAlign w:val="center"/>
          </w:tcPr>
          <w:p w14:paraId="6C5CFC30">
            <w:pPr>
              <w:keepNext w:val="0"/>
              <w:keepLines w:val="0"/>
              <w:suppressLineNumbers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5</w:t>
            </w:r>
          </w:p>
        </w:tc>
        <w:tc>
          <w:tcPr>
            <w:tcW w:w="1042" w:type="pct"/>
            <w:vAlign w:val="center"/>
          </w:tcPr>
          <w:p w14:paraId="30A0060B">
            <w:pPr>
              <w:keepNext w:val="0"/>
              <w:keepLines w:val="0"/>
              <w:suppressLineNumbers w:val="0"/>
              <w:adjustRightInd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w:t>
            </w:r>
          </w:p>
        </w:tc>
        <w:tc>
          <w:tcPr>
            <w:tcW w:w="1073" w:type="pct"/>
            <w:vAlign w:val="center"/>
          </w:tcPr>
          <w:p w14:paraId="30828215">
            <w:pPr>
              <w:keepNext w:val="0"/>
              <w:keepLines w:val="0"/>
              <w:suppressLineNumbers w:val="0"/>
              <w:adjustRightInd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rPr>
              <w:drawing>
                <wp:inline distT="0" distB="0" distL="114300" distR="114300">
                  <wp:extent cx="1204595" cy="1042035"/>
                  <wp:effectExtent l="0" t="0" r="14605" b="9525"/>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82"/>
                          <a:stretch>
                            <a:fillRect/>
                          </a:stretch>
                        </pic:blipFill>
                        <pic:spPr>
                          <a:xfrm>
                            <a:off x="0" y="0"/>
                            <a:ext cx="1204595" cy="1042035"/>
                          </a:xfrm>
                          <a:prstGeom prst="rect">
                            <a:avLst/>
                          </a:prstGeom>
                          <a:noFill/>
                          <a:ln>
                            <a:noFill/>
                          </a:ln>
                        </pic:spPr>
                      </pic:pic>
                    </a:graphicData>
                  </a:graphic>
                </wp:inline>
              </w:drawing>
            </w:r>
          </w:p>
        </w:tc>
        <w:tc>
          <w:tcPr>
            <w:tcW w:w="906" w:type="pct"/>
            <w:vAlign w:val="center"/>
          </w:tcPr>
          <w:p w14:paraId="7F10EB94">
            <w:pPr>
              <w:keepNext w:val="0"/>
              <w:keepLines w:val="0"/>
              <w:suppressLineNumbers w:val="0"/>
              <w:adjustRightInd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危险废物</w:t>
            </w:r>
          </w:p>
        </w:tc>
        <w:tc>
          <w:tcPr>
            <w:tcW w:w="1534" w:type="pct"/>
            <w:vAlign w:val="center"/>
          </w:tcPr>
          <w:p w14:paraId="3887D976">
            <w:pPr>
              <w:keepNext w:val="0"/>
              <w:keepLines w:val="0"/>
              <w:suppressLineNumbers w:val="0"/>
              <w:adjustRightInd w:val="0"/>
              <w:snapToGrid w:val="0"/>
              <w:spacing w:before="60" w:beforeAutospacing="0" w:after="6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表示危险废物贮存、处置场</w:t>
            </w:r>
          </w:p>
        </w:tc>
      </w:tr>
    </w:tbl>
    <w:p w14:paraId="6FC26949">
      <w:pPr>
        <w:pStyle w:val="57"/>
        <w:spacing w:before="156"/>
        <w:rPr>
          <w:rFonts w:hint="default" w:ascii="Times New Roman" w:hAnsi="Times New Roman" w:eastAsia="宋体" w:cs="Times New Roman"/>
          <w:color w:val="auto"/>
        </w:rPr>
      </w:pPr>
      <w:r>
        <w:rPr>
          <w:rFonts w:hint="default" w:ascii="Times New Roman" w:hAnsi="Times New Roman" w:eastAsia="宋体" w:cs="Times New Roman"/>
          <w:color w:val="auto"/>
        </w:rPr>
        <w:t>表10.3-2  环境保护图形标志的形状及颜色</w:t>
      </w:r>
    </w:p>
    <w:tbl>
      <w:tblPr>
        <w:tblStyle w:val="32"/>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130"/>
        <w:gridCol w:w="2130"/>
        <w:gridCol w:w="2131"/>
        <w:gridCol w:w="2131"/>
      </w:tblGrid>
      <w:tr w14:paraId="6F60AD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Align w:val="center"/>
          </w:tcPr>
          <w:p w14:paraId="54FAE67C">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标志名称</w:t>
            </w:r>
          </w:p>
        </w:tc>
        <w:tc>
          <w:tcPr>
            <w:tcW w:w="1250" w:type="pct"/>
            <w:vAlign w:val="center"/>
          </w:tcPr>
          <w:p w14:paraId="24B5E5E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形状</w:t>
            </w:r>
          </w:p>
        </w:tc>
        <w:tc>
          <w:tcPr>
            <w:tcW w:w="1250" w:type="pct"/>
            <w:vAlign w:val="center"/>
          </w:tcPr>
          <w:p w14:paraId="1655045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背景颜色</w:t>
            </w:r>
          </w:p>
        </w:tc>
        <w:tc>
          <w:tcPr>
            <w:tcW w:w="1250" w:type="pct"/>
            <w:vAlign w:val="center"/>
          </w:tcPr>
          <w:p w14:paraId="667E121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图形颜色</w:t>
            </w:r>
          </w:p>
        </w:tc>
      </w:tr>
      <w:tr w14:paraId="6F713E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Align w:val="center"/>
          </w:tcPr>
          <w:p w14:paraId="7904453B">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警告标志</w:t>
            </w:r>
          </w:p>
        </w:tc>
        <w:tc>
          <w:tcPr>
            <w:tcW w:w="1250" w:type="pct"/>
            <w:vAlign w:val="center"/>
          </w:tcPr>
          <w:p w14:paraId="5C9FD1A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三角形边框</w:t>
            </w:r>
          </w:p>
        </w:tc>
        <w:tc>
          <w:tcPr>
            <w:tcW w:w="1250" w:type="pct"/>
            <w:vAlign w:val="center"/>
          </w:tcPr>
          <w:p w14:paraId="248C203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黄色</w:t>
            </w:r>
          </w:p>
        </w:tc>
        <w:tc>
          <w:tcPr>
            <w:tcW w:w="1250" w:type="pct"/>
            <w:vAlign w:val="center"/>
          </w:tcPr>
          <w:p w14:paraId="5DC10F7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黑色</w:t>
            </w:r>
          </w:p>
        </w:tc>
      </w:tr>
      <w:tr w14:paraId="6563F0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Align w:val="center"/>
          </w:tcPr>
          <w:p w14:paraId="42EE4CD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提示标志</w:t>
            </w:r>
          </w:p>
        </w:tc>
        <w:tc>
          <w:tcPr>
            <w:tcW w:w="1250" w:type="pct"/>
            <w:vAlign w:val="center"/>
          </w:tcPr>
          <w:p w14:paraId="7DDAA7F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正方形边框</w:t>
            </w:r>
          </w:p>
        </w:tc>
        <w:tc>
          <w:tcPr>
            <w:tcW w:w="1250" w:type="pct"/>
            <w:vAlign w:val="center"/>
          </w:tcPr>
          <w:p w14:paraId="19AB750A">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绿色</w:t>
            </w:r>
          </w:p>
        </w:tc>
        <w:tc>
          <w:tcPr>
            <w:tcW w:w="1250" w:type="pct"/>
            <w:vAlign w:val="center"/>
          </w:tcPr>
          <w:p w14:paraId="02BAB61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白色</w:t>
            </w:r>
          </w:p>
        </w:tc>
      </w:tr>
      <w:tr w14:paraId="236E4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250" w:type="pct"/>
            <w:vAlign w:val="center"/>
          </w:tcPr>
          <w:p w14:paraId="2B43209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提示标志</w:t>
            </w:r>
          </w:p>
        </w:tc>
        <w:tc>
          <w:tcPr>
            <w:tcW w:w="1250" w:type="pct"/>
            <w:vAlign w:val="center"/>
          </w:tcPr>
          <w:p w14:paraId="5819D6C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正方形边框</w:t>
            </w:r>
          </w:p>
        </w:tc>
        <w:tc>
          <w:tcPr>
            <w:tcW w:w="1250" w:type="pct"/>
            <w:vAlign w:val="center"/>
          </w:tcPr>
          <w:p w14:paraId="4052F0A4">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绿色</w:t>
            </w:r>
          </w:p>
        </w:tc>
        <w:tc>
          <w:tcPr>
            <w:tcW w:w="1250" w:type="pct"/>
            <w:vAlign w:val="center"/>
          </w:tcPr>
          <w:p w14:paraId="3A51B9B3">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白色</w:t>
            </w:r>
          </w:p>
        </w:tc>
      </w:tr>
    </w:tbl>
    <w:p w14:paraId="555D05C1">
      <w:pPr>
        <w:pStyle w:val="3"/>
        <w:spacing w:before="0" w:after="0" w:line="360" w:lineRule="auto"/>
        <w:rPr>
          <w:rFonts w:hint="default" w:ascii="Times New Roman" w:hAnsi="Times New Roman" w:eastAsia="宋体" w:cs="Times New Roman"/>
          <w:u w:val="single"/>
        </w:rPr>
      </w:pPr>
      <w:bookmarkStart w:id="444" w:name="_Toc87017037"/>
      <w:bookmarkStart w:id="445" w:name="_Toc225174368"/>
      <w:bookmarkStart w:id="446" w:name="_Toc264633393"/>
      <w:bookmarkStart w:id="447" w:name="_Toc195160138"/>
      <w:bookmarkStart w:id="448" w:name="_Toc480715244"/>
      <w:bookmarkStart w:id="449" w:name="_Toc267404161"/>
      <w:bookmarkStart w:id="450" w:name="_Toc119413828"/>
      <w:bookmarkStart w:id="451" w:name="_Toc1120434"/>
      <w:bookmarkStart w:id="452" w:name="_Toc224964416"/>
      <w:bookmarkStart w:id="453" w:name="_Toc33007224"/>
      <w:bookmarkStart w:id="454" w:name="_Toc225356339"/>
      <w:bookmarkStart w:id="455" w:name="_Toc106961931"/>
      <w:bookmarkStart w:id="456" w:name="_Toc17043"/>
      <w:r>
        <w:rPr>
          <w:rFonts w:hint="default" w:ascii="Times New Roman" w:hAnsi="Times New Roman" w:eastAsia="宋体" w:cs="Times New Roman"/>
          <w:u w:val="single"/>
        </w:rPr>
        <w:t>11.4项目竣工环保设施验收清单</w:t>
      </w:r>
      <w:bookmarkEnd w:id="444"/>
      <w:bookmarkEnd w:id="445"/>
      <w:bookmarkEnd w:id="446"/>
      <w:bookmarkEnd w:id="447"/>
      <w:bookmarkEnd w:id="448"/>
      <w:bookmarkEnd w:id="449"/>
      <w:bookmarkEnd w:id="450"/>
      <w:bookmarkEnd w:id="451"/>
      <w:bookmarkEnd w:id="452"/>
      <w:bookmarkEnd w:id="453"/>
      <w:bookmarkEnd w:id="454"/>
      <w:bookmarkEnd w:id="455"/>
      <w:bookmarkEnd w:id="456"/>
    </w:p>
    <w:p w14:paraId="5A6A1E38">
      <w:pPr>
        <w:spacing w:line="360" w:lineRule="auto"/>
        <w:ind w:firstLine="480" w:firstLineChars="200"/>
        <w:rPr>
          <w:rFonts w:hint="default" w:ascii="Times New Roman" w:hAnsi="Times New Roman" w:eastAsia="宋体" w:cs="Times New Roman"/>
          <w:sz w:val="24"/>
          <w:szCs w:val="24"/>
          <w:u w:val="single"/>
        </w:rPr>
      </w:pPr>
      <w:r>
        <w:rPr>
          <w:rFonts w:hint="default" w:ascii="Times New Roman" w:hAnsi="Times New Roman" w:eastAsia="宋体" w:cs="Times New Roman"/>
          <w:sz w:val="24"/>
          <w:u w:val="single"/>
        </w:rPr>
        <w:t>项目完工后并投入生产后应</w:t>
      </w:r>
      <w:r>
        <w:rPr>
          <w:rFonts w:hint="eastAsia" w:ascii="Times New Roman" w:hAnsi="Times New Roman" w:cs="Times New Roman"/>
          <w:sz w:val="24"/>
          <w:u w:val="single"/>
          <w:lang w:val="en-US" w:eastAsia="zh-CN"/>
        </w:rPr>
        <w:t>按照《建设项目竣工环境保护验收暂行办法》以及《建设项目竣工环境保护验收技术指南  污染影响类》等文件、规范的要求，</w:t>
      </w:r>
      <w:r>
        <w:rPr>
          <w:rFonts w:hint="default" w:ascii="Times New Roman" w:hAnsi="Times New Roman" w:eastAsia="宋体" w:cs="Times New Roman"/>
          <w:sz w:val="24"/>
          <w:u w:val="single"/>
        </w:rPr>
        <w:t>自行组织建设项目竣工环境保护验收，并向有审批权的生态环境主管部门报备。严格按环境影响报告书的要求认真落实“三同时”，明确职责，专人管理，切实搞好环境管理和监测工作，保证环保设施的正常运行，项目竣工环境保护验收通过后建设单位方可正式投产运行。项目环境保护验收内容和要求见表11.4-1。</w:t>
      </w:r>
    </w:p>
    <w:p w14:paraId="187462AD">
      <w:pPr>
        <w:spacing w:line="360" w:lineRule="auto"/>
        <w:ind w:firstLine="480" w:firstLineChars="200"/>
        <w:jc w:val="left"/>
        <w:rPr>
          <w:rFonts w:hint="default" w:ascii="Times New Roman" w:hAnsi="Times New Roman" w:eastAsia="宋体" w:cs="Times New Roman"/>
          <w:kern w:val="0"/>
          <w:sz w:val="24"/>
          <w:u w:val="single"/>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p>
    <w:p w14:paraId="629F3D65">
      <w:pPr>
        <w:spacing w:line="360" w:lineRule="auto"/>
        <w:jc w:val="center"/>
        <w:rPr>
          <w:rFonts w:hint="default" w:ascii="Times New Roman" w:hAnsi="Times New Roman" w:eastAsia="宋体" w:cs="Times New Roman"/>
          <w:b/>
          <w:u w:val="single"/>
        </w:rPr>
      </w:pPr>
      <w:r>
        <w:rPr>
          <w:rFonts w:hint="default" w:ascii="Times New Roman" w:hAnsi="Times New Roman" w:eastAsia="宋体" w:cs="Times New Roman"/>
          <w:b/>
          <w:u w:val="single"/>
        </w:rPr>
        <w:t>表11.4-1  项目环境保护验收内容和要求表</w:t>
      </w:r>
    </w:p>
    <w:tbl>
      <w:tblPr>
        <w:tblStyle w:val="32"/>
        <w:tblW w:w="139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59"/>
        <w:gridCol w:w="1925"/>
        <w:gridCol w:w="2268"/>
        <w:gridCol w:w="4394"/>
        <w:gridCol w:w="799"/>
        <w:gridCol w:w="3527"/>
      </w:tblGrid>
      <w:tr w14:paraId="2CE4CD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9" w:type="dxa"/>
            <w:vAlign w:val="center"/>
          </w:tcPr>
          <w:p w14:paraId="7A396F53">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b/>
                <w:u w:val="single"/>
              </w:rPr>
            </w:pPr>
            <w:r>
              <w:rPr>
                <w:rFonts w:hint="default" w:ascii="Times New Roman" w:hAnsi="Times New Roman" w:eastAsia="宋体" w:cs="Times New Roman"/>
                <w:b/>
                <w:u w:val="single"/>
              </w:rPr>
              <w:t>类别</w:t>
            </w:r>
          </w:p>
        </w:tc>
        <w:tc>
          <w:tcPr>
            <w:tcW w:w="1925" w:type="dxa"/>
            <w:vAlign w:val="center"/>
          </w:tcPr>
          <w:p w14:paraId="669F092A">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b/>
                <w:u w:val="single"/>
              </w:rPr>
            </w:pPr>
            <w:r>
              <w:rPr>
                <w:rFonts w:hint="default" w:ascii="Times New Roman" w:hAnsi="Times New Roman" w:eastAsia="宋体" w:cs="Times New Roman"/>
                <w:b/>
                <w:u w:val="single"/>
              </w:rPr>
              <w:t>工序</w:t>
            </w:r>
          </w:p>
        </w:tc>
        <w:tc>
          <w:tcPr>
            <w:tcW w:w="2268" w:type="dxa"/>
            <w:vAlign w:val="center"/>
          </w:tcPr>
          <w:p w14:paraId="76D8BECA">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b/>
                <w:u w:val="single"/>
              </w:rPr>
            </w:pPr>
            <w:r>
              <w:rPr>
                <w:rFonts w:hint="default" w:ascii="Times New Roman" w:hAnsi="Times New Roman" w:eastAsia="宋体" w:cs="Times New Roman"/>
                <w:b/>
                <w:u w:val="single"/>
              </w:rPr>
              <w:t>污染物</w:t>
            </w:r>
          </w:p>
        </w:tc>
        <w:tc>
          <w:tcPr>
            <w:tcW w:w="4394" w:type="dxa"/>
            <w:vAlign w:val="center"/>
          </w:tcPr>
          <w:p w14:paraId="7744197C">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b/>
                <w:u w:val="single"/>
              </w:rPr>
            </w:pPr>
            <w:r>
              <w:rPr>
                <w:rFonts w:hint="default" w:ascii="Times New Roman" w:hAnsi="Times New Roman" w:eastAsia="宋体" w:cs="Times New Roman"/>
                <w:b/>
                <w:u w:val="single"/>
              </w:rPr>
              <w:t>环保治理措施</w:t>
            </w:r>
          </w:p>
        </w:tc>
        <w:tc>
          <w:tcPr>
            <w:tcW w:w="799" w:type="dxa"/>
            <w:vAlign w:val="center"/>
          </w:tcPr>
          <w:p w14:paraId="58F35BCC">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b/>
                <w:u w:val="single"/>
              </w:rPr>
            </w:pPr>
            <w:r>
              <w:rPr>
                <w:rFonts w:hint="default" w:ascii="Times New Roman" w:hAnsi="Times New Roman" w:eastAsia="宋体" w:cs="Times New Roman"/>
                <w:b/>
                <w:u w:val="single"/>
              </w:rPr>
              <w:t>数量</w:t>
            </w:r>
          </w:p>
        </w:tc>
        <w:tc>
          <w:tcPr>
            <w:tcW w:w="3527" w:type="dxa"/>
            <w:vAlign w:val="center"/>
          </w:tcPr>
          <w:p w14:paraId="569E6917">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b/>
                <w:u w:val="single"/>
              </w:rPr>
            </w:pPr>
            <w:r>
              <w:rPr>
                <w:rFonts w:hint="default" w:ascii="Times New Roman" w:hAnsi="Times New Roman" w:eastAsia="宋体" w:cs="Times New Roman"/>
                <w:b/>
                <w:u w:val="single"/>
              </w:rPr>
              <w:t>验收标准及要求</w:t>
            </w:r>
          </w:p>
        </w:tc>
      </w:tr>
      <w:tr w14:paraId="705C3B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36" w:hRule="atLeast"/>
          <w:jc w:val="center"/>
        </w:trPr>
        <w:tc>
          <w:tcPr>
            <w:tcW w:w="1059" w:type="dxa"/>
            <w:vMerge w:val="restart"/>
            <w:vAlign w:val="center"/>
          </w:tcPr>
          <w:p w14:paraId="449595DC">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废气</w:t>
            </w:r>
          </w:p>
        </w:tc>
        <w:tc>
          <w:tcPr>
            <w:tcW w:w="1925" w:type="dxa"/>
            <w:vMerge w:val="restart"/>
            <w:vAlign w:val="center"/>
          </w:tcPr>
          <w:p w14:paraId="099F036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lang w:val="en-US" w:eastAsia="zh-CN"/>
              </w:rPr>
              <w:t>危废预处理（</w:t>
            </w:r>
            <w:r>
              <w:rPr>
                <w:rFonts w:hint="default" w:ascii="Times New Roman" w:hAnsi="Times New Roman" w:eastAsia="宋体" w:cs="Times New Roman"/>
                <w:szCs w:val="21"/>
                <w:u w:val="single"/>
              </w:rPr>
              <w:t>倒残液</w:t>
            </w:r>
            <w:r>
              <w:rPr>
                <w:rFonts w:hint="default" w:ascii="Times New Roman" w:hAnsi="Times New Roman" w:eastAsia="宋体" w:cs="Times New Roman"/>
                <w:szCs w:val="21"/>
                <w:u w:val="single"/>
                <w:lang w:val="en-US" w:eastAsia="zh-CN"/>
              </w:rPr>
              <w:t>）</w:t>
            </w:r>
          </w:p>
          <w:p w14:paraId="25E19E0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综合利用生产线</w:t>
            </w:r>
          </w:p>
        </w:tc>
        <w:tc>
          <w:tcPr>
            <w:tcW w:w="2268" w:type="dxa"/>
            <w:vAlign w:val="center"/>
          </w:tcPr>
          <w:p w14:paraId="11F3AF4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VOCs</w:t>
            </w:r>
          </w:p>
        </w:tc>
        <w:tc>
          <w:tcPr>
            <w:tcW w:w="4394" w:type="dxa"/>
            <w:vMerge w:val="restart"/>
            <w:vAlign w:val="center"/>
          </w:tcPr>
          <w:p w14:paraId="7FED369A">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lang w:val="en-US" w:eastAsia="zh-CN"/>
              </w:rPr>
              <w:t>危废再生利用产生的VOCs采用区域封闭+负压抽吸+RCO催化燃烧法处理后通过15m高排气筒（DA001）排放</w:t>
            </w:r>
          </w:p>
        </w:tc>
        <w:tc>
          <w:tcPr>
            <w:tcW w:w="799" w:type="dxa"/>
            <w:vMerge w:val="restart"/>
            <w:vAlign w:val="center"/>
          </w:tcPr>
          <w:p w14:paraId="7769DB2A">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1套</w:t>
            </w:r>
          </w:p>
        </w:tc>
        <w:tc>
          <w:tcPr>
            <w:tcW w:w="3527" w:type="dxa"/>
            <w:vMerge w:val="restart"/>
            <w:vAlign w:val="center"/>
          </w:tcPr>
          <w:p w14:paraId="1866A4C9">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kern w:val="2"/>
                <w:szCs w:val="22"/>
                <w:u w:val="single"/>
              </w:rPr>
              <w:t>《大气污染物综合排放标准》（GB8978-1996）表2标准</w:t>
            </w:r>
          </w:p>
        </w:tc>
      </w:tr>
      <w:tr w14:paraId="6D26BE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41" w:hRule="atLeast"/>
          <w:jc w:val="center"/>
        </w:trPr>
        <w:tc>
          <w:tcPr>
            <w:tcW w:w="1059" w:type="dxa"/>
            <w:vMerge w:val="continue"/>
            <w:vAlign w:val="center"/>
          </w:tcPr>
          <w:p w14:paraId="3DD90CD8">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p>
        </w:tc>
        <w:tc>
          <w:tcPr>
            <w:tcW w:w="1925" w:type="dxa"/>
            <w:vMerge w:val="continue"/>
            <w:vAlign w:val="center"/>
          </w:tcPr>
          <w:p w14:paraId="7860E95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2268" w:type="dxa"/>
            <w:vAlign w:val="center"/>
          </w:tcPr>
          <w:p w14:paraId="4B2CBC7B">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苯、甲苯、二甲苯</w:t>
            </w:r>
          </w:p>
        </w:tc>
        <w:tc>
          <w:tcPr>
            <w:tcW w:w="4394" w:type="dxa"/>
            <w:vMerge w:val="continue"/>
            <w:vAlign w:val="center"/>
          </w:tcPr>
          <w:p w14:paraId="134836A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799" w:type="dxa"/>
            <w:vMerge w:val="continue"/>
            <w:vAlign w:val="center"/>
          </w:tcPr>
          <w:p w14:paraId="12030132">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p>
        </w:tc>
        <w:tc>
          <w:tcPr>
            <w:tcW w:w="3527" w:type="dxa"/>
            <w:vMerge w:val="continue"/>
            <w:vAlign w:val="center"/>
          </w:tcPr>
          <w:p w14:paraId="4CE09349">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p>
        </w:tc>
      </w:tr>
      <w:tr w14:paraId="4E8B54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9" w:type="dxa"/>
            <w:vMerge w:val="continue"/>
            <w:vAlign w:val="center"/>
          </w:tcPr>
          <w:p w14:paraId="3D2360CE">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p>
        </w:tc>
        <w:tc>
          <w:tcPr>
            <w:tcW w:w="1925" w:type="dxa"/>
            <w:vAlign w:val="center"/>
          </w:tcPr>
          <w:p w14:paraId="65A39036">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污水处理站厌氧处理单元</w:t>
            </w:r>
          </w:p>
        </w:tc>
        <w:tc>
          <w:tcPr>
            <w:tcW w:w="2268" w:type="dxa"/>
            <w:vAlign w:val="center"/>
          </w:tcPr>
          <w:p w14:paraId="585B37CD">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氨、硫化氢、臭气浓度</w:t>
            </w:r>
          </w:p>
        </w:tc>
        <w:tc>
          <w:tcPr>
            <w:tcW w:w="4394" w:type="dxa"/>
            <w:vAlign w:val="center"/>
          </w:tcPr>
          <w:p w14:paraId="17B5418C">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无组织排放</w:t>
            </w:r>
          </w:p>
        </w:tc>
        <w:tc>
          <w:tcPr>
            <w:tcW w:w="799" w:type="dxa"/>
            <w:vAlign w:val="center"/>
          </w:tcPr>
          <w:p w14:paraId="0D463ABE">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w:t>
            </w:r>
          </w:p>
        </w:tc>
        <w:tc>
          <w:tcPr>
            <w:tcW w:w="3527" w:type="dxa"/>
            <w:vAlign w:val="center"/>
          </w:tcPr>
          <w:p w14:paraId="63932EA1">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《恶臭污染物排放标准》（GB14554-93）中二级新改扩的限值要求</w:t>
            </w:r>
          </w:p>
        </w:tc>
      </w:tr>
      <w:tr w14:paraId="58037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9" w:type="dxa"/>
            <w:vMerge w:val="continue"/>
            <w:vAlign w:val="center"/>
          </w:tcPr>
          <w:p w14:paraId="1EFE3B35">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p>
        </w:tc>
        <w:tc>
          <w:tcPr>
            <w:tcW w:w="1925" w:type="dxa"/>
            <w:vAlign w:val="center"/>
          </w:tcPr>
          <w:p w14:paraId="2F20EDE7">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危险废物贮存转运</w:t>
            </w:r>
          </w:p>
          <w:p w14:paraId="733597EF">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（危废贮存库）</w:t>
            </w:r>
          </w:p>
        </w:tc>
        <w:tc>
          <w:tcPr>
            <w:tcW w:w="2268" w:type="dxa"/>
            <w:vAlign w:val="center"/>
          </w:tcPr>
          <w:p w14:paraId="718DD8DC">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VOCs、</w:t>
            </w:r>
            <w:r>
              <w:rPr>
                <w:rFonts w:hint="default" w:ascii="Times New Roman" w:hAnsi="Times New Roman" w:eastAsia="宋体" w:cs="Times New Roman"/>
                <w:szCs w:val="21"/>
                <w:u w:val="single"/>
                <w:lang w:val="en-US" w:eastAsia="zh-CN"/>
              </w:rPr>
              <w:t>硫酸雾</w:t>
            </w:r>
            <w:r>
              <w:rPr>
                <w:rFonts w:hint="default" w:ascii="Times New Roman" w:hAnsi="Times New Roman" w:eastAsia="宋体" w:cs="Times New Roman"/>
                <w:szCs w:val="21"/>
                <w:u w:val="single"/>
                <w:lang w:eastAsia="zh-CN"/>
              </w:rPr>
              <w:t>、</w:t>
            </w:r>
            <w:r>
              <w:rPr>
                <w:rFonts w:hint="default" w:ascii="Times New Roman" w:hAnsi="Times New Roman" w:eastAsia="宋体" w:cs="Times New Roman"/>
                <w:szCs w:val="21"/>
                <w:u w:val="single"/>
              </w:rPr>
              <w:t>氨、硫化氢</w:t>
            </w:r>
          </w:p>
        </w:tc>
        <w:tc>
          <w:tcPr>
            <w:tcW w:w="4394" w:type="dxa"/>
            <w:vAlign w:val="center"/>
          </w:tcPr>
          <w:p w14:paraId="27CA587A">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集气+UV光解+活性炭吸附装置+15m高排气筒（DA002）</w:t>
            </w:r>
          </w:p>
        </w:tc>
        <w:tc>
          <w:tcPr>
            <w:tcW w:w="799" w:type="dxa"/>
            <w:vAlign w:val="center"/>
          </w:tcPr>
          <w:p w14:paraId="713B19C0">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1套</w:t>
            </w:r>
          </w:p>
        </w:tc>
        <w:tc>
          <w:tcPr>
            <w:tcW w:w="3527" w:type="dxa"/>
            <w:vAlign w:val="center"/>
          </w:tcPr>
          <w:p w14:paraId="1CD5D62E">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kern w:val="2"/>
                <w:szCs w:val="22"/>
                <w:u w:val="single"/>
              </w:rPr>
              <w:t>《大气污染物综合排放标准》（GB8978-1996）表2标准</w:t>
            </w:r>
          </w:p>
          <w:p w14:paraId="5DF482D2">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《恶臭污染物排放标准》（GB14554-93）中二级新改扩的限值要求</w:t>
            </w:r>
          </w:p>
        </w:tc>
      </w:tr>
      <w:tr w14:paraId="2CFB1D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9" w:type="dxa"/>
            <w:vMerge w:val="restart"/>
            <w:vAlign w:val="center"/>
          </w:tcPr>
          <w:p w14:paraId="2A6AA1AD">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废水</w:t>
            </w:r>
          </w:p>
        </w:tc>
        <w:tc>
          <w:tcPr>
            <w:tcW w:w="1925" w:type="dxa"/>
            <w:vAlign w:val="center"/>
          </w:tcPr>
          <w:p w14:paraId="62D1787E">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生产废水</w:t>
            </w:r>
          </w:p>
        </w:tc>
        <w:tc>
          <w:tcPr>
            <w:tcW w:w="2268" w:type="dxa"/>
            <w:vAlign w:val="center"/>
          </w:tcPr>
          <w:p w14:paraId="67022A5B">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pH、COD、BOD、SS、苯、甲苯、石油类、LAS</w:t>
            </w:r>
          </w:p>
        </w:tc>
        <w:tc>
          <w:tcPr>
            <w:tcW w:w="4394" w:type="dxa"/>
            <w:vAlign w:val="center"/>
          </w:tcPr>
          <w:p w14:paraId="543B321D">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lang w:val="en-US" w:eastAsia="zh-CN"/>
              </w:rPr>
            </w:pPr>
            <w:r>
              <w:rPr>
                <w:rFonts w:hint="default" w:ascii="Times New Roman" w:hAnsi="Times New Roman" w:eastAsia="宋体" w:cs="Times New Roman"/>
                <w:u w:val="single"/>
              </w:rPr>
              <w:t>自建的污水处理站（</w:t>
            </w:r>
            <w:r>
              <w:rPr>
                <w:rFonts w:hint="default" w:ascii="Times New Roman" w:hAnsi="Times New Roman" w:eastAsia="宋体" w:cs="Times New Roman"/>
                <w:u w:val="single"/>
                <w:lang w:eastAsia="zh-CN"/>
              </w:rPr>
              <w:t>pH调节+絮凝+气浮+芬顿氧化+水解酸化+AO处理+沉淀</w:t>
            </w:r>
            <w:r>
              <w:rPr>
                <w:rFonts w:hint="default" w:ascii="Times New Roman" w:hAnsi="Times New Roman" w:eastAsia="宋体" w:cs="Times New Roman"/>
                <w:u w:val="single"/>
              </w:rPr>
              <w:t>，处理能力</w:t>
            </w:r>
            <w:r>
              <w:rPr>
                <w:rFonts w:hint="default" w:ascii="Times New Roman" w:hAnsi="Times New Roman" w:eastAsia="宋体" w:cs="Times New Roman"/>
                <w:u w:val="single"/>
                <w:lang w:val="en-US" w:eastAsia="zh-CN"/>
              </w:rPr>
              <w:t>30t/d</w:t>
            </w:r>
            <w:r>
              <w:rPr>
                <w:rFonts w:hint="default" w:ascii="Times New Roman" w:hAnsi="Times New Roman" w:eastAsia="宋体" w:cs="Times New Roman"/>
                <w:u w:val="single"/>
              </w:rPr>
              <w:t>）</w:t>
            </w:r>
            <w:r>
              <w:rPr>
                <w:rFonts w:hint="default" w:ascii="Times New Roman" w:hAnsi="Times New Roman" w:eastAsia="宋体" w:cs="Times New Roman"/>
                <w:u w:val="single"/>
                <w:lang w:val="en-US" w:eastAsia="zh-CN"/>
              </w:rPr>
              <w:t>+50m</w:t>
            </w:r>
            <w:r>
              <w:rPr>
                <w:rFonts w:hint="default" w:ascii="Times New Roman" w:hAnsi="Times New Roman" w:eastAsia="宋体" w:cs="Times New Roman"/>
                <w:u w:val="single"/>
                <w:vertAlign w:val="superscript"/>
                <w:lang w:val="en-US" w:eastAsia="zh-CN"/>
              </w:rPr>
              <w:t>3</w:t>
            </w:r>
            <w:r>
              <w:rPr>
                <w:rFonts w:hint="default" w:ascii="Times New Roman" w:hAnsi="Times New Roman" w:eastAsia="宋体" w:cs="Times New Roman"/>
                <w:u w:val="single"/>
                <w:lang w:val="en-US" w:eastAsia="zh-CN"/>
              </w:rPr>
              <w:t>蓄水池</w:t>
            </w:r>
          </w:p>
        </w:tc>
        <w:tc>
          <w:tcPr>
            <w:tcW w:w="799" w:type="dxa"/>
            <w:vAlign w:val="center"/>
          </w:tcPr>
          <w:p w14:paraId="61370CA3">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1组</w:t>
            </w:r>
          </w:p>
        </w:tc>
        <w:tc>
          <w:tcPr>
            <w:tcW w:w="3527" w:type="dxa"/>
            <w:vMerge w:val="restart"/>
            <w:vAlign w:val="center"/>
          </w:tcPr>
          <w:p w14:paraId="44BFAB34">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《污水综合排放标准》（GB8978-1996）表4中三级标准</w:t>
            </w:r>
            <w:r>
              <w:rPr>
                <w:rFonts w:hint="eastAsia" w:cs="Times New Roman"/>
                <w:u w:val="single"/>
                <w:lang w:val="en-US" w:eastAsia="zh-CN"/>
              </w:rPr>
              <w:t>和</w:t>
            </w:r>
            <w:r>
              <w:rPr>
                <w:rFonts w:hint="default" w:ascii="Times New Roman" w:hAnsi="Times New Roman" w:eastAsia="宋体" w:cs="Times New Roman"/>
                <w:u w:val="single"/>
              </w:rPr>
              <w:t>松木污水处理厂进水水质要求</w:t>
            </w:r>
          </w:p>
        </w:tc>
      </w:tr>
      <w:tr w14:paraId="246376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9" w:type="dxa"/>
            <w:vMerge w:val="continue"/>
            <w:vAlign w:val="center"/>
          </w:tcPr>
          <w:p w14:paraId="5D58AB46">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p>
        </w:tc>
        <w:tc>
          <w:tcPr>
            <w:tcW w:w="1925" w:type="dxa"/>
            <w:vAlign w:val="center"/>
          </w:tcPr>
          <w:p w14:paraId="5897E4F0">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生活污水</w:t>
            </w:r>
          </w:p>
        </w:tc>
        <w:tc>
          <w:tcPr>
            <w:tcW w:w="2268" w:type="dxa"/>
            <w:vAlign w:val="center"/>
          </w:tcPr>
          <w:p w14:paraId="0EDDBBF0">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pH、COD、BOD、SS、氨氮、动植物油</w:t>
            </w:r>
          </w:p>
        </w:tc>
        <w:tc>
          <w:tcPr>
            <w:tcW w:w="4394" w:type="dxa"/>
            <w:vAlign w:val="center"/>
          </w:tcPr>
          <w:p w14:paraId="3D1AC956">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化粪池处理达标后进入园区污水管网</w:t>
            </w:r>
          </w:p>
        </w:tc>
        <w:tc>
          <w:tcPr>
            <w:tcW w:w="799" w:type="dxa"/>
            <w:vAlign w:val="center"/>
          </w:tcPr>
          <w:p w14:paraId="2D93EDA5">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1组</w:t>
            </w:r>
          </w:p>
        </w:tc>
        <w:tc>
          <w:tcPr>
            <w:tcW w:w="3527" w:type="dxa"/>
            <w:vMerge w:val="continue"/>
            <w:vAlign w:val="center"/>
          </w:tcPr>
          <w:p w14:paraId="2ACB2BF1">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p>
        </w:tc>
      </w:tr>
      <w:tr w14:paraId="7A8FA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9" w:type="dxa"/>
            <w:vAlign w:val="center"/>
          </w:tcPr>
          <w:p w14:paraId="02A0B282">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噪声</w:t>
            </w:r>
          </w:p>
        </w:tc>
        <w:tc>
          <w:tcPr>
            <w:tcW w:w="1925" w:type="dxa"/>
            <w:vAlign w:val="center"/>
          </w:tcPr>
          <w:p w14:paraId="02CEA110">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生产设备</w:t>
            </w:r>
          </w:p>
        </w:tc>
        <w:tc>
          <w:tcPr>
            <w:tcW w:w="2268" w:type="dxa"/>
            <w:vAlign w:val="center"/>
          </w:tcPr>
          <w:p w14:paraId="5694B9F8">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等效A声级</w:t>
            </w:r>
          </w:p>
        </w:tc>
        <w:tc>
          <w:tcPr>
            <w:tcW w:w="4394" w:type="dxa"/>
            <w:vAlign w:val="center"/>
          </w:tcPr>
          <w:p w14:paraId="30B06515">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噪声减振、隔声措施</w:t>
            </w:r>
          </w:p>
        </w:tc>
        <w:tc>
          <w:tcPr>
            <w:tcW w:w="799" w:type="dxa"/>
            <w:vAlign w:val="center"/>
          </w:tcPr>
          <w:p w14:paraId="229B6001">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w:t>
            </w:r>
          </w:p>
        </w:tc>
        <w:tc>
          <w:tcPr>
            <w:tcW w:w="3527" w:type="dxa"/>
            <w:vAlign w:val="center"/>
          </w:tcPr>
          <w:p w14:paraId="5AC4DB89">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《工业企业厂界噪声排放标准》（GB12348-2008）中3类标准</w:t>
            </w:r>
          </w:p>
        </w:tc>
      </w:tr>
      <w:tr w14:paraId="056AF2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921" w:hRule="atLeast"/>
          <w:jc w:val="center"/>
        </w:trPr>
        <w:tc>
          <w:tcPr>
            <w:tcW w:w="1059" w:type="dxa"/>
            <w:vAlign w:val="center"/>
          </w:tcPr>
          <w:p w14:paraId="7420212B">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固废</w:t>
            </w:r>
          </w:p>
        </w:tc>
        <w:tc>
          <w:tcPr>
            <w:tcW w:w="1925" w:type="dxa"/>
            <w:vAlign w:val="center"/>
          </w:tcPr>
          <w:p w14:paraId="5E363292">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危险废物贮存库</w:t>
            </w:r>
          </w:p>
        </w:tc>
        <w:tc>
          <w:tcPr>
            <w:tcW w:w="2268" w:type="dxa"/>
            <w:vAlign w:val="center"/>
          </w:tcPr>
          <w:p w14:paraId="469F687A">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危险固废</w:t>
            </w:r>
          </w:p>
        </w:tc>
        <w:tc>
          <w:tcPr>
            <w:tcW w:w="4394" w:type="dxa"/>
            <w:vAlign w:val="center"/>
          </w:tcPr>
          <w:p w14:paraId="21C1E721">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①自建</w:t>
            </w:r>
            <w:r>
              <w:rPr>
                <w:rFonts w:hint="default" w:ascii="Times New Roman" w:hAnsi="Times New Roman" w:eastAsia="宋体" w:cs="Times New Roman"/>
                <w:color w:val="FF0000"/>
                <w:szCs w:val="21"/>
                <w:u w:val="single"/>
                <w:lang w:eastAsia="zh-CN"/>
              </w:rPr>
              <w:t>危险废物</w:t>
            </w:r>
            <w:r>
              <w:rPr>
                <w:rFonts w:hint="default" w:ascii="Times New Roman" w:hAnsi="Times New Roman" w:eastAsia="宋体" w:cs="Times New Roman"/>
                <w:color w:val="FF0000"/>
                <w:szCs w:val="21"/>
                <w:u w:val="single"/>
              </w:rPr>
              <w:t>贮存库，防风、防雨、防渗；</w:t>
            </w:r>
          </w:p>
          <w:p w14:paraId="5BA9D6E5">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②签订危废协议，定期交有资质单位处理；</w:t>
            </w:r>
          </w:p>
          <w:p w14:paraId="372816ED">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③按要求张贴（悬挂）危险废物警示标识；</w:t>
            </w:r>
          </w:p>
          <w:p w14:paraId="7819714A">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④建立危险废物贮存管理责任制度并公示；</w:t>
            </w:r>
          </w:p>
          <w:p w14:paraId="11329428">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⑤危险废物分区分类贮存，并按要求张贴标签以及危险废物标签；</w:t>
            </w:r>
          </w:p>
          <w:p w14:paraId="7DAFC81E">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FF0000"/>
                <w:szCs w:val="21"/>
                <w:u w:val="single"/>
              </w:rPr>
            </w:pPr>
            <w:r>
              <w:rPr>
                <w:rFonts w:hint="default" w:ascii="Times New Roman" w:hAnsi="Times New Roman" w:eastAsia="宋体" w:cs="Times New Roman"/>
                <w:color w:val="FF0000"/>
                <w:szCs w:val="21"/>
                <w:u w:val="single"/>
              </w:rPr>
              <w:t>⑥建立危险废物贮存台账并建立门禁制度。</w:t>
            </w:r>
          </w:p>
        </w:tc>
        <w:tc>
          <w:tcPr>
            <w:tcW w:w="799" w:type="dxa"/>
            <w:vAlign w:val="center"/>
          </w:tcPr>
          <w:p w14:paraId="08FE3A0E">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1间</w:t>
            </w:r>
          </w:p>
        </w:tc>
        <w:tc>
          <w:tcPr>
            <w:tcW w:w="3527" w:type="dxa"/>
            <w:vAlign w:val="center"/>
          </w:tcPr>
          <w:p w14:paraId="73B42DAF">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100%合理安全处置</w:t>
            </w:r>
          </w:p>
        </w:tc>
      </w:tr>
      <w:tr w14:paraId="5AA675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9" w:type="dxa"/>
            <w:vAlign w:val="center"/>
          </w:tcPr>
          <w:p w14:paraId="3DE682E7">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土壤、地下水</w:t>
            </w:r>
          </w:p>
        </w:tc>
        <w:tc>
          <w:tcPr>
            <w:tcW w:w="12913" w:type="dxa"/>
            <w:gridSpan w:val="5"/>
            <w:vAlign w:val="center"/>
          </w:tcPr>
          <w:p w14:paraId="0B61AAB2">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根据防渗要求开展重点防渗区、一般防渗区的防腐防渗工作、地下水监控井和监控制度</w:t>
            </w:r>
          </w:p>
        </w:tc>
      </w:tr>
      <w:tr w14:paraId="665237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9" w:type="dxa"/>
            <w:vAlign w:val="center"/>
          </w:tcPr>
          <w:p w14:paraId="784C7CC4">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环境风险</w:t>
            </w:r>
          </w:p>
        </w:tc>
        <w:tc>
          <w:tcPr>
            <w:tcW w:w="12913" w:type="dxa"/>
            <w:gridSpan w:val="5"/>
            <w:vAlign w:val="center"/>
          </w:tcPr>
          <w:p w14:paraId="4D153CD6">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加强管理，加强设备、管道、阀门等的检修和维护；设置防渗围堰、应急事故池（容积</w:t>
            </w:r>
            <w:r>
              <w:rPr>
                <w:rFonts w:hint="default" w:ascii="Times New Roman" w:hAnsi="Times New Roman" w:eastAsia="宋体" w:cs="Times New Roman"/>
                <w:color w:val="FF0000"/>
                <w:u w:val="single"/>
                <w:lang w:val="en-US" w:eastAsia="zh-CN"/>
              </w:rPr>
              <w:t>40</w:t>
            </w:r>
            <w:r>
              <w:rPr>
                <w:rFonts w:hint="default" w:ascii="Times New Roman" w:hAnsi="Times New Roman" w:eastAsia="宋体" w:cs="Times New Roman"/>
                <w:color w:val="FF0000"/>
                <w:u w:val="single"/>
              </w:rPr>
              <w:t>0m</w:t>
            </w:r>
            <w:r>
              <w:rPr>
                <w:rFonts w:hint="default" w:ascii="Times New Roman" w:hAnsi="Times New Roman" w:eastAsia="宋体" w:cs="Times New Roman"/>
                <w:color w:val="FF0000"/>
                <w:u w:val="single"/>
                <w:vertAlign w:val="superscript"/>
              </w:rPr>
              <w:t>3</w:t>
            </w:r>
            <w:r>
              <w:rPr>
                <w:rFonts w:hint="default" w:ascii="Times New Roman" w:hAnsi="Times New Roman" w:eastAsia="宋体" w:cs="Times New Roman"/>
                <w:color w:val="FF0000"/>
                <w:u w:val="single"/>
              </w:rPr>
              <w:t>）；配备劳保用品、应急设施、制定突发环境事件应急预案、定期进行演练</w:t>
            </w:r>
          </w:p>
        </w:tc>
      </w:tr>
      <w:tr w14:paraId="6A4CB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059" w:type="dxa"/>
            <w:vAlign w:val="center"/>
          </w:tcPr>
          <w:p w14:paraId="1FBCEF6E">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u w:val="single"/>
              </w:rPr>
            </w:pPr>
            <w:r>
              <w:rPr>
                <w:rFonts w:hint="default" w:ascii="Times New Roman" w:hAnsi="Times New Roman" w:eastAsia="宋体" w:cs="Times New Roman"/>
                <w:u w:val="single"/>
              </w:rPr>
              <w:t>其他</w:t>
            </w:r>
          </w:p>
        </w:tc>
        <w:tc>
          <w:tcPr>
            <w:tcW w:w="12913" w:type="dxa"/>
            <w:gridSpan w:val="5"/>
            <w:vAlign w:val="center"/>
          </w:tcPr>
          <w:p w14:paraId="78EE16C7">
            <w:pPr>
              <w:pStyle w:val="66"/>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FF0000"/>
                <w:u w:val="single"/>
              </w:rPr>
            </w:pPr>
            <w:r>
              <w:rPr>
                <w:rFonts w:hint="default" w:ascii="Times New Roman" w:hAnsi="Times New Roman" w:eastAsia="宋体" w:cs="Times New Roman"/>
                <w:color w:val="FF0000"/>
                <w:u w:val="single"/>
              </w:rPr>
              <w:t>设置环保机构、制定环保制度</w:t>
            </w:r>
          </w:p>
        </w:tc>
      </w:tr>
    </w:tbl>
    <w:p w14:paraId="697CE003">
      <w:pPr>
        <w:spacing w:line="360" w:lineRule="auto"/>
        <w:ind w:firstLine="480" w:firstLineChars="200"/>
        <w:jc w:val="left"/>
        <w:rPr>
          <w:rFonts w:hint="default" w:ascii="Times New Roman" w:hAnsi="Times New Roman" w:eastAsia="宋体" w:cs="Times New Roman"/>
          <w:kern w:val="0"/>
          <w:sz w:val="24"/>
        </w:rPr>
        <w:sectPr>
          <w:pgSz w:w="16838" w:h="11906" w:orient="landscape"/>
          <w:pgMar w:top="1800" w:right="1440" w:bottom="1800" w:left="1440" w:header="851" w:footer="992" w:gutter="0"/>
          <w:pgBorders>
            <w:top w:val="none" w:sz="0" w:space="0"/>
            <w:left w:val="none" w:sz="0" w:space="0"/>
            <w:bottom w:val="none" w:sz="0" w:space="0"/>
            <w:right w:val="none" w:sz="0" w:space="0"/>
          </w:pgBorders>
          <w:cols w:space="720" w:num="1"/>
          <w:docGrid w:type="lines" w:linePitch="312" w:charSpace="0"/>
        </w:sectPr>
      </w:pPr>
    </w:p>
    <w:p w14:paraId="218C9AC9">
      <w:pPr>
        <w:pStyle w:val="2"/>
        <w:spacing w:before="0" w:after="0" w:line="360" w:lineRule="auto"/>
        <w:rPr>
          <w:rFonts w:hint="default" w:ascii="Times New Roman" w:hAnsi="Times New Roman" w:eastAsia="宋体" w:cs="Times New Roman"/>
        </w:rPr>
      </w:pPr>
      <w:bookmarkStart w:id="457" w:name="_Toc119413829"/>
      <w:bookmarkStart w:id="458" w:name="_Toc106961932"/>
      <w:bookmarkStart w:id="459" w:name="_Toc13239"/>
      <w:r>
        <w:rPr>
          <w:rFonts w:hint="default" w:ascii="Times New Roman" w:hAnsi="Times New Roman" w:eastAsia="宋体" w:cs="Times New Roman"/>
        </w:rPr>
        <w:t>12环境影响经济损益分析</w:t>
      </w:r>
      <w:bookmarkEnd w:id="457"/>
      <w:bookmarkEnd w:id="458"/>
      <w:bookmarkEnd w:id="459"/>
    </w:p>
    <w:p w14:paraId="6D61553E">
      <w:pPr>
        <w:pStyle w:val="3"/>
        <w:spacing w:before="0" w:after="0" w:line="360" w:lineRule="auto"/>
        <w:rPr>
          <w:rFonts w:hint="default" w:ascii="Times New Roman" w:hAnsi="Times New Roman" w:eastAsia="宋体" w:cs="Times New Roman"/>
        </w:rPr>
      </w:pPr>
      <w:bookmarkStart w:id="460" w:name="_Toc264633385"/>
      <w:bookmarkStart w:id="461" w:name="_Toc29475"/>
      <w:bookmarkStart w:id="462" w:name="_Toc106961933"/>
      <w:bookmarkStart w:id="463" w:name="_Toc226469795"/>
      <w:bookmarkStart w:id="464" w:name="_Toc87017029"/>
      <w:bookmarkStart w:id="465" w:name="_Toc119413830"/>
      <w:bookmarkStart w:id="466" w:name="_Toc33007217"/>
      <w:bookmarkStart w:id="467" w:name="_Toc1120427"/>
      <w:bookmarkStart w:id="468" w:name="_Toc267404153"/>
      <w:bookmarkStart w:id="469" w:name="_Toc480715237"/>
      <w:bookmarkStart w:id="470" w:name="_Toc262564765"/>
      <w:bookmarkStart w:id="471" w:name="_Toc247104287"/>
      <w:r>
        <w:rPr>
          <w:rFonts w:hint="default" w:ascii="Times New Roman" w:hAnsi="Times New Roman" w:eastAsia="宋体" w:cs="Times New Roman"/>
        </w:rPr>
        <w:t>12.1环境效益</w:t>
      </w:r>
      <w:bookmarkEnd w:id="460"/>
      <w:bookmarkEnd w:id="461"/>
      <w:bookmarkEnd w:id="462"/>
      <w:bookmarkEnd w:id="463"/>
      <w:bookmarkEnd w:id="464"/>
      <w:bookmarkEnd w:id="465"/>
      <w:bookmarkEnd w:id="466"/>
      <w:bookmarkEnd w:id="467"/>
      <w:bookmarkEnd w:id="468"/>
      <w:bookmarkEnd w:id="469"/>
      <w:bookmarkEnd w:id="470"/>
      <w:bookmarkEnd w:id="471"/>
    </w:p>
    <w:p w14:paraId="568662F5">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本项目由于对“三废”采取了相应的治理措施，能有效地消减污染物的排放量，使污染物达标排放。通过本次扩建，虽然新增了污染物，从污染源分析和防治对策章节中可知，新增污染物的排放量相对较小，且在采取相应的环保措施后，本工程对厂区及厂区周边环境的影响不大。</w:t>
      </w:r>
    </w:p>
    <w:p w14:paraId="7AEB4E71">
      <w:pPr>
        <w:pStyle w:val="3"/>
        <w:spacing w:before="0" w:after="0" w:line="360" w:lineRule="auto"/>
        <w:rPr>
          <w:rFonts w:hint="default" w:ascii="Times New Roman" w:hAnsi="Times New Roman" w:eastAsia="宋体" w:cs="Times New Roman"/>
        </w:rPr>
      </w:pPr>
      <w:bookmarkStart w:id="472" w:name="_Toc1120428"/>
      <w:bookmarkStart w:id="473" w:name="_Toc119413831"/>
      <w:bookmarkStart w:id="474" w:name="_Toc480715238"/>
      <w:bookmarkStart w:id="475" w:name="_Toc264633388"/>
      <w:bookmarkStart w:id="476" w:name="_Toc33007218"/>
      <w:bookmarkStart w:id="477" w:name="_Toc8262"/>
      <w:bookmarkStart w:id="478" w:name="_Toc267404156"/>
      <w:bookmarkStart w:id="479" w:name="_Toc87017030"/>
      <w:bookmarkStart w:id="480" w:name="_Toc247104292"/>
      <w:bookmarkStart w:id="481" w:name="_Toc106961934"/>
      <w:r>
        <w:rPr>
          <w:rFonts w:hint="default" w:ascii="Times New Roman" w:hAnsi="Times New Roman" w:eastAsia="宋体" w:cs="Times New Roman"/>
        </w:rPr>
        <w:t>12.2社会效益</w:t>
      </w:r>
      <w:bookmarkEnd w:id="472"/>
      <w:bookmarkEnd w:id="473"/>
      <w:bookmarkEnd w:id="474"/>
      <w:bookmarkEnd w:id="475"/>
      <w:bookmarkEnd w:id="476"/>
      <w:bookmarkEnd w:id="477"/>
      <w:bookmarkEnd w:id="478"/>
      <w:bookmarkEnd w:id="479"/>
      <w:bookmarkEnd w:id="480"/>
      <w:bookmarkEnd w:id="481"/>
    </w:p>
    <w:p w14:paraId="0D5F8060">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本项目投产以后，地方政府每年可获得客观的增值税、企业所得税和其它税款，并能缓解当地就业压力，带动相关企业的发展，对促进当地的经济发展和繁荣将起到积极地推动作用。</w:t>
      </w:r>
    </w:p>
    <w:p w14:paraId="1E16A69A">
      <w:pPr>
        <w:pStyle w:val="3"/>
        <w:spacing w:before="0" w:after="0" w:line="360" w:lineRule="auto"/>
        <w:rPr>
          <w:rFonts w:hint="default" w:ascii="Times New Roman" w:hAnsi="Times New Roman" w:eastAsia="宋体" w:cs="Times New Roman"/>
          <w:u w:val="single"/>
        </w:rPr>
      </w:pPr>
      <w:bookmarkStart w:id="482" w:name="_Toc480715239"/>
      <w:bookmarkStart w:id="483" w:name="_Toc106961935"/>
      <w:bookmarkStart w:id="484" w:name="_Toc33007219"/>
      <w:bookmarkStart w:id="485" w:name="_Toc1120429"/>
      <w:bookmarkStart w:id="486" w:name="_Toc10968"/>
      <w:bookmarkStart w:id="487" w:name="_Toc119413832"/>
      <w:bookmarkStart w:id="488" w:name="_Toc87017031"/>
      <w:r>
        <w:rPr>
          <w:rFonts w:hint="default" w:ascii="Times New Roman" w:hAnsi="Times New Roman" w:eastAsia="宋体" w:cs="Times New Roman"/>
          <w:u w:val="single"/>
        </w:rPr>
        <w:t>12.3环境经济效益</w:t>
      </w:r>
      <w:bookmarkEnd w:id="482"/>
      <w:r>
        <w:rPr>
          <w:rFonts w:hint="default" w:ascii="Times New Roman" w:hAnsi="Times New Roman" w:eastAsia="宋体" w:cs="Times New Roman"/>
          <w:u w:val="single"/>
        </w:rPr>
        <w:t>分析</w:t>
      </w:r>
      <w:bookmarkEnd w:id="483"/>
      <w:bookmarkEnd w:id="484"/>
      <w:bookmarkEnd w:id="485"/>
      <w:bookmarkEnd w:id="486"/>
      <w:bookmarkEnd w:id="487"/>
      <w:bookmarkEnd w:id="488"/>
    </w:p>
    <w:p w14:paraId="768EFF24">
      <w:pPr>
        <w:pStyle w:val="12"/>
        <w:spacing w:line="360" w:lineRule="auto"/>
        <w:ind w:firstLine="480"/>
        <w:rPr>
          <w:rFonts w:hint="default" w:ascii="Times New Roman" w:hAnsi="Times New Roman" w:eastAsia="宋体" w:cs="Times New Roman"/>
          <w:u w:val="single"/>
        </w:rPr>
      </w:pPr>
      <w:r>
        <w:rPr>
          <w:rFonts w:hint="default" w:ascii="Times New Roman" w:hAnsi="Times New Roman" w:eastAsia="宋体" w:cs="Times New Roman"/>
          <w:u w:val="single"/>
        </w:rPr>
        <w:t>（1）环保投资比例分析</w:t>
      </w:r>
    </w:p>
    <w:p w14:paraId="26321DA7">
      <w:pPr>
        <w:pStyle w:val="12"/>
        <w:spacing w:line="360" w:lineRule="auto"/>
        <w:ind w:firstLine="480"/>
        <w:rPr>
          <w:rFonts w:hint="default" w:ascii="Times New Roman" w:hAnsi="Times New Roman" w:eastAsia="宋体" w:cs="Times New Roman"/>
          <w:u w:val="single"/>
        </w:rPr>
      </w:pPr>
      <w:r>
        <w:rPr>
          <w:rFonts w:hint="default" w:ascii="Times New Roman" w:hAnsi="Times New Roman" w:eastAsia="宋体" w:cs="Times New Roman"/>
          <w:u w:val="single"/>
        </w:rPr>
        <w:t>本次扩建项目总投资9800万元，其中新增的环保投资额480万元，约占总投资的5%，具体见表12.3-1。</w:t>
      </w:r>
    </w:p>
    <w:p w14:paraId="54B8361E">
      <w:pPr>
        <w:pStyle w:val="57"/>
        <w:snapToGrid/>
        <w:spacing w:beforeLines="0"/>
        <w:ind w:firstLine="480"/>
        <w:rPr>
          <w:rFonts w:hint="default" w:ascii="Times New Roman" w:hAnsi="Times New Roman" w:eastAsia="宋体" w:cs="Times New Roman"/>
          <w:color w:val="auto"/>
          <w:u w:val="single"/>
        </w:rPr>
      </w:pPr>
      <w:r>
        <w:rPr>
          <w:rFonts w:hint="default" w:ascii="Times New Roman" w:hAnsi="Times New Roman" w:eastAsia="宋体" w:cs="Times New Roman"/>
          <w:color w:val="auto"/>
          <w:u w:val="single"/>
        </w:rPr>
        <w:t>表12.3-1  工程环保投资估算表</w:t>
      </w:r>
    </w:p>
    <w:tbl>
      <w:tblPr>
        <w:tblStyle w:val="32"/>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85"/>
        <w:gridCol w:w="1953"/>
        <w:gridCol w:w="4358"/>
        <w:gridCol w:w="1326"/>
      </w:tblGrid>
      <w:tr w14:paraId="0E9421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519" w:type="pct"/>
            <w:vAlign w:val="center"/>
          </w:tcPr>
          <w:p w14:paraId="7358EA54">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序号</w:t>
            </w:r>
          </w:p>
        </w:tc>
        <w:tc>
          <w:tcPr>
            <w:tcW w:w="1146" w:type="pct"/>
            <w:vAlign w:val="center"/>
          </w:tcPr>
          <w:p w14:paraId="050E7F15">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项目</w:t>
            </w:r>
          </w:p>
        </w:tc>
        <w:tc>
          <w:tcPr>
            <w:tcW w:w="2557" w:type="pct"/>
            <w:vAlign w:val="center"/>
          </w:tcPr>
          <w:p w14:paraId="1B2829C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治理措施</w:t>
            </w:r>
          </w:p>
        </w:tc>
        <w:tc>
          <w:tcPr>
            <w:tcW w:w="778" w:type="pct"/>
            <w:vAlign w:val="center"/>
          </w:tcPr>
          <w:p w14:paraId="2830A97C">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投资(万元)</w:t>
            </w:r>
          </w:p>
        </w:tc>
      </w:tr>
      <w:tr w14:paraId="0B96DC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519" w:type="pct"/>
            <w:vMerge w:val="restart"/>
            <w:vAlign w:val="center"/>
          </w:tcPr>
          <w:p w14:paraId="2CB43A63">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1</w:t>
            </w:r>
          </w:p>
        </w:tc>
        <w:tc>
          <w:tcPr>
            <w:tcW w:w="1146" w:type="pct"/>
            <w:vMerge w:val="restart"/>
            <w:vAlign w:val="center"/>
          </w:tcPr>
          <w:p w14:paraId="4D24F37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废水处理系统</w:t>
            </w:r>
          </w:p>
        </w:tc>
        <w:tc>
          <w:tcPr>
            <w:tcW w:w="2557" w:type="pct"/>
            <w:vAlign w:val="center"/>
          </w:tcPr>
          <w:p w14:paraId="03516AD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lang w:val="en-US" w:eastAsia="zh-CN"/>
              </w:rPr>
            </w:pPr>
            <w:r>
              <w:rPr>
                <w:rFonts w:hint="default" w:ascii="Times New Roman" w:hAnsi="Times New Roman" w:eastAsia="宋体" w:cs="Times New Roman"/>
                <w:szCs w:val="21"/>
                <w:u w:val="single"/>
              </w:rPr>
              <w:t>生产废水：污水处理站（</w:t>
            </w:r>
            <w:r>
              <w:rPr>
                <w:rFonts w:hint="default" w:ascii="Times New Roman" w:hAnsi="Times New Roman" w:eastAsia="宋体" w:cs="Times New Roman"/>
                <w:szCs w:val="21"/>
                <w:u w:val="single"/>
                <w:lang w:eastAsia="zh-CN"/>
              </w:rPr>
              <w:t>pH调节+絮凝+气浮+芬顿氧化+水解酸化+AO处理+沉淀</w:t>
            </w:r>
            <w:r>
              <w:rPr>
                <w:rFonts w:hint="default" w:ascii="Times New Roman" w:hAnsi="Times New Roman" w:eastAsia="宋体" w:cs="Times New Roman"/>
                <w:szCs w:val="21"/>
                <w:u w:val="single"/>
              </w:rPr>
              <w:t>，处理能力</w:t>
            </w:r>
            <w:r>
              <w:rPr>
                <w:rFonts w:hint="default" w:ascii="Times New Roman" w:hAnsi="Times New Roman" w:eastAsia="宋体" w:cs="Times New Roman"/>
                <w:szCs w:val="21"/>
                <w:u w:val="single"/>
                <w:lang w:val="en-US" w:eastAsia="zh-CN"/>
              </w:rPr>
              <w:t>30t/d</w:t>
            </w:r>
            <w:r>
              <w:rPr>
                <w:rFonts w:hint="default" w:ascii="Times New Roman" w:hAnsi="Times New Roman" w:eastAsia="宋体" w:cs="Times New Roman"/>
                <w:szCs w:val="21"/>
                <w:u w:val="single"/>
              </w:rPr>
              <w:t>）</w:t>
            </w:r>
            <w:r>
              <w:rPr>
                <w:rFonts w:hint="default" w:ascii="Times New Roman" w:hAnsi="Times New Roman" w:eastAsia="宋体" w:cs="Times New Roman"/>
                <w:szCs w:val="21"/>
                <w:u w:val="single"/>
                <w:lang w:val="en-US" w:eastAsia="zh-CN"/>
              </w:rPr>
              <w:t>+50m</w:t>
            </w:r>
            <w:r>
              <w:rPr>
                <w:rFonts w:hint="default" w:ascii="Times New Roman" w:hAnsi="Times New Roman" w:eastAsia="宋体" w:cs="Times New Roman"/>
                <w:szCs w:val="21"/>
                <w:u w:val="single"/>
                <w:vertAlign w:val="superscript"/>
                <w:lang w:val="en-US" w:eastAsia="zh-CN"/>
              </w:rPr>
              <w:t>3</w:t>
            </w:r>
            <w:r>
              <w:rPr>
                <w:rFonts w:hint="default" w:ascii="Times New Roman" w:hAnsi="Times New Roman" w:eastAsia="宋体" w:cs="Times New Roman"/>
                <w:szCs w:val="21"/>
                <w:u w:val="single"/>
                <w:lang w:val="en-US" w:eastAsia="zh-CN"/>
              </w:rPr>
              <w:t>蓄水池</w:t>
            </w:r>
          </w:p>
        </w:tc>
        <w:tc>
          <w:tcPr>
            <w:tcW w:w="778" w:type="pct"/>
            <w:vAlign w:val="center"/>
          </w:tcPr>
          <w:p w14:paraId="2A93358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300</w:t>
            </w:r>
          </w:p>
        </w:tc>
      </w:tr>
      <w:tr w14:paraId="10A65F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519" w:type="pct"/>
            <w:vMerge w:val="continue"/>
            <w:vAlign w:val="center"/>
          </w:tcPr>
          <w:p w14:paraId="056F1C16">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1146" w:type="pct"/>
            <w:vMerge w:val="continue"/>
            <w:vAlign w:val="center"/>
          </w:tcPr>
          <w:p w14:paraId="7778424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p>
        </w:tc>
        <w:tc>
          <w:tcPr>
            <w:tcW w:w="2557" w:type="pct"/>
            <w:vAlign w:val="center"/>
          </w:tcPr>
          <w:p w14:paraId="2E30CB0F">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生活污水：化粪池</w:t>
            </w:r>
          </w:p>
        </w:tc>
        <w:tc>
          <w:tcPr>
            <w:tcW w:w="778" w:type="pct"/>
            <w:vAlign w:val="center"/>
          </w:tcPr>
          <w:p w14:paraId="372203C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5</w:t>
            </w:r>
          </w:p>
        </w:tc>
      </w:tr>
      <w:tr w14:paraId="279464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519" w:type="pct"/>
            <w:vAlign w:val="center"/>
          </w:tcPr>
          <w:p w14:paraId="10C8463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w:t>
            </w:r>
          </w:p>
        </w:tc>
        <w:tc>
          <w:tcPr>
            <w:tcW w:w="1146" w:type="pct"/>
            <w:vAlign w:val="center"/>
          </w:tcPr>
          <w:p w14:paraId="215963AB">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lang w:eastAsia="zh-CN"/>
              </w:rPr>
              <w:t>危险废物综合处置车间</w:t>
            </w:r>
            <w:r>
              <w:rPr>
                <w:rFonts w:hint="default" w:ascii="Times New Roman" w:hAnsi="Times New Roman" w:eastAsia="宋体" w:cs="Times New Roman"/>
                <w:szCs w:val="21"/>
                <w:u w:val="single"/>
              </w:rPr>
              <w:t>废气治理</w:t>
            </w:r>
          </w:p>
        </w:tc>
        <w:tc>
          <w:tcPr>
            <w:tcW w:w="2557" w:type="pct"/>
            <w:vAlign w:val="center"/>
          </w:tcPr>
          <w:p w14:paraId="2CC4EA4E">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lang w:val="en-US" w:eastAsia="zh-CN"/>
              </w:rPr>
              <w:t>危废再生利用产生的VOCs采用区域封闭+负压抽吸+RCO催化燃烧法处理后通过15m高排气筒（DA001）排放</w:t>
            </w:r>
          </w:p>
        </w:tc>
        <w:tc>
          <w:tcPr>
            <w:tcW w:w="778" w:type="pct"/>
            <w:vAlign w:val="center"/>
          </w:tcPr>
          <w:p w14:paraId="4D5E1F76">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60</w:t>
            </w:r>
          </w:p>
        </w:tc>
      </w:tr>
      <w:tr w14:paraId="2A5F36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519" w:type="pct"/>
            <w:vAlign w:val="center"/>
          </w:tcPr>
          <w:p w14:paraId="777ADBA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3</w:t>
            </w:r>
          </w:p>
        </w:tc>
        <w:tc>
          <w:tcPr>
            <w:tcW w:w="1146" w:type="pct"/>
            <w:vAlign w:val="center"/>
          </w:tcPr>
          <w:p w14:paraId="712E9F50">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危废暂存库废气治理</w:t>
            </w:r>
          </w:p>
        </w:tc>
        <w:tc>
          <w:tcPr>
            <w:tcW w:w="2557" w:type="pct"/>
            <w:vAlign w:val="center"/>
          </w:tcPr>
          <w:p w14:paraId="07E5B96E">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集气</w:t>
            </w:r>
            <w:r>
              <w:rPr>
                <w:rFonts w:hint="default" w:ascii="Times New Roman" w:hAnsi="Times New Roman" w:eastAsia="宋体" w:cs="Times New Roman"/>
                <w:u w:val="single"/>
              </w:rPr>
              <w:t>+UV光解+活性炭吸附装置</w:t>
            </w:r>
            <w:r>
              <w:rPr>
                <w:rFonts w:hint="default" w:ascii="Times New Roman" w:hAnsi="Times New Roman" w:eastAsia="宋体" w:cs="Times New Roman"/>
                <w:szCs w:val="21"/>
                <w:u w:val="single"/>
              </w:rPr>
              <w:t>+15m高排气筒（DA002）</w:t>
            </w:r>
          </w:p>
        </w:tc>
        <w:tc>
          <w:tcPr>
            <w:tcW w:w="778" w:type="pct"/>
            <w:vAlign w:val="center"/>
          </w:tcPr>
          <w:p w14:paraId="67EC4C71">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20</w:t>
            </w:r>
          </w:p>
        </w:tc>
      </w:tr>
      <w:tr w14:paraId="21333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519" w:type="pct"/>
            <w:vAlign w:val="center"/>
          </w:tcPr>
          <w:p w14:paraId="7C3C13C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4</w:t>
            </w:r>
          </w:p>
        </w:tc>
        <w:tc>
          <w:tcPr>
            <w:tcW w:w="1146" w:type="pct"/>
            <w:vAlign w:val="center"/>
          </w:tcPr>
          <w:p w14:paraId="650F3C4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噪声治理</w:t>
            </w:r>
          </w:p>
        </w:tc>
        <w:tc>
          <w:tcPr>
            <w:tcW w:w="2557" w:type="pct"/>
            <w:vAlign w:val="center"/>
          </w:tcPr>
          <w:p w14:paraId="45EDED35">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减振基础、隔声门窗</w:t>
            </w:r>
          </w:p>
        </w:tc>
        <w:tc>
          <w:tcPr>
            <w:tcW w:w="778" w:type="pct"/>
            <w:vAlign w:val="center"/>
          </w:tcPr>
          <w:p w14:paraId="0103ACE8">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5</w:t>
            </w:r>
          </w:p>
        </w:tc>
      </w:tr>
      <w:tr w14:paraId="629099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519" w:type="pct"/>
            <w:vAlign w:val="center"/>
          </w:tcPr>
          <w:p w14:paraId="6070C7CA">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5</w:t>
            </w:r>
          </w:p>
        </w:tc>
        <w:tc>
          <w:tcPr>
            <w:tcW w:w="1146" w:type="pct"/>
            <w:vAlign w:val="center"/>
          </w:tcPr>
          <w:p w14:paraId="34EA751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固废处理</w:t>
            </w:r>
          </w:p>
        </w:tc>
        <w:tc>
          <w:tcPr>
            <w:tcW w:w="2557" w:type="pct"/>
            <w:vAlign w:val="center"/>
          </w:tcPr>
          <w:p w14:paraId="05077D7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固废暂存间；</w:t>
            </w:r>
          </w:p>
          <w:p w14:paraId="512D3AC9">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危废贮存库</w:t>
            </w:r>
            <w:r>
              <w:rPr>
                <w:rFonts w:hint="default" w:ascii="Times New Roman" w:hAnsi="Times New Roman" w:eastAsia="宋体" w:cs="Times New Roman"/>
                <w:szCs w:val="21"/>
                <w:u w:val="single"/>
                <w:lang w:eastAsia="zh-CN"/>
              </w:rPr>
              <w:t>、</w:t>
            </w:r>
            <w:r>
              <w:rPr>
                <w:rFonts w:hint="default" w:ascii="Times New Roman" w:hAnsi="Times New Roman" w:eastAsia="宋体" w:cs="Times New Roman"/>
                <w:szCs w:val="21"/>
                <w:u w:val="single"/>
              </w:rPr>
              <w:t>危险废物：签订危废处置协议、完善管理措施制度</w:t>
            </w:r>
          </w:p>
        </w:tc>
        <w:tc>
          <w:tcPr>
            <w:tcW w:w="778" w:type="pct"/>
            <w:vAlign w:val="center"/>
          </w:tcPr>
          <w:p w14:paraId="1B81AE82">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40</w:t>
            </w:r>
          </w:p>
        </w:tc>
      </w:tr>
      <w:tr w14:paraId="61E68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519" w:type="pct"/>
            <w:vAlign w:val="center"/>
          </w:tcPr>
          <w:p w14:paraId="18B5EEF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6</w:t>
            </w:r>
          </w:p>
        </w:tc>
        <w:tc>
          <w:tcPr>
            <w:tcW w:w="1146" w:type="pct"/>
            <w:vAlign w:val="center"/>
          </w:tcPr>
          <w:p w14:paraId="57500C42">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环境风险</w:t>
            </w:r>
          </w:p>
        </w:tc>
        <w:tc>
          <w:tcPr>
            <w:tcW w:w="2557" w:type="pct"/>
            <w:vAlign w:val="center"/>
          </w:tcPr>
          <w:p w14:paraId="23E982E7">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地面分级防渗；事故</w:t>
            </w:r>
            <w:r>
              <w:rPr>
                <w:rFonts w:hint="default" w:ascii="Times New Roman" w:hAnsi="Times New Roman" w:eastAsia="宋体" w:cs="Times New Roman"/>
                <w:u w:val="single"/>
              </w:rPr>
              <w:t>池（容积</w:t>
            </w:r>
            <w:r>
              <w:rPr>
                <w:rFonts w:hint="default" w:ascii="Times New Roman" w:hAnsi="Times New Roman" w:eastAsia="宋体" w:cs="Times New Roman"/>
                <w:u w:val="single"/>
                <w:lang w:val="en-US" w:eastAsia="zh-CN"/>
              </w:rPr>
              <w:t>40</w:t>
            </w:r>
            <w:r>
              <w:rPr>
                <w:rFonts w:hint="default" w:ascii="Times New Roman" w:hAnsi="Times New Roman" w:eastAsia="宋体" w:cs="Times New Roman"/>
                <w:u w:val="single"/>
              </w:rPr>
              <w:t>0m</w:t>
            </w:r>
            <w:r>
              <w:rPr>
                <w:rFonts w:hint="default" w:ascii="Times New Roman" w:hAnsi="Times New Roman" w:eastAsia="宋体" w:cs="Times New Roman"/>
                <w:u w:val="single"/>
                <w:vertAlign w:val="superscript"/>
              </w:rPr>
              <w:t>3</w:t>
            </w:r>
            <w:r>
              <w:rPr>
                <w:rFonts w:hint="default" w:ascii="Times New Roman" w:hAnsi="Times New Roman" w:eastAsia="宋体" w:cs="Times New Roman"/>
                <w:u w:val="single"/>
              </w:rPr>
              <w:t>）+制定应急预案</w:t>
            </w:r>
          </w:p>
        </w:tc>
        <w:tc>
          <w:tcPr>
            <w:tcW w:w="778" w:type="pct"/>
            <w:vAlign w:val="center"/>
          </w:tcPr>
          <w:p w14:paraId="5BB73A30">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u w:val="single"/>
              </w:rPr>
            </w:pPr>
            <w:r>
              <w:rPr>
                <w:rFonts w:hint="default" w:ascii="Times New Roman" w:hAnsi="Times New Roman" w:eastAsia="宋体" w:cs="Times New Roman"/>
                <w:szCs w:val="21"/>
                <w:u w:val="single"/>
              </w:rPr>
              <w:t>50</w:t>
            </w:r>
          </w:p>
        </w:tc>
      </w:tr>
      <w:tr w14:paraId="14014C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8" w:hRule="atLeast"/>
          <w:jc w:val="center"/>
        </w:trPr>
        <w:tc>
          <w:tcPr>
            <w:tcW w:w="1665" w:type="pct"/>
            <w:gridSpan w:val="2"/>
            <w:vAlign w:val="center"/>
          </w:tcPr>
          <w:p w14:paraId="3002DA11">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合计</w:t>
            </w:r>
          </w:p>
        </w:tc>
        <w:tc>
          <w:tcPr>
            <w:tcW w:w="2557" w:type="pct"/>
            <w:vAlign w:val="center"/>
          </w:tcPr>
          <w:p w14:paraId="0C8A9C9E">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u w:val="single"/>
              </w:rPr>
            </w:pPr>
          </w:p>
        </w:tc>
        <w:tc>
          <w:tcPr>
            <w:tcW w:w="778" w:type="pct"/>
            <w:vAlign w:val="center"/>
          </w:tcPr>
          <w:p w14:paraId="69CA42AD">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b/>
                <w:szCs w:val="21"/>
                <w:u w:val="single"/>
              </w:rPr>
            </w:pPr>
            <w:r>
              <w:rPr>
                <w:rFonts w:hint="default" w:ascii="Times New Roman" w:hAnsi="Times New Roman" w:eastAsia="宋体" w:cs="Times New Roman"/>
                <w:b/>
                <w:szCs w:val="21"/>
                <w:u w:val="single"/>
              </w:rPr>
              <w:t>480</w:t>
            </w:r>
          </w:p>
        </w:tc>
      </w:tr>
    </w:tbl>
    <w:p w14:paraId="4A6D2BE4">
      <w:pPr>
        <w:pStyle w:val="122"/>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（2）环境经济效益分析</w:t>
      </w:r>
    </w:p>
    <w:p w14:paraId="23F26C30">
      <w:pPr>
        <w:pStyle w:val="122"/>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采取环保措施的最终目的是获得环境效益，减少建设项目排放的污染物对环境的污染。如不采取污染防治措施，生产过程中产生的污染物将直接进入环境，对周围人群、水体、空气、土壤植被和生态环境造成直接或间接影响。这种影响和造成的损失可能是巨大的、长期的，有些破坏和损失甚至不可逆转和不可恢复。</w:t>
      </w:r>
    </w:p>
    <w:p w14:paraId="29C1E2C6">
      <w:pPr>
        <w:pStyle w:val="122"/>
        <w:pageBreakBefore w:val="0"/>
        <w:widowControl w:val="0"/>
        <w:kinsoku/>
        <w:wordWrap/>
        <w:overflowPunct/>
        <w:topLinePunct w:val="0"/>
        <w:bidi w:val="0"/>
        <w:adjustRightInd/>
        <w:snapToGrid/>
        <w:spacing w:line="360" w:lineRule="auto"/>
        <w:ind w:firstLine="480"/>
        <w:textAlignment w:val="auto"/>
        <w:rPr>
          <w:rFonts w:hint="default" w:ascii="Times New Roman" w:hAnsi="Times New Roman" w:eastAsia="宋体" w:cs="Times New Roman"/>
        </w:rPr>
      </w:pPr>
      <w:r>
        <w:rPr>
          <w:rFonts w:hint="default" w:ascii="Times New Roman" w:hAnsi="Times New Roman" w:eastAsia="宋体" w:cs="Times New Roman"/>
        </w:rPr>
        <w:t>本项目应于采取相应的环保治理措施，有效地削减污染物的排放量，使污染物达标排放，从工程分析可知，在废水经收集处理后回用或达标排放；各废气经收集后处理后通过排气筒排放，均能够达到相关排放浓度限值。在噪声方面首先应考虑选用低噪声的设备，其次是采取消声、减震和使用隔声罩等措施，降低其噪声对周围环境的影响。</w:t>
      </w:r>
    </w:p>
    <w:p w14:paraId="48428353">
      <w:pPr>
        <w:pStyle w:val="3"/>
        <w:pageBreakBefore w:val="0"/>
        <w:widowControl w:val="0"/>
        <w:kinsoku/>
        <w:wordWrap/>
        <w:overflowPunct/>
        <w:topLinePunct w:val="0"/>
        <w:bidi w:val="0"/>
        <w:adjustRightInd/>
        <w:snapToGrid/>
        <w:spacing w:before="0" w:after="0" w:line="360" w:lineRule="auto"/>
        <w:textAlignment w:val="auto"/>
        <w:rPr>
          <w:rFonts w:hint="default" w:ascii="Times New Roman" w:hAnsi="Times New Roman" w:eastAsia="宋体" w:cs="Times New Roman"/>
        </w:rPr>
      </w:pPr>
      <w:bookmarkStart w:id="489" w:name="_Toc106961936"/>
      <w:bookmarkStart w:id="490" w:name="_Toc6307"/>
      <w:bookmarkStart w:id="491" w:name="_Toc87017032"/>
      <w:bookmarkStart w:id="492" w:name="_Toc119413833"/>
      <w:r>
        <w:rPr>
          <w:rFonts w:hint="default" w:ascii="Times New Roman" w:hAnsi="Times New Roman" w:eastAsia="宋体" w:cs="Times New Roman"/>
        </w:rPr>
        <w:t>12.4小结</w:t>
      </w:r>
      <w:bookmarkEnd w:id="489"/>
      <w:bookmarkEnd w:id="490"/>
      <w:bookmarkEnd w:id="491"/>
      <w:bookmarkEnd w:id="492"/>
    </w:p>
    <w:p w14:paraId="5194C792">
      <w:pPr>
        <w:pStyle w:val="12"/>
        <w:pageBreakBefore w:val="0"/>
        <w:widowControl w:val="0"/>
        <w:kinsoku/>
        <w:wordWrap/>
        <w:overflowPunct/>
        <w:topLinePunct w:val="0"/>
        <w:bidi w:val="0"/>
        <w:adjustRightInd/>
        <w:snapToGrid/>
        <w:spacing w:line="360" w:lineRule="auto"/>
        <w:ind w:firstLine="480" w:firstLineChars="200"/>
        <w:textAlignment w:val="auto"/>
        <w:rPr>
          <w:rFonts w:hint="default" w:ascii="Times New Roman" w:hAnsi="Times New Roman" w:eastAsia="宋体" w:cs="Times New Roman"/>
        </w:rPr>
      </w:pPr>
      <w:r>
        <w:rPr>
          <w:rFonts w:hint="default" w:ascii="Times New Roman" w:hAnsi="Times New Roman" w:eastAsia="宋体" w:cs="Times New Roman"/>
        </w:rPr>
        <w:t>综上所述，本项目的建设运营不可避免地会给环境带来一些不利影响，但建设方投资进行污染治理，环保投资主要用于减少污染、改善区域环境质量，具有较明显的环境效益，为企业的发展创造了有利条件，污染治理后可大幅度削减排放量，污染得到有效的控制，使废水和废气中的污染物达标排放，满足项目所在地水体功能和环境空气质量的要求。根据类似项目资料类比分析，本项目的环境代价和环境系数较低。随着人们环保意识的增强，环保设施越来越齐全，运行管理也相应提高，与此同时，不可避免的环境损失也随之减小，环境代价和环境系数的统计参数会相应的降低。本项目建设具有良好的综合效益，通过实施环保措施以后，环境效益和社会效益显著。</w:t>
      </w:r>
    </w:p>
    <w:p w14:paraId="06585A4C">
      <w:pPr>
        <w:spacing w:line="360" w:lineRule="auto"/>
        <w:ind w:firstLine="480" w:firstLineChars="200"/>
        <w:jc w:val="left"/>
        <w:rPr>
          <w:rFonts w:hint="default" w:ascii="Times New Roman" w:hAnsi="Times New Roman" w:eastAsia="宋体" w:cs="Times New Roman"/>
          <w:sz w:val="24"/>
          <w:szCs w:val="24"/>
        </w:rPr>
        <w:sectPr>
          <w:pgSz w:w="11906" w:h="16838"/>
          <w:pgMar w:top="1440" w:right="1800" w:bottom="1440" w:left="1800" w:header="851" w:footer="992" w:gutter="0"/>
          <w:pgBorders>
            <w:top w:val="none" w:sz="0" w:space="0"/>
            <w:left w:val="none" w:sz="0" w:space="0"/>
            <w:bottom w:val="none" w:sz="0" w:space="0"/>
            <w:right w:val="none" w:sz="0" w:space="0"/>
          </w:pgBorders>
          <w:cols w:space="720" w:num="1"/>
          <w:docGrid w:type="lines" w:linePitch="312" w:charSpace="0"/>
        </w:sectPr>
      </w:pPr>
      <w:r>
        <w:rPr>
          <w:rFonts w:hint="default" w:ascii="Times New Roman" w:hAnsi="Times New Roman" w:eastAsia="宋体" w:cs="Times New Roman"/>
          <w:sz w:val="24"/>
          <w:szCs w:val="24"/>
        </w:rPr>
        <w:t>通过本项目生产过程中采取的废气、废水及噪声治理等措施后，大幅度降低了污染物排放量，减轻各种污染物排放对环境和人体健康的不利影响。可见，项目各项环保工程的投资和运行，对于三废污染防治和综合利用方面是有益的。这项投资是必要的、有效的，可取得一定的环境效益。从环境经济损益分析角度分析，该项目是可行的。</w:t>
      </w:r>
    </w:p>
    <w:p w14:paraId="5EB3FDAF">
      <w:pPr>
        <w:pStyle w:val="2"/>
        <w:spacing w:before="0" w:after="0" w:line="360" w:lineRule="auto"/>
        <w:rPr>
          <w:rFonts w:hint="default" w:ascii="Times New Roman" w:hAnsi="Times New Roman" w:eastAsia="宋体" w:cs="Times New Roman"/>
        </w:rPr>
      </w:pPr>
      <w:bookmarkStart w:id="493" w:name="_Toc119413834"/>
      <w:bookmarkStart w:id="494" w:name="_Toc106961937"/>
      <w:bookmarkStart w:id="495" w:name="_Toc7277"/>
      <w:r>
        <w:rPr>
          <w:rFonts w:hint="default" w:ascii="Times New Roman" w:hAnsi="Times New Roman" w:eastAsia="宋体" w:cs="Times New Roman"/>
        </w:rPr>
        <w:t>13结论与建议</w:t>
      </w:r>
      <w:bookmarkEnd w:id="493"/>
      <w:bookmarkEnd w:id="494"/>
      <w:bookmarkEnd w:id="495"/>
    </w:p>
    <w:p w14:paraId="55F0D286">
      <w:pPr>
        <w:pStyle w:val="3"/>
        <w:spacing w:before="0" w:after="0" w:line="360" w:lineRule="auto"/>
        <w:rPr>
          <w:rFonts w:hint="default" w:ascii="Times New Roman" w:hAnsi="Times New Roman" w:eastAsia="宋体" w:cs="Times New Roman"/>
        </w:rPr>
      </w:pPr>
      <w:bookmarkStart w:id="496" w:name="_Toc267404172"/>
      <w:bookmarkStart w:id="497" w:name="_Toc264633405"/>
      <w:bookmarkStart w:id="498" w:name="_Toc81361990"/>
      <w:bookmarkStart w:id="499" w:name="_Toc78712301"/>
      <w:bookmarkStart w:id="500" w:name="_Toc243208249"/>
      <w:bookmarkStart w:id="501" w:name="_Toc87017039"/>
      <w:bookmarkStart w:id="502" w:name="_Toc33007232"/>
      <w:bookmarkStart w:id="503" w:name="_Toc480715252"/>
      <w:bookmarkStart w:id="504" w:name="_Toc106961938"/>
      <w:bookmarkStart w:id="505" w:name="_Toc2174"/>
      <w:bookmarkStart w:id="506" w:name="_Toc119413835"/>
      <w:bookmarkStart w:id="507" w:name="_Toc1120442"/>
      <w:r>
        <w:rPr>
          <w:rFonts w:hint="default" w:ascii="Times New Roman" w:hAnsi="Times New Roman" w:eastAsia="宋体" w:cs="Times New Roman"/>
        </w:rPr>
        <w:t>13.1项目概</w:t>
      </w:r>
      <w:bookmarkEnd w:id="496"/>
      <w:bookmarkEnd w:id="497"/>
      <w:bookmarkEnd w:id="498"/>
      <w:bookmarkEnd w:id="499"/>
      <w:bookmarkEnd w:id="500"/>
      <w:r>
        <w:rPr>
          <w:rFonts w:hint="default" w:ascii="Times New Roman" w:hAnsi="Times New Roman" w:eastAsia="宋体" w:cs="Times New Roman"/>
        </w:rPr>
        <w:t>况</w:t>
      </w:r>
      <w:bookmarkEnd w:id="501"/>
      <w:bookmarkEnd w:id="502"/>
      <w:bookmarkEnd w:id="503"/>
      <w:bookmarkEnd w:id="504"/>
      <w:bookmarkEnd w:id="505"/>
      <w:bookmarkEnd w:id="506"/>
      <w:bookmarkEnd w:id="507"/>
    </w:p>
    <w:p w14:paraId="18066B18">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rPr>
        <w:t>本项目规划总占地面积</w:t>
      </w:r>
      <w:r>
        <w:rPr>
          <w:rFonts w:hint="default" w:ascii="Times New Roman" w:hAnsi="Times New Roman" w:eastAsia="宋体" w:cs="Times New Roman"/>
          <w:sz w:val="24"/>
          <w:szCs w:val="24"/>
          <w:lang w:eastAsia="zh-CN"/>
        </w:rPr>
        <w:t>20000</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（约</w:t>
      </w:r>
      <w:r>
        <w:rPr>
          <w:rFonts w:hint="default" w:ascii="Times New Roman" w:hAnsi="Times New Roman" w:eastAsia="宋体" w:cs="Times New Roman"/>
          <w:sz w:val="24"/>
          <w:szCs w:val="24"/>
          <w:lang w:eastAsia="zh-CN"/>
        </w:rPr>
        <w:t>30亩</w:t>
      </w:r>
      <w:r>
        <w:rPr>
          <w:rFonts w:hint="default" w:ascii="Times New Roman" w:hAnsi="Times New Roman" w:eastAsia="宋体" w:cs="Times New Roman"/>
          <w:sz w:val="24"/>
          <w:szCs w:val="24"/>
        </w:rPr>
        <w:t>），厂房及构建筑物规划总建筑面积</w:t>
      </w:r>
      <w:r>
        <w:rPr>
          <w:rFonts w:hint="eastAsia" w:ascii="Times New Roman" w:hAnsi="Times New Roman" w:cs="Times New Roman"/>
          <w:sz w:val="24"/>
          <w:szCs w:val="24"/>
          <w:lang w:eastAsia="zh-CN"/>
        </w:rPr>
        <w:t>13741.81</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，其中</w:t>
      </w:r>
      <w:r>
        <w:rPr>
          <w:rFonts w:hint="default" w:ascii="Times New Roman" w:hAnsi="Times New Roman" w:eastAsia="宋体" w:cs="Times New Roman"/>
          <w:sz w:val="24"/>
          <w:szCs w:val="24"/>
          <w:lang w:eastAsia="zh-CN"/>
        </w:rPr>
        <w:t>危险废物综合处置车间</w:t>
      </w:r>
      <w:r>
        <w:rPr>
          <w:rFonts w:hint="default" w:ascii="Times New Roman" w:hAnsi="Times New Roman" w:eastAsia="宋体" w:cs="Times New Roman"/>
          <w:sz w:val="24"/>
          <w:szCs w:val="24"/>
        </w:rPr>
        <w:t>（A#栋）</w:t>
      </w:r>
      <w:r>
        <w:rPr>
          <w:rFonts w:hint="default" w:ascii="Times New Roman" w:hAnsi="Times New Roman" w:eastAsia="宋体" w:cs="Times New Roman"/>
          <w:sz w:val="24"/>
          <w:szCs w:val="24"/>
          <w:lang w:eastAsia="zh-CN"/>
        </w:rPr>
        <w:t>6169.84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，危险废物贮存间（B#栋）</w:t>
      </w:r>
      <w:r>
        <w:rPr>
          <w:rFonts w:hint="default" w:ascii="Times New Roman" w:hAnsi="Times New Roman" w:eastAsia="宋体" w:cs="Times New Roman"/>
          <w:sz w:val="24"/>
          <w:szCs w:val="24"/>
          <w:lang w:eastAsia="zh-CN"/>
        </w:rPr>
        <w:t>5051.44</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，污水处理站750m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，综合办公楼</w:t>
      </w:r>
      <w:r>
        <w:rPr>
          <w:rFonts w:hint="eastAsia" w:ascii="Times New Roman" w:hAnsi="Times New Roman" w:cs="Times New Roman"/>
          <w:sz w:val="24"/>
          <w:szCs w:val="24"/>
          <w:lang w:eastAsia="zh-CN"/>
        </w:rPr>
        <w:t>2492.53</w:t>
      </w:r>
      <w:r>
        <w:rPr>
          <w:rFonts w:hint="default" w:ascii="Times New Roman" w:hAnsi="Times New Roman" w:eastAsia="宋体" w:cs="Times New Roman"/>
          <w:sz w:val="24"/>
          <w:szCs w:val="24"/>
        </w:rPr>
        <w:t>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，传达室30m</w:t>
      </w:r>
      <w:r>
        <w:rPr>
          <w:rFonts w:hint="default" w:ascii="Times New Roman" w:hAnsi="Times New Roman" w:eastAsia="宋体" w:cs="Times New Roman"/>
          <w:sz w:val="24"/>
          <w:szCs w:val="24"/>
          <w:vertAlign w:val="superscript"/>
        </w:rPr>
        <w:t>2</w:t>
      </w:r>
      <w:r>
        <w:rPr>
          <w:rFonts w:hint="default" w:ascii="Times New Roman" w:hAnsi="Times New Roman" w:eastAsia="宋体" w:cs="Times New Roman"/>
          <w:sz w:val="24"/>
          <w:szCs w:val="24"/>
        </w:rPr>
        <w:t>。</w:t>
      </w:r>
    </w:p>
    <w:p w14:paraId="6DD24EE8">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szCs w:val="24"/>
          <w:lang w:eastAsia="zh-CN"/>
        </w:rPr>
        <w:t>危险废物综合处置车间</w:t>
      </w:r>
      <w:r>
        <w:rPr>
          <w:rFonts w:hint="default" w:ascii="Times New Roman" w:hAnsi="Times New Roman" w:eastAsia="宋体" w:cs="Times New Roman"/>
          <w:sz w:val="24"/>
          <w:szCs w:val="24"/>
        </w:rPr>
        <w:t>（A#栋）用于布置本次扩建新增的危险废物再生利用生产线</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A#栋北区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以及</w:t>
      </w:r>
      <w:r>
        <w:rPr>
          <w:rFonts w:hint="default" w:ascii="Times New Roman" w:hAnsi="Times New Roman" w:eastAsia="宋体" w:cs="Times New Roman"/>
          <w:sz w:val="24"/>
          <w:szCs w:val="24"/>
        </w:rPr>
        <w:t>本次整体搬迁并扩建的</w:t>
      </w:r>
      <w:r>
        <w:rPr>
          <w:rFonts w:hint="default" w:ascii="Times New Roman" w:hAnsi="Times New Roman" w:eastAsia="宋体" w:cs="Times New Roman"/>
          <w:color w:val="000000"/>
          <w:sz w:val="24"/>
          <w:szCs w:val="24"/>
        </w:rPr>
        <w:t>“年收集贮存9800吨危险废物项目”</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A#栋北区</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color w:val="000000"/>
          <w:sz w:val="24"/>
          <w:szCs w:val="24"/>
        </w:rPr>
        <w:t>，整体搬迁后的贮存库布置拟参照搬迁前的布置方案进行（具体见“3.3.2现有工程总平面布置”）</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sz w:val="24"/>
          <w:szCs w:val="24"/>
          <w:lang w:val="en-US" w:eastAsia="zh-CN"/>
        </w:rPr>
        <w:t>预留二期车间</w:t>
      </w:r>
      <w:r>
        <w:rPr>
          <w:rFonts w:hint="default" w:ascii="Times New Roman" w:hAnsi="Times New Roman" w:eastAsia="宋体" w:cs="Times New Roman"/>
          <w:sz w:val="24"/>
          <w:szCs w:val="24"/>
        </w:rPr>
        <w:t>（B#栋）</w:t>
      </w:r>
      <w:r>
        <w:rPr>
          <w:rFonts w:hint="default" w:ascii="Times New Roman" w:hAnsi="Times New Roman" w:eastAsia="宋体" w:cs="Times New Roman"/>
          <w:sz w:val="24"/>
          <w:szCs w:val="24"/>
          <w:lang w:val="en-US" w:eastAsia="zh-CN"/>
        </w:rPr>
        <w:t>仅作为后续项目预留，不设置相关生产内容</w:t>
      </w:r>
      <w:r>
        <w:rPr>
          <w:rFonts w:hint="default" w:ascii="Times New Roman" w:hAnsi="Times New Roman" w:eastAsia="宋体" w:cs="Times New Roman"/>
          <w:color w:val="000000"/>
          <w:sz w:val="24"/>
          <w:szCs w:val="24"/>
        </w:rPr>
        <w:t>。</w:t>
      </w:r>
    </w:p>
    <w:p w14:paraId="6A9DA054">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rPr>
        <w:t>项目扩建部分</w:t>
      </w:r>
      <w:r>
        <w:rPr>
          <w:rFonts w:hint="default" w:ascii="Times New Roman" w:hAnsi="Times New Roman" w:eastAsia="宋体" w:cs="Times New Roman"/>
          <w:sz w:val="24"/>
          <w:szCs w:val="24"/>
        </w:rPr>
        <w:t>拟建设废包装桶整形清洗翻新生产线1条、废金属包装容器破碎清洗生产线1条、废塑料包装物破碎清洗生产线1条，可实现年回收利用废旧金属塑料危险废物20000t（利用其他企业废弃金属包装桶、塑料包装桶等作为原材料，加工成金属颗粒和塑料碎片，实现危险废物</w:t>
      </w:r>
      <w:r>
        <w:rPr>
          <w:rFonts w:hint="default" w:ascii="Times New Roman" w:hAnsi="Times New Roman" w:eastAsia="宋体" w:cs="Times New Roman"/>
          <w:sz w:val="24"/>
          <w:szCs w:val="24"/>
          <w:lang w:eastAsia="zh-CN"/>
        </w:rPr>
        <w:t>资源</w:t>
      </w:r>
      <w:r>
        <w:rPr>
          <w:rFonts w:hint="default" w:ascii="Times New Roman" w:hAnsi="Times New Roman" w:eastAsia="宋体" w:cs="Times New Roman"/>
          <w:sz w:val="24"/>
          <w:szCs w:val="24"/>
        </w:rPr>
        <w:t>循环利用）。</w:t>
      </w:r>
    </w:p>
    <w:p w14:paraId="37D8D11E">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项目建成投产后，通过对危险废物的综合利用，可实现年产金属颗粒约11875t、塑料碎片约4725t、翻新金属桶</w:t>
      </w:r>
      <w:r>
        <w:rPr>
          <w:rFonts w:hint="default" w:ascii="Times New Roman" w:hAnsi="Times New Roman" w:eastAsia="宋体" w:cs="Times New Roman"/>
          <w:sz w:val="24"/>
          <w:szCs w:val="24"/>
          <w:lang w:val="en-US" w:eastAsia="zh-CN"/>
        </w:rPr>
        <w:t>15</w:t>
      </w:r>
      <w:r>
        <w:rPr>
          <w:rFonts w:hint="default" w:ascii="Times New Roman" w:hAnsi="Times New Roman" w:eastAsia="宋体" w:cs="Times New Roman"/>
          <w:sz w:val="24"/>
          <w:szCs w:val="24"/>
        </w:rPr>
        <w:t>00t、翻新塑料桶500t</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lang w:val="en-US" w:eastAsia="zh-CN"/>
        </w:rPr>
        <w:t>铁皮500t</w:t>
      </w:r>
      <w:r>
        <w:rPr>
          <w:rFonts w:hint="default" w:ascii="Times New Roman" w:hAnsi="Times New Roman" w:eastAsia="宋体" w:cs="Times New Roman"/>
          <w:sz w:val="24"/>
          <w:szCs w:val="24"/>
        </w:rPr>
        <w:t>；同时将现有的</w:t>
      </w:r>
      <w:r>
        <w:rPr>
          <w:rFonts w:hint="default" w:ascii="Times New Roman" w:hAnsi="Times New Roman" w:eastAsia="宋体" w:cs="Times New Roman"/>
          <w:color w:val="000000"/>
          <w:sz w:val="24"/>
          <w:szCs w:val="24"/>
        </w:rPr>
        <w:t>收集贮存危险废物9800t/a能力提升至</w:t>
      </w:r>
      <w:r>
        <w:rPr>
          <w:rFonts w:hint="default" w:ascii="Times New Roman" w:hAnsi="Times New Roman" w:eastAsia="宋体" w:cs="Times New Roman"/>
          <w:color w:val="000000"/>
          <w:sz w:val="24"/>
          <w:szCs w:val="24"/>
          <w:lang w:eastAsia="zh-CN"/>
        </w:rPr>
        <w:t>14400</w:t>
      </w:r>
      <w:r>
        <w:rPr>
          <w:rFonts w:hint="default" w:ascii="Times New Roman" w:hAnsi="Times New Roman" w:eastAsia="宋体" w:cs="Times New Roman"/>
          <w:color w:val="000000"/>
          <w:sz w:val="24"/>
          <w:szCs w:val="24"/>
        </w:rPr>
        <w:t>t/a</w:t>
      </w:r>
      <w:r>
        <w:rPr>
          <w:rFonts w:hint="default" w:ascii="Times New Roman" w:hAnsi="Times New Roman" w:eastAsia="宋体" w:cs="Times New Roman"/>
          <w:sz w:val="24"/>
          <w:szCs w:val="24"/>
        </w:rPr>
        <w:t>。</w:t>
      </w:r>
    </w:p>
    <w:p w14:paraId="0C5EDC9B">
      <w:pPr>
        <w:spacing w:line="360" w:lineRule="auto"/>
        <w:ind w:firstLine="480"/>
        <w:rPr>
          <w:rFonts w:hint="default" w:ascii="Times New Roman" w:hAnsi="Times New Roman" w:eastAsia="宋体" w:cs="Times New Roman"/>
          <w:sz w:val="24"/>
          <w:szCs w:val="24"/>
          <w:u w:val="none"/>
        </w:rPr>
      </w:pPr>
      <w:r>
        <w:rPr>
          <w:rFonts w:hint="default" w:ascii="Times New Roman" w:hAnsi="Times New Roman" w:eastAsia="宋体" w:cs="Times New Roman"/>
          <w:b w:val="0"/>
          <w:bCs w:val="0"/>
          <w:sz w:val="24"/>
          <w:szCs w:val="24"/>
          <w:u w:val="none"/>
          <w:lang w:val="en-US" w:eastAsia="zh-CN"/>
        </w:rPr>
        <w:t>项目在完成本次搬迁扩建后，危险废物的收集贮存总规模为34400t/a（其中20000t/a进行后续的再生利用，14400t/a仅进行收集贮存），危险废物综合利用总规模为20000t/a。</w:t>
      </w:r>
    </w:p>
    <w:p w14:paraId="06A338C9">
      <w:pPr>
        <w:pStyle w:val="3"/>
        <w:spacing w:before="0" w:after="0" w:line="360" w:lineRule="auto"/>
        <w:rPr>
          <w:rFonts w:hint="default" w:ascii="Times New Roman" w:hAnsi="Times New Roman" w:eastAsia="宋体" w:cs="Times New Roman"/>
        </w:rPr>
      </w:pPr>
      <w:bookmarkStart w:id="508" w:name="_Toc480715253"/>
      <w:bookmarkStart w:id="509" w:name="_Toc119413836"/>
      <w:bookmarkStart w:id="510" w:name="_Toc267404173"/>
      <w:bookmarkStart w:id="511" w:name="_Toc87017040"/>
      <w:bookmarkStart w:id="512" w:name="_Toc1120443"/>
      <w:bookmarkStart w:id="513" w:name="_Toc33007233"/>
      <w:bookmarkStart w:id="514" w:name="_Toc106961939"/>
      <w:bookmarkStart w:id="515" w:name="_Toc264633406"/>
      <w:bookmarkStart w:id="516" w:name="_Toc302"/>
      <w:r>
        <w:rPr>
          <w:rFonts w:hint="default" w:ascii="Times New Roman" w:hAnsi="Times New Roman" w:eastAsia="宋体" w:cs="Times New Roman"/>
        </w:rPr>
        <w:t>13.2环境质量现状</w:t>
      </w:r>
      <w:bookmarkEnd w:id="508"/>
      <w:bookmarkEnd w:id="509"/>
      <w:bookmarkEnd w:id="510"/>
      <w:bookmarkEnd w:id="511"/>
      <w:bookmarkEnd w:id="512"/>
      <w:bookmarkEnd w:id="513"/>
      <w:bookmarkEnd w:id="514"/>
      <w:bookmarkEnd w:id="515"/>
      <w:bookmarkEnd w:id="516"/>
    </w:p>
    <w:p w14:paraId="4F219FAF">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（1）环境空气</w:t>
      </w:r>
    </w:p>
    <w:p w14:paraId="462ECA37">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8"/>
        </w:rPr>
        <w:t>根据公布内容，松木经开区2022年1-12月的环境空气质量现状结果中PM</w:t>
      </w:r>
      <w:r>
        <w:rPr>
          <w:rFonts w:hint="default" w:ascii="Times New Roman" w:hAnsi="Times New Roman" w:eastAsia="宋体" w:cs="Times New Roman"/>
          <w:sz w:val="24"/>
          <w:szCs w:val="28"/>
          <w:vertAlign w:val="subscript"/>
        </w:rPr>
        <w:t>2.5</w:t>
      </w:r>
      <w:r>
        <w:rPr>
          <w:rFonts w:hint="default" w:ascii="Times New Roman" w:hAnsi="Times New Roman" w:eastAsia="宋体" w:cs="Times New Roman"/>
          <w:sz w:val="24"/>
          <w:szCs w:val="28"/>
        </w:rPr>
        <w:t>、PM</w:t>
      </w:r>
      <w:r>
        <w:rPr>
          <w:rFonts w:hint="default" w:ascii="Times New Roman" w:hAnsi="Times New Roman" w:eastAsia="宋体" w:cs="Times New Roman"/>
          <w:sz w:val="24"/>
          <w:szCs w:val="28"/>
          <w:vertAlign w:val="subscript"/>
        </w:rPr>
        <w:t>10</w:t>
      </w:r>
      <w:r>
        <w:rPr>
          <w:rFonts w:hint="default" w:ascii="Times New Roman" w:hAnsi="Times New Roman" w:eastAsia="宋体" w:cs="Times New Roman"/>
          <w:sz w:val="24"/>
          <w:szCs w:val="28"/>
        </w:rPr>
        <w:t>、NO</w:t>
      </w:r>
      <w:r>
        <w:rPr>
          <w:rFonts w:hint="default" w:ascii="Times New Roman" w:hAnsi="Times New Roman" w:eastAsia="宋体" w:cs="Times New Roman"/>
          <w:sz w:val="24"/>
          <w:szCs w:val="28"/>
          <w:vertAlign w:val="subscript"/>
        </w:rPr>
        <w:t>2</w:t>
      </w:r>
      <w:r>
        <w:rPr>
          <w:rFonts w:hint="default" w:ascii="Times New Roman" w:hAnsi="Times New Roman" w:eastAsia="宋体" w:cs="Times New Roman"/>
          <w:sz w:val="24"/>
          <w:szCs w:val="28"/>
        </w:rPr>
        <w:t>、CO、SO</w:t>
      </w:r>
      <w:r>
        <w:rPr>
          <w:rFonts w:hint="default" w:ascii="Times New Roman" w:hAnsi="Times New Roman" w:eastAsia="宋体" w:cs="Times New Roman"/>
          <w:sz w:val="24"/>
          <w:szCs w:val="28"/>
          <w:vertAlign w:val="subscript"/>
        </w:rPr>
        <w:t>2</w:t>
      </w:r>
      <w:r>
        <w:rPr>
          <w:rFonts w:hint="default" w:ascii="Times New Roman" w:hAnsi="Times New Roman" w:eastAsia="宋体" w:cs="Times New Roman"/>
          <w:sz w:val="24"/>
          <w:szCs w:val="28"/>
        </w:rPr>
        <w:t>、O</w:t>
      </w:r>
      <w:r>
        <w:rPr>
          <w:rFonts w:hint="default" w:ascii="Times New Roman" w:hAnsi="Times New Roman" w:eastAsia="宋体" w:cs="Times New Roman"/>
          <w:sz w:val="24"/>
          <w:szCs w:val="28"/>
          <w:vertAlign w:val="subscript"/>
        </w:rPr>
        <w:t>3</w:t>
      </w:r>
      <w:r>
        <w:rPr>
          <w:rFonts w:hint="default" w:ascii="Times New Roman" w:hAnsi="Times New Roman" w:eastAsia="宋体" w:cs="Times New Roman"/>
          <w:sz w:val="24"/>
          <w:szCs w:val="28"/>
        </w:rPr>
        <w:t>达到《环境空气质量标准》（GB3095-2012）及其修改单二级标准。因此，2022年衡阳市松木经开区属于环境空气质量达标区</w:t>
      </w:r>
      <w:r>
        <w:rPr>
          <w:rFonts w:hint="default" w:ascii="Times New Roman" w:hAnsi="Times New Roman" w:eastAsia="宋体" w:cs="Times New Roman"/>
          <w:sz w:val="24"/>
          <w:szCs w:val="24"/>
        </w:rPr>
        <w:t>；根据补充监测结果表明，其他污染物环境质量监测值均能满足相关标准限值要求。</w:t>
      </w:r>
    </w:p>
    <w:p w14:paraId="39F78944">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（2）地表水环境</w:t>
      </w:r>
    </w:p>
    <w:p w14:paraId="0CF21C85">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项目所在区域断面的监测结果显示，各断面各监测因子均可满足《地表水环境质量标准》（GB3838-2002）中的Ⅲ类标准，区域水质良好。</w:t>
      </w:r>
    </w:p>
    <w:p w14:paraId="17AA113A">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（3）地下水环境</w:t>
      </w:r>
    </w:p>
    <w:p w14:paraId="4C599630">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项目所在区域各监测点各项污染物指标均符合《地下水质量标准》（GB/T14848-2017）中的III类标准。</w:t>
      </w:r>
    </w:p>
    <w:p w14:paraId="0D11312A">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（4）土壤</w:t>
      </w:r>
    </w:p>
    <w:p w14:paraId="35AB12F7">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根据土壤环境监测结果，各土壤监测点位监测指标均满足《土壤环境质量标准 建设用地土壤污染风险管控标准（试行）》（GB36600-2018）中表1建设用地土壤污染风险筛选值浓度要求限值。</w:t>
      </w:r>
    </w:p>
    <w:p w14:paraId="2D670655">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（5）声环境</w:t>
      </w:r>
    </w:p>
    <w:p w14:paraId="7D34E7C8">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项目厂界环境噪声等效连续A声级值昼夜间值能够满足《声环境质量标准》（GB3096-2008）中3类标准要求，表明该项目所在地声环境状况较好。</w:t>
      </w:r>
    </w:p>
    <w:p w14:paraId="09627F43">
      <w:pPr>
        <w:pStyle w:val="3"/>
        <w:spacing w:before="0" w:after="0" w:line="360" w:lineRule="auto"/>
        <w:rPr>
          <w:rFonts w:hint="default" w:ascii="Times New Roman" w:hAnsi="Times New Roman" w:eastAsia="宋体" w:cs="Times New Roman"/>
        </w:rPr>
      </w:pPr>
      <w:bookmarkStart w:id="517" w:name="_Toc1120445"/>
      <w:bookmarkStart w:id="518" w:name="_Toc87017041"/>
      <w:bookmarkStart w:id="519" w:name="_Toc106961940"/>
      <w:bookmarkStart w:id="520" w:name="_Toc33007235"/>
      <w:bookmarkStart w:id="521" w:name="_Toc14052"/>
      <w:bookmarkStart w:id="522" w:name="_Toc119413837"/>
      <w:bookmarkStart w:id="523" w:name="_Toc480715255"/>
      <w:r>
        <w:rPr>
          <w:rFonts w:hint="default" w:ascii="Times New Roman" w:hAnsi="Times New Roman" w:eastAsia="宋体" w:cs="Times New Roman"/>
        </w:rPr>
        <w:t>13.3环境影响预测及评价</w:t>
      </w:r>
      <w:bookmarkEnd w:id="517"/>
      <w:bookmarkEnd w:id="518"/>
      <w:bookmarkEnd w:id="519"/>
      <w:bookmarkEnd w:id="520"/>
      <w:bookmarkEnd w:id="521"/>
      <w:bookmarkEnd w:id="522"/>
      <w:bookmarkEnd w:id="523"/>
    </w:p>
    <w:p w14:paraId="461A6EA9">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13.3.1环境空气影响预测与评价</w:t>
      </w:r>
    </w:p>
    <w:p w14:paraId="74CA2996">
      <w:pPr>
        <w:spacing w:line="360" w:lineRule="auto"/>
        <w:ind w:firstLine="480" w:firstLineChars="200"/>
        <w:jc w:val="left"/>
        <w:rPr>
          <w:rFonts w:hint="default" w:ascii="Times New Roman" w:hAnsi="Times New Roman" w:eastAsia="宋体" w:cs="Times New Roman"/>
          <w:kern w:val="0"/>
          <w:sz w:val="24"/>
        </w:rPr>
      </w:pPr>
      <w:r>
        <w:rPr>
          <w:rFonts w:hint="default" w:ascii="Times New Roman" w:hAnsi="Times New Roman" w:eastAsia="宋体" w:cs="Times New Roman"/>
          <w:kern w:val="0"/>
          <w:sz w:val="24"/>
        </w:rPr>
        <w:t>本项目主要大气污染物最大地面浓度占标率均不超过标准的10%，主要大气污染物最大占标率为</w:t>
      </w:r>
      <w:r>
        <w:rPr>
          <w:rFonts w:hint="default" w:ascii="Times New Roman" w:hAnsi="Times New Roman" w:eastAsia="宋体" w:cs="Times New Roman"/>
          <w:kern w:val="0"/>
          <w:sz w:val="24"/>
          <w:lang w:eastAsia="zh-CN"/>
        </w:rPr>
        <w:t>危险废物综合处置车间</w:t>
      </w:r>
      <w:r>
        <w:rPr>
          <w:rFonts w:hint="default" w:ascii="Times New Roman" w:hAnsi="Times New Roman" w:eastAsia="宋体" w:cs="Times New Roman"/>
          <w:kern w:val="0"/>
          <w:sz w:val="24"/>
        </w:rPr>
        <w:t>排放的VOCs，新增污染源正常排放下污染物短期浓度贡献值的最大浓度占标率≤100%，环境影响符合环境功能区划，大气环境影响可以接受。</w:t>
      </w:r>
    </w:p>
    <w:p w14:paraId="2803F743">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13.3.2地表水影响预测与评价</w:t>
      </w:r>
    </w:p>
    <w:p w14:paraId="25C14F42">
      <w:pPr>
        <w:spacing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本项目拟采用“</w:t>
      </w:r>
      <w:r>
        <w:rPr>
          <w:rFonts w:hint="default" w:ascii="Times New Roman" w:hAnsi="Times New Roman" w:eastAsia="宋体" w:cs="Times New Roman"/>
          <w:sz w:val="24"/>
          <w:szCs w:val="24"/>
          <w:lang w:eastAsia="zh-CN"/>
        </w:rPr>
        <w:t>pH调节+絮凝+气浮+芬顿氧化+水解酸化+AO处理+沉淀</w:t>
      </w:r>
      <w:r>
        <w:rPr>
          <w:rFonts w:hint="default" w:ascii="Times New Roman" w:hAnsi="Times New Roman" w:eastAsia="宋体" w:cs="Times New Roman"/>
          <w:sz w:val="24"/>
          <w:szCs w:val="24"/>
        </w:rPr>
        <w:t>”对综合废水进行处理</w:t>
      </w:r>
      <w:r>
        <w:rPr>
          <w:rFonts w:hint="default" w:ascii="Times New Roman" w:hAnsi="Times New Roman" w:eastAsia="宋体" w:cs="Times New Roman"/>
          <w:sz w:val="24"/>
          <w:szCs w:val="24"/>
          <w:lang w:val="en-US" w:eastAsia="zh-CN"/>
        </w:rPr>
        <w:t>后，</w:t>
      </w:r>
      <w:r>
        <w:rPr>
          <w:rFonts w:hint="default" w:ascii="Times New Roman" w:hAnsi="Times New Roman" w:eastAsia="宋体" w:cs="Times New Roman"/>
          <w:sz w:val="24"/>
          <w:szCs w:val="21"/>
          <w:lang w:val="en-US" w:eastAsia="zh-CN"/>
        </w:rPr>
        <w:t>拟回用一次后再次进入污水处理站，处理达到</w:t>
      </w:r>
      <w:r>
        <w:rPr>
          <w:rFonts w:hint="default" w:ascii="Times New Roman" w:hAnsi="Times New Roman" w:eastAsia="宋体" w:cs="Times New Roman"/>
          <w:sz w:val="24"/>
          <w:szCs w:val="21"/>
        </w:rPr>
        <w:t>经处理达</w:t>
      </w:r>
      <w:r>
        <w:rPr>
          <w:rFonts w:hint="default" w:ascii="Times New Roman" w:hAnsi="Times New Roman" w:eastAsia="宋体" w:cs="Times New Roman"/>
          <w:sz w:val="24"/>
          <w:szCs w:val="21"/>
          <w:lang w:val="en-US" w:eastAsia="zh-CN"/>
        </w:rPr>
        <w:t>到</w:t>
      </w:r>
      <w:r>
        <w:rPr>
          <w:rFonts w:hint="default" w:ascii="Times New Roman" w:hAnsi="Times New Roman" w:eastAsia="宋体" w:cs="Times New Roman"/>
          <w:sz w:val="24"/>
          <w:szCs w:val="21"/>
        </w:rPr>
        <w:t>《污水综合排放标准》（GB8978-1996）表4 三级标准，</w:t>
      </w:r>
      <w:r>
        <w:rPr>
          <w:rFonts w:hint="default" w:ascii="Times New Roman" w:hAnsi="Times New Roman" w:eastAsia="宋体" w:cs="Times New Roman"/>
          <w:sz w:val="24"/>
          <w:szCs w:val="21"/>
          <w:lang w:val="en-US" w:eastAsia="zh-CN"/>
        </w:rPr>
        <w:t>且</w:t>
      </w:r>
      <w:r>
        <w:rPr>
          <w:rFonts w:hint="default" w:ascii="Times New Roman" w:hAnsi="Times New Roman" w:eastAsia="宋体" w:cs="Times New Roman"/>
          <w:sz w:val="24"/>
          <w:szCs w:val="21"/>
        </w:rPr>
        <w:t>同时满足松木污水处理厂进水水质要求后排入园区污水管网</w:t>
      </w:r>
      <w:r>
        <w:rPr>
          <w:rFonts w:hint="default" w:ascii="Times New Roman" w:hAnsi="Times New Roman" w:eastAsia="宋体" w:cs="Times New Roman"/>
          <w:sz w:val="24"/>
          <w:szCs w:val="24"/>
        </w:rPr>
        <w:t>，污水处理站的设计处理能力为</w:t>
      </w:r>
      <w:r>
        <w:rPr>
          <w:rFonts w:hint="default" w:ascii="Times New Roman" w:hAnsi="Times New Roman" w:eastAsia="宋体" w:cs="Times New Roman"/>
          <w:sz w:val="24"/>
          <w:szCs w:val="24"/>
          <w:lang w:val="en-US" w:eastAsia="zh-CN"/>
        </w:rPr>
        <w:t>30t/d</w:t>
      </w:r>
      <w:r>
        <w:rPr>
          <w:rFonts w:hint="default" w:ascii="Times New Roman" w:hAnsi="Times New Roman" w:eastAsia="宋体" w:cs="Times New Roman"/>
          <w:sz w:val="24"/>
          <w:szCs w:val="24"/>
        </w:rPr>
        <w:t>，有充足的富余处理能力，可承受一定程度的冲击负荷，根据前文分析可知，综合废水经污水处理站处理后污染物排放浓度均能达到《污水综合排放标准》（GB 8978-1996）中表4的三级标准，不会对周边环境造成大的影响。</w:t>
      </w:r>
    </w:p>
    <w:p w14:paraId="0761482E">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13.3.3声环境影响预测</w:t>
      </w:r>
    </w:p>
    <w:p w14:paraId="2FDFECEC">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企业应该通过对主要高噪声设备采取减振降噪并在厂区设置绿化带等措施，采取以上措施后噪声对周围环境影响较小。</w:t>
      </w:r>
    </w:p>
    <w:p w14:paraId="285C8F37">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13.3.4地下水环境影响预测</w:t>
      </w:r>
    </w:p>
    <w:p w14:paraId="153EA3C1">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项目场地富水性及导水性能力相对较弱，当发生污染事故时，污染物的运移速度相对较慢，短时间内污染范围较小。项目需严格按照设计要求进行防渗处理。根据本项目建设特点，采用源头控制、分区防渗、地下水长期监测等措施，防止地下水发生污染。当地下水发生污染后，采取积极有效的应急措施。因此在采取以上措施后，循环水池泄漏对项目环境保护目标地下水环境影响较小，本建设项目对地下水环境的影响可以接受。</w:t>
      </w:r>
    </w:p>
    <w:p w14:paraId="4F4BCAC1">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13.3.5土壤环境影响预测</w:t>
      </w:r>
    </w:p>
    <w:p w14:paraId="7157F06B">
      <w:pPr>
        <w:pStyle w:val="122"/>
        <w:adjustRightInd/>
        <w:snapToGrid/>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废气排放（大气沉降+垂直入渗）产生的污染物对预测评价范围内的土壤的预测值均满足《土壤环境质量建设用地土壤污染风险管控标准》（试行）（GB36600-2018）中第二类用地的筛选值标准要求，项目建成后运行期对场内及其周边土壤产生影响是可以接受的。</w:t>
      </w:r>
    </w:p>
    <w:p w14:paraId="346392FD">
      <w:pPr>
        <w:pStyle w:val="4"/>
        <w:spacing w:before="0" w:after="0" w:line="360" w:lineRule="auto"/>
        <w:rPr>
          <w:rFonts w:hint="default" w:ascii="Times New Roman" w:hAnsi="Times New Roman" w:eastAsia="宋体" w:cs="Times New Roman"/>
        </w:rPr>
      </w:pPr>
      <w:r>
        <w:rPr>
          <w:rFonts w:hint="default" w:ascii="Times New Roman" w:hAnsi="Times New Roman" w:eastAsia="宋体" w:cs="Times New Roman"/>
        </w:rPr>
        <w:t>13.3.6固体废物影响分析</w:t>
      </w:r>
    </w:p>
    <w:p w14:paraId="5FE23B04">
      <w:pPr>
        <w:pStyle w:val="12"/>
        <w:spacing w:line="360" w:lineRule="auto"/>
        <w:ind w:firstLine="480"/>
        <w:rPr>
          <w:rFonts w:hint="default" w:ascii="Times New Roman" w:hAnsi="Times New Roman" w:eastAsia="宋体" w:cs="Times New Roman"/>
        </w:rPr>
      </w:pPr>
      <w:r>
        <w:rPr>
          <w:rFonts w:hint="default" w:ascii="Times New Roman" w:hAnsi="Times New Roman" w:eastAsia="宋体" w:cs="Times New Roman"/>
        </w:rPr>
        <w:t>一般工业固体废物回收利用；危险废物在自建的危废贮存库收集暂存后交下游有资质的单位处理处置。经妥善处理后固体废物对周围环境的影响较小。</w:t>
      </w:r>
    </w:p>
    <w:p w14:paraId="1BE03CD1">
      <w:pPr>
        <w:pStyle w:val="3"/>
        <w:spacing w:before="0" w:after="0" w:line="360" w:lineRule="auto"/>
        <w:rPr>
          <w:rFonts w:hint="default" w:ascii="Times New Roman" w:hAnsi="Times New Roman" w:eastAsia="宋体" w:cs="Times New Roman"/>
        </w:rPr>
      </w:pPr>
      <w:bookmarkStart w:id="524" w:name="_Toc106961941"/>
      <w:bookmarkStart w:id="525" w:name="_Toc264633409"/>
      <w:bookmarkStart w:id="526" w:name="_Toc119413838"/>
      <w:bookmarkStart w:id="527" w:name="_Toc1120446"/>
      <w:bookmarkStart w:id="528" w:name="_Toc29469"/>
      <w:bookmarkStart w:id="529" w:name="_Toc33007236"/>
      <w:bookmarkStart w:id="530" w:name="_Toc87017042"/>
      <w:bookmarkStart w:id="531" w:name="_Toc480715256"/>
      <w:bookmarkStart w:id="532" w:name="_Toc267404176"/>
      <w:r>
        <w:rPr>
          <w:rFonts w:hint="default" w:ascii="Times New Roman" w:hAnsi="Times New Roman" w:eastAsia="宋体" w:cs="Times New Roman"/>
        </w:rPr>
        <w:t>13.4环境风险评价</w:t>
      </w:r>
      <w:bookmarkEnd w:id="524"/>
      <w:bookmarkEnd w:id="525"/>
      <w:bookmarkEnd w:id="526"/>
      <w:bookmarkEnd w:id="527"/>
      <w:bookmarkEnd w:id="528"/>
      <w:bookmarkEnd w:id="529"/>
      <w:bookmarkEnd w:id="530"/>
      <w:bookmarkEnd w:id="531"/>
      <w:bookmarkEnd w:id="532"/>
    </w:p>
    <w:p w14:paraId="329D5B34">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项目环境风险水平较低，只要平时重视安全管理，加强岗位责任制，严格执行事故风险防范措施，避免失误操作，并备有应急救灾计划与物资，事故发生后立即启动应急预案，有组织地进行抗灾救灾和善后恢复、补偿工作，能减缓项目对周围环境造成的危害和影响。</w:t>
      </w:r>
    </w:p>
    <w:p w14:paraId="43A65D1C">
      <w:pPr>
        <w:pStyle w:val="3"/>
        <w:spacing w:before="0" w:after="0" w:line="360" w:lineRule="auto"/>
        <w:rPr>
          <w:rFonts w:hint="default" w:ascii="Times New Roman" w:hAnsi="Times New Roman" w:eastAsia="宋体" w:cs="Times New Roman"/>
        </w:rPr>
      </w:pPr>
      <w:bookmarkStart w:id="533" w:name="_Toc119413839"/>
      <w:bookmarkStart w:id="534" w:name="_Toc12374"/>
      <w:bookmarkStart w:id="535" w:name="_Toc87017044"/>
      <w:bookmarkStart w:id="536" w:name="_Toc106961942"/>
      <w:r>
        <w:rPr>
          <w:rFonts w:hint="default" w:ascii="Times New Roman" w:hAnsi="Times New Roman" w:eastAsia="宋体" w:cs="Times New Roman"/>
        </w:rPr>
        <w:t>13.5总量控制</w:t>
      </w:r>
      <w:bookmarkEnd w:id="533"/>
      <w:bookmarkEnd w:id="534"/>
      <w:bookmarkEnd w:id="535"/>
      <w:bookmarkEnd w:id="536"/>
    </w:p>
    <w:p w14:paraId="4A726983">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kern w:val="44"/>
          <w:sz w:val="24"/>
          <w:szCs w:val="24"/>
        </w:rPr>
        <w:t>结合本次扩建项目的工程分析，</w:t>
      </w:r>
      <w:r>
        <w:rPr>
          <w:rFonts w:hint="default" w:ascii="Times New Roman" w:hAnsi="Times New Roman" w:eastAsia="宋体" w:cs="Times New Roman"/>
          <w:kern w:val="0"/>
          <w:sz w:val="24"/>
        </w:rPr>
        <w:t>项目生活污水经化粪池预处理达标后排入污水处理厂处理</w:t>
      </w:r>
      <w:r>
        <w:rPr>
          <w:rFonts w:hint="eastAsia" w:ascii="Times New Roman" w:hAnsi="Times New Roman" w:cs="Times New Roman"/>
          <w:kern w:val="0"/>
          <w:sz w:val="24"/>
          <w:lang w:eastAsia="zh-CN"/>
        </w:rPr>
        <w:t>，</w:t>
      </w:r>
      <w:r>
        <w:rPr>
          <w:rFonts w:hint="eastAsia" w:ascii="Times New Roman" w:hAnsi="Times New Roman" w:cs="Times New Roman"/>
          <w:kern w:val="0"/>
          <w:sz w:val="24"/>
          <w:lang w:val="en-US" w:eastAsia="zh-CN"/>
        </w:rPr>
        <w:t>生活污水排放不计入总量</w:t>
      </w:r>
      <w:r>
        <w:rPr>
          <w:rFonts w:hint="default" w:ascii="Times New Roman" w:hAnsi="Times New Roman" w:eastAsia="宋体" w:cs="Times New Roman"/>
          <w:kern w:val="0"/>
          <w:sz w:val="24"/>
        </w:rPr>
        <w:t>；</w:t>
      </w:r>
      <w:r>
        <w:rPr>
          <w:rFonts w:hint="default" w:ascii="Times New Roman" w:hAnsi="Times New Roman" w:eastAsia="宋体" w:cs="Times New Roman"/>
          <w:kern w:val="0"/>
          <w:sz w:val="24"/>
          <w:lang w:val="en-US" w:eastAsia="zh-CN"/>
        </w:rPr>
        <w:t>生产</w:t>
      </w:r>
      <w:r>
        <w:rPr>
          <w:rFonts w:hint="default" w:ascii="Times New Roman" w:hAnsi="Times New Roman" w:eastAsia="宋体" w:cs="Times New Roman"/>
          <w:sz w:val="24"/>
          <w:szCs w:val="24"/>
        </w:rPr>
        <w:t>污水</w:t>
      </w:r>
      <w:r>
        <w:rPr>
          <w:rFonts w:hint="eastAsia" w:ascii="Times New Roman" w:hAnsi="Times New Roman" w:cs="Times New Roman"/>
          <w:sz w:val="24"/>
          <w:szCs w:val="24"/>
          <w:lang w:eastAsia="zh-CN"/>
        </w:rPr>
        <w:t>（</w:t>
      </w:r>
      <w:r>
        <w:rPr>
          <w:rFonts w:hint="default" w:ascii="Times New Roman" w:hAnsi="Times New Roman" w:eastAsia="宋体" w:cs="Times New Roman"/>
          <w:color w:val="000000"/>
          <w:kern w:val="0"/>
          <w:szCs w:val="21"/>
        </w:rPr>
        <w:t>7392</w:t>
      </w:r>
      <w:r>
        <w:rPr>
          <w:rFonts w:hint="eastAsia" w:ascii="Times New Roman" w:hAnsi="Times New Roman" w:cs="Times New Roman"/>
          <w:color w:val="000000"/>
          <w:kern w:val="0"/>
          <w:szCs w:val="21"/>
          <w:lang w:val="en-US" w:eastAsia="zh-CN"/>
        </w:rPr>
        <w:t>t/a</w:t>
      </w:r>
      <w:r>
        <w:rPr>
          <w:rFonts w:hint="eastAsia" w:ascii="Times New Roman" w:hAnsi="Times New Roman" w:cs="Times New Roman"/>
          <w:sz w:val="24"/>
          <w:szCs w:val="24"/>
          <w:lang w:eastAsia="zh-CN"/>
        </w:rPr>
        <w:t>）</w:t>
      </w:r>
      <w:r>
        <w:rPr>
          <w:rFonts w:hint="default" w:ascii="Times New Roman" w:hAnsi="Times New Roman" w:eastAsia="宋体" w:cs="Times New Roman"/>
          <w:sz w:val="24"/>
          <w:szCs w:val="24"/>
        </w:rPr>
        <w:t>经自建污水处理站处理后排入松木经开区污水处理厂，处理后</w:t>
      </w:r>
      <w:r>
        <w:rPr>
          <w:rFonts w:hint="eastAsia" w:ascii="Times New Roman" w:hAnsi="Times New Roman" w:cs="Times New Roman"/>
          <w:sz w:val="24"/>
          <w:szCs w:val="24"/>
          <w:lang w:val="en-US" w:eastAsia="zh-CN"/>
        </w:rPr>
        <w:t>最终进入环境</w:t>
      </w:r>
      <w:r>
        <w:rPr>
          <w:rFonts w:hint="default" w:ascii="Times New Roman" w:hAnsi="Times New Roman" w:eastAsia="宋体" w:cs="Times New Roman"/>
          <w:sz w:val="24"/>
          <w:szCs w:val="24"/>
        </w:rPr>
        <w:t xml:space="preserve">总量为COD </w:t>
      </w:r>
      <w:r>
        <w:rPr>
          <w:rFonts w:hint="eastAsia" w:ascii="Times New Roman" w:hAnsi="Times New Roman" w:cs="Times New Roman"/>
          <w:sz w:val="24"/>
          <w:szCs w:val="24"/>
          <w:lang w:val="en-US" w:eastAsia="zh-CN"/>
        </w:rPr>
        <w:t>0.475</w:t>
      </w:r>
      <w:r>
        <w:rPr>
          <w:rFonts w:hint="default" w:ascii="Times New Roman" w:hAnsi="Times New Roman" w:eastAsia="宋体" w:cs="Times New Roman"/>
          <w:sz w:val="24"/>
          <w:szCs w:val="24"/>
        </w:rPr>
        <w:t>t/a、NH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 0.</w:t>
      </w:r>
      <w:r>
        <w:rPr>
          <w:rFonts w:hint="eastAsia" w:ascii="Times New Roman" w:hAnsi="Times New Roman" w:cs="Times New Roman"/>
          <w:sz w:val="24"/>
          <w:szCs w:val="24"/>
          <w:lang w:val="en-US" w:eastAsia="zh-CN"/>
        </w:rPr>
        <w:t>119</w:t>
      </w:r>
      <w:r>
        <w:rPr>
          <w:rFonts w:hint="default" w:ascii="Times New Roman" w:hAnsi="Times New Roman" w:eastAsia="宋体" w:cs="Times New Roman"/>
          <w:sz w:val="24"/>
          <w:szCs w:val="24"/>
        </w:rPr>
        <w:t>t/a</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COD和</w:t>
      </w:r>
      <w:r>
        <w:rPr>
          <w:rFonts w:hint="default" w:ascii="Times New Roman" w:hAnsi="Times New Roman" w:eastAsia="宋体" w:cs="Times New Roman"/>
          <w:sz w:val="24"/>
          <w:szCs w:val="24"/>
        </w:rPr>
        <w:t>NH</w:t>
      </w:r>
      <w:r>
        <w:rPr>
          <w:rFonts w:hint="default" w:ascii="Times New Roman" w:hAnsi="Times New Roman" w:eastAsia="宋体" w:cs="Times New Roman"/>
          <w:sz w:val="24"/>
          <w:szCs w:val="24"/>
          <w:vertAlign w:val="subscript"/>
        </w:rPr>
        <w:t>3</w:t>
      </w:r>
      <w:r>
        <w:rPr>
          <w:rFonts w:hint="default" w:ascii="Times New Roman" w:hAnsi="Times New Roman" w:eastAsia="宋体" w:cs="Times New Roman"/>
          <w:sz w:val="24"/>
          <w:szCs w:val="24"/>
        </w:rPr>
        <w:t>-N</w:t>
      </w:r>
      <w:r>
        <w:rPr>
          <w:rFonts w:hint="eastAsia" w:ascii="Times New Roman" w:hAnsi="Times New Roman" w:cs="Times New Roman"/>
          <w:sz w:val="24"/>
          <w:szCs w:val="24"/>
          <w:lang w:val="en-US" w:eastAsia="zh-CN"/>
        </w:rPr>
        <w:t>的总量控制指标需通过购买或调剂的方式获得</w:t>
      </w:r>
      <w:r>
        <w:rPr>
          <w:rFonts w:hint="default" w:ascii="Times New Roman" w:hAnsi="Times New Roman" w:eastAsia="宋体" w:cs="Times New Roman"/>
          <w:sz w:val="24"/>
          <w:szCs w:val="24"/>
        </w:rPr>
        <w:t>。</w:t>
      </w:r>
    </w:p>
    <w:p w14:paraId="1BB250BF">
      <w:pPr>
        <w:spacing w:line="360" w:lineRule="auto"/>
        <w:ind w:firstLine="480" w:firstLineChars="200"/>
        <w:jc w:val="left"/>
        <w:rPr>
          <w:rFonts w:hint="default" w:ascii="Times New Roman" w:hAnsi="Times New Roman" w:eastAsia="宋体" w:cs="Times New Roman"/>
          <w:sz w:val="32"/>
          <w:szCs w:val="24"/>
        </w:rPr>
      </w:pPr>
      <w:r>
        <w:rPr>
          <w:rFonts w:hint="default" w:ascii="Times New Roman" w:hAnsi="Times New Roman" w:eastAsia="宋体" w:cs="Times New Roman"/>
          <w:kern w:val="0"/>
          <w:sz w:val="24"/>
        </w:rPr>
        <w:t>项目排放废气涉及VOCs，其排放总量为3.</w:t>
      </w:r>
      <w:r>
        <w:rPr>
          <w:rFonts w:hint="default" w:ascii="Times New Roman" w:hAnsi="Times New Roman" w:eastAsia="宋体" w:cs="Times New Roman"/>
          <w:kern w:val="0"/>
          <w:sz w:val="24"/>
          <w:lang w:val="en-US" w:eastAsia="zh-CN"/>
        </w:rPr>
        <w:t>2956</w:t>
      </w:r>
      <w:r>
        <w:rPr>
          <w:rFonts w:hint="default" w:ascii="Times New Roman" w:hAnsi="Times New Roman" w:eastAsia="宋体" w:cs="Times New Roman"/>
          <w:kern w:val="0"/>
          <w:sz w:val="24"/>
        </w:rPr>
        <w:t>t/a（其中有组织排放1.67</w:t>
      </w:r>
      <w:r>
        <w:rPr>
          <w:rFonts w:hint="default" w:ascii="Times New Roman" w:hAnsi="Times New Roman" w:eastAsia="宋体" w:cs="Times New Roman"/>
          <w:kern w:val="0"/>
          <w:sz w:val="24"/>
          <w:lang w:val="en-US" w:eastAsia="zh-CN"/>
        </w:rPr>
        <w:t>56</w:t>
      </w:r>
      <w:r>
        <w:rPr>
          <w:rFonts w:hint="default" w:ascii="Times New Roman" w:hAnsi="Times New Roman" w:eastAsia="宋体" w:cs="Times New Roman"/>
          <w:kern w:val="0"/>
          <w:sz w:val="24"/>
        </w:rPr>
        <w:t xml:space="preserve">t/a、无组织排放1.62t/a）。 </w:t>
      </w:r>
    </w:p>
    <w:p w14:paraId="698623B0">
      <w:pPr>
        <w:pStyle w:val="3"/>
        <w:spacing w:before="0" w:after="0" w:line="360" w:lineRule="auto"/>
        <w:rPr>
          <w:rFonts w:hint="default" w:ascii="Times New Roman" w:hAnsi="Times New Roman" w:eastAsia="宋体" w:cs="Times New Roman"/>
        </w:rPr>
      </w:pPr>
      <w:bookmarkStart w:id="537" w:name="_Toc17715"/>
      <w:bookmarkStart w:id="538" w:name="_Toc106961943"/>
      <w:bookmarkStart w:id="539" w:name="_Toc87017045"/>
      <w:bookmarkStart w:id="540" w:name="_Toc119413840"/>
      <w:r>
        <w:rPr>
          <w:rFonts w:hint="default" w:ascii="Times New Roman" w:hAnsi="Times New Roman" w:eastAsia="宋体" w:cs="Times New Roman"/>
        </w:rPr>
        <w:t>13.6公众参与</w:t>
      </w:r>
      <w:bookmarkEnd w:id="537"/>
      <w:bookmarkEnd w:id="538"/>
      <w:bookmarkEnd w:id="539"/>
      <w:bookmarkEnd w:id="540"/>
    </w:p>
    <w:p w14:paraId="23A73DAE">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本项目采用环境信息公示（现场公示+网络公示+报纸公示），调查结果显示，公众对项目的建设无反对意见，视为支持。环评要求建设单位在实施项目的过程，严格按照本环评报告提出的相关措施处理废气和废水，保证废气处理设施的正常运行及日常维护，尽量减轻项目对周边环境的影响。环评要求企业在建设和投产后，在发展经济的同时，更应重视环境保护，完善环境管理制度，确保污染物处理达标后排放，并且在达标的基础上尽量降低污染物排放。同时要求对附近居民加大宣传力度，尽可能增加对本项目的了解，不能因项目建设给周围环境造成不良的环境影响。</w:t>
      </w:r>
    </w:p>
    <w:p w14:paraId="01746BAD">
      <w:pPr>
        <w:pStyle w:val="3"/>
        <w:spacing w:before="0" w:after="0" w:line="360" w:lineRule="auto"/>
        <w:rPr>
          <w:rFonts w:hint="default" w:ascii="Times New Roman" w:hAnsi="Times New Roman" w:eastAsia="宋体" w:cs="Times New Roman"/>
        </w:rPr>
      </w:pPr>
      <w:bookmarkStart w:id="541" w:name="_Toc119413841"/>
      <w:bookmarkStart w:id="542" w:name="_Toc87017046"/>
      <w:bookmarkStart w:id="543" w:name="_Toc106961944"/>
      <w:bookmarkStart w:id="544" w:name="_Toc31349"/>
      <w:r>
        <w:rPr>
          <w:rFonts w:hint="default" w:ascii="Times New Roman" w:hAnsi="Times New Roman" w:eastAsia="宋体" w:cs="Times New Roman"/>
        </w:rPr>
        <w:t>13.7评价结论</w:t>
      </w:r>
      <w:bookmarkEnd w:id="541"/>
      <w:bookmarkEnd w:id="542"/>
      <w:bookmarkEnd w:id="543"/>
      <w:bookmarkEnd w:id="544"/>
    </w:p>
    <w:p w14:paraId="19127273">
      <w:pPr>
        <w:spacing w:line="360" w:lineRule="auto"/>
        <w:ind w:firstLine="480" w:firstLineChars="200"/>
        <w:rPr>
          <w:rFonts w:hint="default" w:ascii="Times New Roman" w:hAnsi="Times New Roman" w:eastAsia="宋体" w:cs="Times New Roman"/>
          <w:color w:val="FF0000"/>
          <w:sz w:val="24"/>
          <w:szCs w:val="24"/>
        </w:rPr>
      </w:pPr>
      <w:r>
        <w:rPr>
          <w:rFonts w:hint="default" w:ascii="Times New Roman" w:hAnsi="Times New Roman" w:eastAsia="宋体" w:cs="Times New Roman"/>
          <w:color w:val="FF0000"/>
          <w:sz w:val="24"/>
          <w:szCs w:val="24"/>
        </w:rPr>
        <w:t>湖南湘蓝再生资源利用有限公司拟建的“松木经开区循环经济产业基地项目废旧金属塑料危险废物综合利用子项目”的建设，符合国家现行的产业政策，选址整体可行，符合用地规划，平面布置总体合理；项目所采取的各项污染防治措施合理有效，项目建设及运营满足达标排放的要求。环境影响分析表明项目建设对周围环境影响较小，</w:t>
      </w:r>
      <w:r>
        <w:rPr>
          <w:rFonts w:hint="default" w:ascii="Times New Roman" w:hAnsi="Times New Roman" w:eastAsia="宋体" w:cs="Times New Roman"/>
          <w:color w:val="FF0000"/>
          <w:sz w:val="24"/>
        </w:rPr>
        <w:t>项目建设完成后主要大气污染物和废水在采取相应治理措施后，均能达标排放，固体废物均可得到妥善有效的处置，同时通过</w:t>
      </w:r>
      <w:r>
        <w:rPr>
          <w:rFonts w:hint="default" w:ascii="Times New Roman" w:hAnsi="Times New Roman" w:eastAsia="宋体" w:cs="Times New Roman"/>
          <w:color w:val="FF0000"/>
          <w:sz w:val="24"/>
          <w:szCs w:val="24"/>
        </w:rPr>
        <w:t>采取相应的风险防范措施，环境风险值在可接受范围内，项目建设无明显环境制约因素；公众</w:t>
      </w:r>
      <w:r>
        <w:rPr>
          <w:rFonts w:hint="default" w:ascii="Times New Roman" w:hAnsi="Times New Roman" w:eastAsia="宋体" w:cs="Times New Roman"/>
          <w:color w:val="FF0000"/>
          <w:sz w:val="24"/>
          <w:szCs w:val="24"/>
          <w:lang w:eastAsia="zh-CN"/>
        </w:rPr>
        <w:t>反映的意见</w:t>
      </w:r>
      <w:r>
        <w:rPr>
          <w:rFonts w:hint="default" w:ascii="Times New Roman" w:hAnsi="Times New Roman" w:eastAsia="宋体" w:cs="Times New Roman"/>
          <w:color w:val="FF0000"/>
          <w:sz w:val="24"/>
          <w:szCs w:val="24"/>
        </w:rPr>
        <w:t>和态度良好。因此，项目在切实落实各项环保措施的前提下，从环保角度分析，项目建设可行。</w:t>
      </w:r>
    </w:p>
    <w:p w14:paraId="0E014227">
      <w:pPr>
        <w:pStyle w:val="3"/>
        <w:spacing w:before="0" w:after="0" w:line="360" w:lineRule="auto"/>
        <w:rPr>
          <w:rFonts w:hint="default" w:ascii="Times New Roman" w:hAnsi="Times New Roman" w:eastAsia="宋体" w:cs="Times New Roman"/>
        </w:rPr>
      </w:pPr>
      <w:bookmarkStart w:id="545" w:name="_Toc106961945"/>
      <w:bookmarkStart w:id="546" w:name="_Toc87017047"/>
      <w:bookmarkStart w:id="547" w:name="_Toc119413842"/>
      <w:bookmarkStart w:id="548" w:name="_Toc13010"/>
      <w:r>
        <w:rPr>
          <w:rFonts w:hint="default" w:ascii="Times New Roman" w:hAnsi="Times New Roman" w:eastAsia="宋体" w:cs="Times New Roman"/>
        </w:rPr>
        <w:t>13.8建议与要求</w:t>
      </w:r>
      <w:bookmarkEnd w:id="545"/>
      <w:bookmarkEnd w:id="546"/>
      <w:bookmarkEnd w:id="547"/>
      <w:bookmarkEnd w:id="548"/>
    </w:p>
    <w:p w14:paraId="1D3A6919">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（1）确保各环保设施正常、稳定运行，使各污染物达标排放；</w:t>
      </w:r>
    </w:p>
    <w:p w14:paraId="0BB28DA1">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（2）落实报告书中环境风险评价</w:t>
      </w:r>
      <w:r>
        <w:rPr>
          <w:rFonts w:hint="default" w:ascii="Times New Roman" w:hAnsi="Times New Roman" w:eastAsia="宋体" w:cs="Times New Roman"/>
          <w:lang w:eastAsia="zh-CN"/>
        </w:rPr>
        <w:t>各项</w:t>
      </w:r>
      <w:r>
        <w:rPr>
          <w:rFonts w:hint="default" w:ascii="Times New Roman" w:hAnsi="Times New Roman" w:eastAsia="宋体" w:cs="Times New Roman"/>
        </w:rPr>
        <w:t>内容，做好生产区域的地面防渗和围堰，一旦发生事故，事故废水/废液应集中收集处置，禁止直接排入水体，加强管理确保固体废物暂存库存正常运行，防止污染地下水；</w:t>
      </w:r>
    </w:p>
    <w:p w14:paraId="57BCEBEA">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（3）严格管理，强化生产车间的密闭性管理，杜绝生产过程中的跑、冒、滴、漏；针对拟建工程特点，制定一套科学、完整和严格的故障处理制度和应急措施，责任到人，以便发生故障时及时处理；</w:t>
      </w:r>
    </w:p>
    <w:p w14:paraId="5E616673">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（4）工程建成投产后企业应设专职人员，实施环境管理职能和清洁生产管理职能，建立并完善环境管理规章制度，加强环保设施的管理和维护，保证安全、正常运行，做到达标排放；</w:t>
      </w:r>
    </w:p>
    <w:p w14:paraId="6150F616">
      <w:pPr>
        <w:pStyle w:val="12"/>
        <w:spacing w:line="360" w:lineRule="auto"/>
        <w:ind w:firstLine="480" w:firstLineChars="200"/>
        <w:rPr>
          <w:rFonts w:hint="default" w:ascii="Times New Roman" w:hAnsi="Times New Roman" w:eastAsia="宋体" w:cs="Times New Roman"/>
        </w:rPr>
      </w:pPr>
      <w:r>
        <w:rPr>
          <w:rFonts w:hint="default" w:ascii="Times New Roman" w:hAnsi="Times New Roman" w:eastAsia="宋体" w:cs="Times New Roman"/>
        </w:rPr>
        <w:t>（5）加强作业工人的个人劳动保护，完善个人防护用品的使用管理，加强职业卫生知识的宣传教育工作；</w:t>
      </w:r>
    </w:p>
    <w:p w14:paraId="1CB951DF">
      <w:pPr>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（6）按照监测计划要求，配合</w:t>
      </w:r>
      <w:r>
        <w:rPr>
          <w:rFonts w:hint="eastAsia" w:ascii="Times New Roman" w:hAnsi="Times New Roman" w:cs="Times New Roman"/>
          <w:sz w:val="24"/>
          <w:lang w:eastAsia="zh-CN"/>
        </w:rPr>
        <w:t>生态环境部</w:t>
      </w:r>
      <w:r>
        <w:rPr>
          <w:rFonts w:hint="default" w:ascii="Times New Roman" w:hAnsi="Times New Roman" w:eastAsia="宋体" w:cs="Times New Roman"/>
          <w:sz w:val="24"/>
        </w:rPr>
        <w:t>门对项目污染源及周边环境进行监测，发现问题及时处理并上报给环保行政主管部门；</w:t>
      </w:r>
    </w:p>
    <w:p w14:paraId="3FBFB5BB">
      <w:pPr>
        <w:spacing w:line="360" w:lineRule="auto"/>
        <w:ind w:firstLine="480" w:firstLineChars="200"/>
        <w:jc w:val="left"/>
        <w:rPr>
          <w:rFonts w:hint="default" w:ascii="Times New Roman" w:hAnsi="Times New Roman" w:eastAsia="宋体" w:cs="Times New Roman"/>
          <w:sz w:val="24"/>
          <w:szCs w:val="24"/>
        </w:rPr>
      </w:pPr>
      <w:r>
        <w:rPr>
          <w:rFonts w:hint="default" w:ascii="Times New Roman" w:hAnsi="Times New Roman" w:eastAsia="宋体" w:cs="Times New Roman"/>
          <w:sz w:val="24"/>
        </w:rPr>
        <w:t>（7）严格执行排污许可证制度，依法合法排污，项目建成后应按相关要求完成竣工环境保护验收。</w:t>
      </w: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Sim Sun+ 2">
    <w:altName w:val="微软雅黑"/>
    <w:panose1 w:val="00000000000000000000"/>
    <w:charset w:val="86"/>
    <w:family w:val="swiss"/>
    <w:pitch w:val="default"/>
    <w:sig w:usb0="00000000" w:usb1="00000000" w:usb2="00000010" w:usb3="00000000" w:csb0="00040000" w:csb1="00000000"/>
  </w:font>
  <w:font w:name="新宋体-18030">
    <w:altName w:val="宋体"/>
    <w:panose1 w:val="00000000000000000000"/>
    <w:charset w:val="00"/>
    <w:family w:val="auto"/>
    <w:pitch w:val="default"/>
    <w:sig w:usb0="00000000" w:usb1="00000000" w:usb2="00000000" w:usb3="00000000" w:csb0="00040001" w:csb1="00000000"/>
  </w:font>
  <w:font w:name="方正宋三简体">
    <w:altName w:val="宋体"/>
    <w:panose1 w:val="02000000000000000000"/>
    <w:charset w:val="86"/>
    <w:family w:val="auto"/>
    <w:pitch w:val="default"/>
    <w:sig w:usb0="00000000" w:usb1="00000000" w:usb2="00000000" w:usb3="00000000" w:csb0="00040000" w:csb1="00000000"/>
  </w:font>
  <w:font w:name="TimesNewRomanPSMT">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9225966"/>
      <w:docPartObj>
        <w:docPartGallery w:val="autotext"/>
      </w:docPartObj>
    </w:sdtPr>
    <w:sdtContent>
      <w:p w14:paraId="54ECE326">
        <w:pPr>
          <w:pStyle w:val="20"/>
          <w:ind w:firstLine="480"/>
          <w:jc w:val="center"/>
        </w:pPr>
        <w:r>
          <w:fldChar w:fldCharType="begin"/>
        </w:r>
        <w:r>
          <w:instrText xml:space="preserve">PAGE   \* MERGEFORMAT</w:instrText>
        </w:r>
        <w:r>
          <w:fldChar w:fldCharType="separate"/>
        </w:r>
        <w:r>
          <w:rPr>
            <w:lang w:val="zh-CN"/>
          </w:rPr>
          <w:t>2</w:t>
        </w:r>
        <w:r>
          <w:fldChar w:fldCharType="end"/>
        </w:r>
      </w:p>
    </w:sdtContent>
  </w:sdt>
  <w:p w14:paraId="364DE18E">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DB4DD9"/>
    <w:multiLevelType w:val="multilevel"/>
    <w:tmpl w:val="0DDB4DD9"/>
    <w:lvl w:ilvl="0" w:tentative="0">
      <w:start w:val="1"/>
      <w:numFmt w:val="decimal"/>
      <w:lvlText w:val="%1"/>
      <w:lvlJc w:val="left"/>
      <w:pPr>
        <w:tabs>
          <w:tab w:val="left" w:pos="432"/>
        </w:tabs>
        <w:ind w:left="432" w:hanging="432"/>
      </w:pPr>
      <w:rPr>
        <w:rFonts w:hint="eastAsia"/>
      </w:rPr>
    </w:lvl>
    <w:lvl w:ilvl="1" w:tentative="0">
      <w:start w:val="1"/>
      <w:numFmt w:val="decimal"/>
      <w:lvlText w:val="%1.%2"/>
      <w:lvlJc w:val="left"/>
      <w:pPr>
        <w:tabs>
          <w:tab w:val="left" w:pos="1524"/>
        </w:tabs>
        <w:ind w:left="1524" w:hanging="576"/>
      </w:pPr>
      <w:rPr>
        <w:rFonts w:hint="eastAsia"/>
      </w:rPr>
    </w:lvl>
    <w:lvl w:ilvl="2" w:tentative="0">
      <w:start w:val="1"/>
      <w:numFmt w:val="decimal"/>
      <w:lvlText w:val="%1.%2.%3"/>
      <w:lvlJc w:val="left"/>
      <w:pPr>
        <w:tabs>
          <w:tab w:val="left" w:pos="2142"/>
        </w:tabs>
        <w:ind w:left="2142" w:hanging="720"/>
      </w:pPr>
      <w:rPr>
        <w:rFonts w:hint="eastAsia"/>
      </w:rPr>
    </w:lvl>
    <w:lvl w:ilvl="3" w:tentative="0">
      <w:start w:val="1"/>
      <w:numFmt w:val="decimal"/>
      <w:lvlText w:val="%1.%2.%3.%4"/>
      <w:lvlJc w:val="left"/>
      <w:pPr>
        <w:tabs>
          <w:tab w:val="left" w:pos="864"/>
        </w:tabs>
        <w:ind w:left="864" w:hanging="864"/>
      </w:pPr>
      <w:rPr>
        <w:rFonts w:hint="eastAsia"/>
      </w:rPr>
    </w:lvl>
    <w:lvl w:ilvl="4" w:tentative="0">
      <w:start w:val="1"/>
      <w:numFmt w:val="decimal"/>
      <w:lvlText w:val="%1.%2.%3.%4.%5"/>
      <w:lvlJc w:val="left"/>
      <w:pPr>
        <w:tabs>
          <w:tab w:val="left" w:pos="1008"/>
        </w:tabs>
        <w:ind w:left="1008" w:hanging="1008"/>
      </w:pPr>
      <w:rPr>
        <w:rFonts w:hint="eastAsia"/>
      </w:rPr>
    </w:lvl>
    <w:lvl w:ilvl="5" w:tentative="0">
      <w:start w:val="1"/>
      <w:numFmt w:val="decimal"/>
      <w:pStyle w:val="131"/>
      <w:lvlText w:val="%1.%2.%3.%4.%5.%6"/>
      <w:lvlJc w:val="left"/>
      <w:pPr>
        <w:tabs>
          <w:tab w:val="left" w:pos="1152"/>
        </w:tabs>
        <w:ind w:left="1152" w:hanging="1152"/>
      </w:pPr>
      <w:rPr>
        <w:rFonts w:hint="eastAsia"/>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
    <w:nsid w:val="1B20ACC8"/>
    <w:multiLevelType w:val="singleLevel"/>
    <w:tmpl w:val="1B20ACC8"/>
    <w:lvl w:ilvl="0" w:tentative="0">
      <w:start w:val="2"/>
      <w:numFmt w:val="decimal"/>
      <w:suff w:val="nothing"/>
      <w:lvlText w:val="（%1）"/>
      <w:lvlJc w:val="left"/>
    </w:lvl>
  </w:abstractNum>
  <w:abstractNum w:abstractNumId="2">
    <w:nsid w:val="70EA3A48"/>
    <w:multiLevelType w:val="singleLevel"/>
    <w:tmpl w:val="70EA3A48"/>
    <w:lvl w:ilvl="0" w:tentative="0">
      <w:start w:val="4"/>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NiOTFlZDdlOTM1MDZmNzNmODgxNDg5MGY1ZTM1MzQifQ=="/>
  </w:docVars>
  <w:rsids>
    <w:rsidRoot w:val="002067C5"/>
    <w:rsid w:val="000002C6"/>
    <w:rsid w:val="00000E8C"/>
    <w:rsid w:val="00001BDE"/>
    <w:rsid w:val="00002F75"/>
    <w:rsid w:val="000051CA"/>
    <w:rsid w:val="00005B6B"/>
    <w:rsid w:val="000073AA"/>
    <w:rsid w:val="0001133D"/>
    <w:rsid w:val="000118A6"/>
    <w:rsid w:val="00016727"/>
    <w:rsid w:val="00016D88"/>
    <w:rsid w:val="00023458"/>
    <w:rsid w:val="0002357B"/>
    <w:rsid w:val="000269B4"/>
    <w:rsid w:val="00027DA2"/>
    <w:rsid w:val="00030143"/>
    <w:rsid w:val="0004369E"/>
    <w:rsid w:val="0004585F"/>
    <w:rsid w:val="00047DC2"/>
    <w:rsid w:val="0005033D"/>
    <w:rsid w:val="00051A30"/>
    <w:rsid w:val="000568EE"/>
    <w:rsid w:val="0005751E"/>
    <w:rsid w:val="00065145"/>
    <w:rsid w:val="000678AB"/>
    <w:rsid w:val="000756C9"/>
    <w:rsid w:val="00076CE6"/>
    <w:rsid w:val="00076D8B"/>
    <w:rsid w:val="0008223C"/>
    <w:rsid w:val="000852E1"/>
    <w:rsid w:val="0008639F"/>
    <w:rsid w:val="0008678D"/>
    <w:rsid w:val="000874C5"/>
    <w:rsid w:val="00097496"/>
    <w:rsid w:val="000A04EE"/>
    <w:rsid w:val="000A1C59"/>
    <w:rsid w:val="000A294F"/>
    <w:rsid w:val="000B609A"/>
    <w:rsid w:val="000B64CE"/>
    <w:rsid w:val="000C0AA5"/>
    <w:rsid w:val="000C24AC"/>
    <w:rsid w:val="000C27B5"/>
    <w:rsid w:val="000D11EA"/>
    <w:rsid w:val="000D6878"/>
    <w:rsid w:val="000E34F1"/>
    <w:rsid w:val="000E581A"/>
    <w:rsid w:val="000E6621"/>
    <w:rsid w:val="000E6773"/>
    <w:rsid w:val="000E7BF4"/>
    <w:rsid w:val="000F0421"/>
    <w:rsid w:val="000F46D3"/>
    <w:rsid w:val="000F6358"/>
    <w:rsid w:val="000F6B0D"/>
    <w:rsid w:val="000F78E6"/>
    <w:rsid w:val="00101306"/>
    <w:rsid w:val="001039D3"/>
    <w:rsid w:val="001060B9"/>
    <w:rsid w:val="001064A7"/>
    <w:rsid w:val="00106DBD"/>
    <w:rsid w:val="00111CA8"/>
    <w:rsid w:val="00114BC3"/>
    <w:rsid w:val="00115FC5"/>
    <w:rsid w:val="00121CC4"/>
    <w:rsid w:val="0012725F"/>
    <w:rsid w:val="001312B9"/>
    <w:rsid w:val="00131456"/>
    <w:rsid w:val="001408CF"/>
    <w:rsid w:val="00141D90"/>
    <w:rsid w:val="00144CE7"/>
    <w:rsid w:val="001452A3"/>
    <w:rsid w:val="00150AE3"/>
    <w:rsid w:val="001554D3"/>
    <w:rsid w:val="001624DF"/>
    <w:rsid w:val="00166492"/>
    <w:rsid w:val="00166C73"/>
    <w:rsid w:val="001675A2"/>
    <w:rsid w:val="001736CE"/>
    <w:rsid w:val="00174D99"/>
    <w:rsid w:val="00175397"/>
    <w:rsid w:val="00180DFA"/>
    <w:rsid w:val="001824B4"/>
    <w:rsid w:val="001874F1"/>
    <w:rsid w:val="0019338B"/>
    <w:rsid w:val="0019624B"/>
    <w:rsid w:val="001A216B"/>
    <w:rsid w:val="001A3E8A"/>
    <w:rsid w:val="001A4859"/>
    <w:rsid w:val="001A60D1"/>
    <w:rsid w:val="001A6DA1"/>
    <w:rsid w:val="001A77C7"/>
    <w:rsid w:val="001B501A"/>
    <w:rsid w:val="001C37D2"/>
    <w:rsid w:val="001C50FE"/>
    <w:rsid w:val="001C5378"/>
    <w:rsid w:val="001D0508"/>
    <w:rsid w:val="001D6968"/>
    <w:rsid w:val="001E00C2"/>
    <w:rsid w:val="001E0F7E"/>
    <w:rsid w:val="001E6399"/>
    <w:rsid w:val="001E6E52"/>
    <w:rsid w:val="001E7396"/>
    <w:rsid w:val="001F2D56"/>
    <w:rsid w:val="001F62FA"/>
    <w:rsid w:val="00201952"/>
    <w:rsid w:val="00204C57"/>
    <w:rsid w:val="00206600"/>
    <w:rsid w:val="002067C5"/>
    <w:rsid w:val="002069E1"/>
    <w:rsid w:val="00210F02"/>
    <w:rsid w:val="00211909"/>
    <w:rsid w:val="0021555D"/>
    <w:rsid w:val="00217CCB"/>
    <w:rsid w:val="00220D76"/>
    <w:rsid w:val="0022202B"/>
    <w:rsid w:val="002223CE"/>
    <w:rsid w:val="00225A9E"/>
    <w:rsid w:val="00225F50"/>
    <w:rsid w:val="00231104"/>
    <w:rsid w:val="0023309E"/>
    <w:rsid w:val="0023445F"/>
    <w:rsid w:val="00234706"/>
    <w:rsid w:val="00236420"/>
    <w:rsid w:val="00237099"/>
    <w:rsid w:val="00242330"/>
    <w:rsid w:val="002435C9"/>
    <w:rsid w:val="002459C4"/>
    <w:rsid w:val="00253443"/>
    <w:rsid w:val="002535D6"/>
    <w:rsid w:val="00255DDB"/>
    <w:rsid w:val="00255FB5"/>
    <w:rsid w:val="00256711"/>
    <w:rsid w:val="00256986"/>
    <w:rsid w:val="00263682"/>
    <w:rsid w:val="00270065"/>
    <w:rsid w:val="00270FFD"/>
    <w:rsid w:val="00272424"/>
    <w:rsid w:val="00272E13"/>
    <w:rsid w:val="00273A87"/>
    <w:rsid w:val="0027693E"/>
    <w:rsid w:val="002839E8"/>
    <w:rsid w:val="0029239C"/>
    <w:rsid w:val="00295FDF"/>
    <w:rsid w:val="002A1CA4"/>
    <w:rsid w:val="002A3E9A"/>
    <w:rsid w:val="002A489C"/>
    <w:rsid w:val="002A7ECB"/>
    <w:rsid w:val="002B2DF5"/>
    <w:rsid w:val="002B5383"/>
    <w:rsid w:val="002B609D"/>
    <w:rsid w:val="002C36AD"/>
    <w:rsid w:val="002C4801"/>
    <w:rsid w:val="002C4C14"/>
    <w:rsid w:val="002C7653"/>
    <w:rsid w:val="002D0213"/>
    <w:rsid w:val="002D06AF"/>
    <w:rsid w:val="002D2630"/>
    <w:rsid w:val="002D4331"/>
    <w:rsid w:val="002D44BA"/>
    <w:rsid w:val="002D6829"/>
    <w:rsid w:val="002E35F0"/>
    <w:rsid w:val="002E3FA4"/>
    <w:rsid w:val="002E45A1"/>
    <w:rsid w:val="002F06CF"/>
    <w:rsid w:val="002F2621"/>
    <w:rsid w:val="002F78C1"/>
    <w:rsid w:val="00300E69"/>
    <w:rsid w:val="003046D3"/>
    <w:rsid w:val="00305465"/>
    <w:rsid w:val="00305B2D"/>
    <w:rsid w:val="00306E94"/>
    <w:rsid w:val="00310FF2"/>
    <w:rsid w:val="003223E6"/>
    <w:rsid w:val="003223F2"/>
    <w:rsid w:val="00322F7A"/>
    <w:rsid w:val="00323169"/>
    <w:rsid w:val="00325524"/>
    <w:rsid w:val="00330383"/>
    <w:rsid w:val="00330EF7"/>
    <w:rsid w:val="00334158"/>
    <w:rsid w:val="003419EB"/>
    <w:rsid w:val="00342C78"/>
    <w:rsid w:val="00343C0D"/>
    <w:rsid w:val="003450DD"/>
    <w:rsid w:val="003525B8"/>
    <w:rsid w:val="003563A5"/>
    <w:rsid w:val="00357034"/>
    <w:rsid w:val="00361035"/>
    <w:rsid w:val="00361787"/>
    <w:rsid w:val="003629AA"/>
    <w:rsid w:val="0036307E"/>
    <w:rsid w:val="00363911"/>
    <w:rsid w:val="00365350"/>
    <w:rsid w:val="00366725"/>
    <w:rsid w:val="0037392C"/>
    <w:rsid w:val="00375321"/>
    <w:rsid w:val="00375374"/>
    <w:rsid w:val="00384856"/>
    <w:rsid w:val="00384CAA"/>
    <w:rsid w:val="00387253"/>
    <w:rsid w:val="0039451D"/>
    <w:rsid w:val="00394E36"/>
    <w:rsid w:val="003A47DA"/>
    <w:rsid w:val="003A4BD4"/>
    <w:rsid w:val="003A4FBD"/>
    <w:rsid w:val="003A535E"/>
    <w:rsid w:val="003A5821"/>
    <w:rsid w:val="003B0525"/>
    <w:rsid w:val="003B5873"/>
    <w:rsid w:val="003C1F50"/>
    <w:rsid w:val="003D1FED"/>
    <w:rsid w:val="003D50CB"/>
    <w:rsid w:val="003E4B49"/>
    <w:rsid w:val="003E6371"/>
    <w:rsid w:val="003E7CFC"/>
    <w:rsid w:val="003F27B2"/>
    <w:rsid w:val="003F4846"/>
    <w:rsid w:val="004012B0"/>
    <w:rsid w:val="00402B0D"/>
    <w:rsid w:val="00402ECF"/>
    <w:rsid w:val="00403038"/>
    <w:rsid w:val="00422F97"/>
    <w:rsid w:val="00423718"/>
    <w:rsid w:val="00425D49"/>
    <w:rsid w:val="004275F1"/>
    <w:rsid w:val="0043455E"/>
    <w:rsid w:val="0043510F"/>
    <w:rsid w:val="00440CE4"/>
    <w:rsid w:val="00443ED0"/>
    <w:rsid w:val="0044415E"/>
    <w:rsid w:val="004449B8"/>
    <w:rsid w:val="0044783A"/>
    <w:rsid w:val="00454977"/>
    <w:rsid w:val="00457A07"/>
    <w:rsid w:val="00460C25"/>
    <w:rsid w:val="00461B68"/>
    <w:rsid w:val="00467FA8"/>
    <w:rsid w:val="00470F95"/>
    <w:rsid w:val="004735EB"/>
    <w:rsid w:val="004739CD"/>
    <w:rsid w:val="004853BA"/>
    <w:rsid w:val="00491D86"/>
    <w:rsid w:val="004952A6"/>
    <w:rsid w:val="00495D84"/>
    <w:rsid w:val="004A1E22"/>
    <w:rsid w:val="004A2401"/>
    <w:rsid w:val="004A5A61"/>
    <w:rsid w:val="004A77ED"/>
    <w:rsid w:val="004A7B3B"/>
    <w:rsid w:val="004B5592"/>
    <w:rsid w:val="004B6C08"/>
    <w:rsid w:val="004B7D9F"/>
    <w:rsid w:val="004C63F9"/>
    <w:rsid w:val="004D08CB"/>
    <w:rsid w:val="004D7394"/>
    <w:rsid w:val="004E412C"/>
    <w:rsid w:val="004E5C88"/>
    <w:rsid w:val="004F1992"/>
    <w:rsid w:val="004F1C69"/>
    <w:rsid w:val="004F2CA4"/>
    <w:rsid w:val="004F52BA"/>
    <w:rsid w:val="004F6095"/>
    <w:rsid w:val="004F69E9"/>
    <w:rsid w:val="00502B93"/>
    <w:rsid w:val="005042A9"/>
    <w:rsid w:val="005054C3"/>
    <w:rsid w:val="0050567B"/>
    <w:rsid w:val="00505EA6"/>
    <w:rsid w:val="00507C7B"/>
    <w:rsid w:val="0051709D"/>
    <w:rsid w:val="005201E8"/>
    <w:rsid w:val="005225C0"/>
    <w:rsid w:val="005258EA"/>
    <w:rsid w:val="00526EF7"/>
    <w:rsid w:val="00530D28"/>
    <w:rsid w:val="005327FB"/>
    <w:rsid w:val="005374F5"/>
    <w:rsid w:val="00545877"/>
    <w:rsid w:val="005509B0"/>
    <w:rsid w:val="00553B29"/>
    <w:rsid w:val="0055778F"/>
    <w:rsid w:val="005612D4"/>
    <w:rsid w:val="005725D0"/>
    <w:rsid w:val="00573000"/>
    <w:rsid w:val="00576FBB"/>
    <w:rsid w:val="00581028"/>
    <w:rsid w:val="00581D6C"/>
    <w:rsid w:val="005854EA"/>
    <w:rsid w:val="00585C7C"/>
    <w:rsid w:val="00585E7D"/>
    <w:rsid w:val="00586366"/>
    <w:rsid w:val="00586F2A"/>
    <w:rsid w:val="005926CC"/>
    <w:rsid w:val="00593432"/>
    <w:rsid w:val="00594D27"/>
    <w:rsid w:val="005A0B4A"/>
    <w:rsid w:val="005A1508"/>
    <w:rsid w:val="005A2EF6"/>
    <w:rsid w:val="005A3F15"/>
    <w:rsid w:val="005B1768"/>
    <w:rsid w:val="005B1A04"/>
    <w:rsid w:val="005B3E7E"/>
    <w:rsid w:val="005B4633"/>
    <w:rsid w:val="005B7E5F"/>
    <w:rsid w:val="005C197F"/>
    <w:rsid w:val="005C32AC"/>
    <w:rsid w:val="005C55F9"/>
    <w:rsid w:val="005D2E7F"/>
    <w:rsid w:val="005D77DA"/>
    <w:rsid w:val="005D7BD5"/>
    <w:rsid w:val="005E08C2"/>
    <w:rsid w:val="005F079C"/>
    <w:rsid w:val="005F1345"/>
    <w:rsid w:val="005F4F88"/>
    <w:rsid w:val="005F5502"/>
    <w:rsid w:val="0060036D"/>
    <w:rsid w:val="00600908"/>
    <w:rsid w:val="00601A0E"/>
    <w:rsid w:val="006025F1"/>
    <w:rsid w:val="00604569"/>
    <w:rsid w:val="00607A79"/>
    <w:rsid w:val="0061123E"/>
    <w:rsid w:val="00611459"/>
    <w:rsid w:val="00616528"/>
    <w:rsid w:val="006205B8"/>
    <w:rsid w:val="00625AFD"/>
    <w:rsid w:val="0063273B"/>
    <w:rsid w:val="00634532"/>
    <w:rsid w:val="006364EA"/>
    <w:rsid w:val="006366B5"/>
    <w:rsid w:val="00637752"/>
    <w:rsid w:val="00640C1F"/>
    <w:rsid w:val="006447ED"/>
    <w:rsid w:val="00656F4D"/>
    <w:rsid w:val="006579E0"/>
    <w:rsid w:val="0067091C"/>
    <w:rsid w:val="00677406"/>
    <w:rsid w:val="00686298"/>
    <w:rsid w:val="0068725F"/>
    <w:rsid w:val="006900E4"/>
    <w:rsid w:val="006932E3"/>
    <w:rsid w:val="00693AC4"/>
    <w:rsid w:val="0069533E"/>
    <w:rsid w:val="006977A4"/>
    <w:rsid w:val="006B54EE"/>
    <w:rsid w:val="006C4C1A"/>
    <w:rsid w:val="006D324C"/>
    <w:rsid w:val="006D58E8"/>
    <w:rsid w:val="006D6A90"/>
    <w:rsid w:val="006E0181"/>
    <w:rsid w:val="006E0544"/>
    <w:rsid w:val="006E19E2"/>
    <w:rsid w:val="006E3FE1"/>
    <w:rsid w:val="006E476C"/>
    <w:rsid w:val="006E72AD"/>
    <w:rsid w:val="006F3A10"/>
    <w:rsid w:val="006F46B8"/>
    <w:rsid w:val="006F7064"/>
    <w:rsid w:val="00703031"/>
    <w:rsid w:val="007046B6"/>
    <w:rsid w:val="00704BFF"/>
    <w:rsid w:val="00704F96"/>
    <w:rsid w:val="00705693"/>
    <w:rsid w:val="00717CF9"/>
    <w:rsid w:val="00725DBC"/>
    <w:rsid w:val="00726C00"/>
    <w:rsid w:val="00731863"/>
    <w:rsid w:val="007331DB"/>
    <w:rsid w:val="00734763"/>
    <w:rsid w:val="00734C17"/>
    <w:rsid w:val="00736858"/>
    <w:rsid w:val="007401DB"/>
    <w:rsid w:val="0074056F"/>
    <w:rsid w:val="00746536"/>
    <w:rsid w:val="007615FB"/>
    <w:rsid w:val="00764FBE"/>
    <w:rsid w:val="00765519"/>
    <w:rsid w:val="007661D9"/>
    <w:rsid w:val="00767E44"/>
    <w:rsid w:val="00771017"/>
    <w:rsid w:val="00774A61"/>
    <w:rsid w:val="00777232"/>
    <w:rsid w:val="007774C9"/>
    <w:rsid w:val="00793721"/>
    <w:rsid w:val="007952E4"/>
    <w:rsid w:val="007A40C8"/>
    <w:rsid w:val="007A4BF1"/>
    <w:rsid w:val="007B0547"/>
    <w:rsid w:val="007B0574"/>
    <w:rsid w:val="007B08C4"/>
    <w:rsid w:val="007B4965"/>
    <w:rsid w:val="007C582A"/>
    <w:rsid w:val="007C6CA3"/>
    <w:rsid w:val="007E5A0B"/>
    <w:rsid w:val="007E721F"/>
    <w:rsid w:val="007F30C7"/>
    <w:rsid w:val="007F614B"/>
    <w:rsid w:val="007F6A82"/>
    <w:rsid w:val="007F7599"/>
    <w:rsid w:val="008034D8"/>
    <w:rsid w:val="00803FE4"/>
    <w:rsid w:val="008114F2"/>
    <w:rsid w:val="00812C0B"/>
    <w:rsid w:val="0081560E"/>
    <w:rsid w:val="0082192B"/>
    <w:rsid w:val="0082315D"/>
    <w:rsid w:val="00825A7E"/>
    <w:rsid w:val="008324C1"/>
    <w:rsid w:val="00832F5D"/>
    <w:rsid w:val="00833971"/>
    <w:rsid w:val="0083476F"/>
    <w:rsid w:val="00836338"/>
    <w:rsid w:val="00840EF3"/>
    <w:rsid w:val="00846FE9"/>
    <w:rsid w:val="008506B3"/>
    <w:rsid w:val="0085737B"/>
    <w:rsid w:val="00871AF8"/>
    <w:rsid w:val="00875F06"/>
    <w:rsid w:val="0087723A"/>
    <w:rsid w:val="008837C3"/>
    <w:rsid w:val="00883A9C"/>
    <w:rsid w:val="00885AC1"/>
    <w:rsid w:val="0088682F"/>
    <w:rsid w:val="00890663"/>
    <w:rsid w:val="00890DE9"/>
    <w:rsid w:val="00891DD9"/>
    <w:rsid w:val="00893E7F"/>
    <w:rsid w:val="008A43F9"/>
    <w:rsid w:val="008A4E4F"/>
    <w:rsid w:val="008A7558"/>
    <w:rsid w:val="008B297B"/>
    <w:rsid w:val="008B2F71"/>
    <w:rsid w:val="008B33BD"/>
    <w:rsid w:val="008B4F8C"/>
    <w:rsid w:val="008C096D"/>
    <w:rsid w:val="008C420E"/>
    <w:rsid w:val="008C5DBF"/>
    <w:rsid w:val="008D0B6B"/>
    <w:rsid w:val="008D29DF"/>
    <w:rsid w:val="008D35A7"/>
    <w:rsid w:val="008D5F75"/>
    <w:rsid w:val="008D6C7B"/>
    <w:rsid w:val="008D74F1"/>
    <w:rsid w:val="008E3373"/>
    <w:rsid w:val="008E35D3"/>
    <w:rsid w:val="008E52F7"/>
    <w:rsid w:val="008F280B"/>
    <w:rsid w:val="00900865"/>
    <w:rsid w:val="00901572"/>
    <w:rsid w:val="0090179D"/>
    <w:rsid w:val="00901C56"/>
    <w:rsid w:val="0090352A"/>
    <w:rsid w:val="00904883"/>
    <w:rsid w:val="00907802"/>
    <w:rsid w:val="00907970"/>
    <w:rsid w:val="00907BF3"/>
    <w:rsid w:val="00914B6C"/>
    <w:rsid w:val="009178AA"/>
    <w:rsid w:val="009239AD"/>
    <w:rsid w:val="00925F4F"/>
    <w:rsid w:val="00932AC3"/>
    <w:rsid w:val="0093385B"/>
    <w:rsid w:val="0093408B"/>
    <w:rsid w:val="009415E6"/>
    <w:rsid w:val="00942CCC"/>
    <w:rsid w:val="0094444B"/>
    <w:rsid w:val="00944B2F"/>
    <w:rsid w:val="00947662"/>
    <w:rsid w:val="009512EF"/>
    <w:rsid w:val="00954C65"/>
    <w:rsid w:val="0096207D"/>
    <w:rsid w:val="009623C6"/>
    <w:rsid w:val="00964B79"/>
    <w:rsid w:val="0097037C"/>
    <w:rsid w:val="00970C81"/>
    <w:rsid w:val="009713D6"/>
    <w:rsid w:val="00972CC3"/>
    <w:rsid w:val="009750AC"/>
    <w:rsid w:val="00980B61"/>
    <w:rsid w:val="00981368"/>
    <w:rsid w:val="009907A3"/>
    <w:rsid w:val="0099132D"/>
    <w:rsid w:val="00995A0A"/>
    <w:rsid w:val="00995B50"/>
    <w:rsid w:val="009963EE"/>
    <w:rsid w:val="00996A6D"/>
    <w:rsid w:val="0099765A"/>
    <w:rsid w:val="009A4219"/>
    <w:rsid w:val="009B13A7"/>
    <w:rsid w:val="009B594E"/>
    <w:rsid w:val="009B601B"/>
    <w:rsid w:val="009C0C0B"/>
    <w:rsid w:val="009C1B29"/>
    <w:rsid w:val="009C5DC9"/>
    <w:rsid w:val="009C6F57"/>
    <w:rsid w:val="009D3A5D"/>
    <w:rsid w:val="009D3ADA"/>
    <w:rsid w:val="009D5025"/>
    <w:rsid w:val="009D5466"/>
    <w:rsid w:val="009E05A3"/>
    <w:rsid w:val="009E1EEF"/>
    <w:rsid w:val="009F518A"/>
    <w:rsid w:val="009F5627"/>
    <w:rsid w:val="00A0294A"/>
    <w:rsid w:val="00A04677"/>
    <w:rsid w:val="00A04D64"/>
    <w:rsid w:val="00A05347"/>
    <w:rsid w:val="00A07553"/>
    <w:rsid w:val="00A10126"/>
    <w:rsid w:val="00A12041"/>
    <w:rsid w:val="00A1379A"/>
    <w:rsid w:val="00A16FD0"/>
    <w:rsid w:val="00A22AB0"/>
    <w:rsid w:val="00A22FCB"/>
    <w:rsid w:val="00A24E2B"/>
    <w:rsid w:val="00A25973"/>
    <w:rsid w:val="00A30162"/>
    <w:rsid w:val="00A309A4"/>
    <w:rsid w:val="00A32DBA"/>
    <w:rsid w:val="00A35D4D"/>
    <w:rsid w:val="00A42CD9"/>
    <w:rsid w:val="00A4464B"/>
    <w:rsid w:val="00A47FEE"/>
    <w:rsid w:val="00A5087D"/>
    <w:rsid w:val="00A51515"/>
    <w:rsid w:val="00A519DC"/>
    <w:rsid w:val="00A52A5A"/>
    <w:rsid w:val="00A568D7"/>
    <w:rsid w:val="00A6112F"/>
    <w:rsid w:val="00A611FF"/>
    <w:rsid w:val="00A6249D"/>
    <w:rsid w:val="00A63650"/>
    <w:rsid w:val="00A655E3"/>
    <w:rsid w:val="00A74483"/>
    <w:rsid w:val="00A74717"/>
    <w:rsid w:val="00A74991"/>
    <w:rsid w:val="00A8371B"/>
    <w:rsid w:val="00A848D7"/>
    <w:rsid w:val="00A848DF"/>
    <w:rsid w:val="00A865AF"/>
    <w:rsid w:val="00A92C9F"/>
    <w:rsid w:val="00AA0BAB"/>
    <w:rsid w:val="00AA427E"/>
    <w:rsid w:val="00AA4E0B"/>
    <w:rsid w:val="00AA675D"/>
    <w:rsid w:val="00AA70AA"/>
    <w:rsid w:val="00AA72AF"/>
    <w:rsid w:val="00AB2148"/>
    <w:rsid w:val="00AB2B02"/>
    <w:rsid w:val="00AB3076"/>
    <w:rsid w:val="00AB5C17"/>
    <w:rsid w:val="00AB5CF5"/>
    <w:rsid w:val="00AC1222"/>
    <w:rsid w:val="00AC4359"/>
    <w:rsid w:val="00AD0B40"/>
    <w:rsid w:val="00AD2ED9"/>
    <w:rsid w:val="00AD57D5"/>
    <w:rsid w:val="00AD5FD8"/>
    <w:rsid w:val="00AD75B6"/>
    <w:rsid w:val="00AE06D3"/>
    <w:rsid w:val="00AE38B6"/>
    <w:rsid w:val="00AE4135"/>
    <w:rsid w:val="00AF0383"/>
    <w:rsid w:val="00AF2D29"/>
    <w:rsid w:val="00AF57DC"/>
    <w:rsid w:val="00AF65F4"/>
    <w:rsid w:val="00AF7BEB"/>
    <w:rsid w:val="00B00A3F"/>
    <w:rsid w:val="00B00EE2"/>
    <w:rsid w:val="00B07E93"/>
    <w:rsid w:val="00B1157C"/>
    <w:rsid w:val="00B127DD"/>
    <w:rsid w:val="00B15750"/>
    <w:rsid w:val="00B1623B"/>
    <w:rsid w:val="00B17327"/>
    <w:rsid w:val="00B247A5"/>
    <w:rsid w:val="00B26FC2"/>
    <w:rsid w:val="00B27E89"/>
    <w:rsid w:val="00B36E95"/>
    <w:rsid w:val="00B41694"/>
    <w:rsid w:val="00B45786"/>
    <w:rsid w:val="00B52EEE"/>
    <w:rsid w:val="00B53DD8"/>
    <w:rsid w:val="00B674DC"/>
    <w:rsid w:val="00B67CB1"/>
    <w:rsid w:val="00B7163A"/>
    <w:rsid w:val="00B71663"/>
    <w:rsid w:val="00B72B27"/>
    <w:rsid w:val="00B7597D"/>
    <w:rsid w:val="00B77C99"/>
    <w:rsid w:val="00B81FCF"/>
    <w:rsid w:val="00B853E3"/>
    <w:rsid w:val="00B861C4"/>
    <w:rsid w:val="00B92AD2"/>
    <w:rsid w:val="00B931FA"/>
    <w:rsid w:val="00BA4710"/>
    <w:rsid w:val="00BA5D0F"/>
    <w:rsid w:val="00BB275E"/>
    <w:rsid w:val="00BB2BCE"/>
    <w:rsid w:val="00BB6461"/>
    <w:rsid w:val="00BB64F4"/>
    <w:rsid w:val="00BC17FA"/>
    <w:rsid w:val="00BC6F7C"/>
    <w:rsid w:val="00BD4ED6"/>
    <w:rsid w:val="00BD5122"/>
    <w:rsid w:val="00BD6D44"/>
    <w:rsid w:val="00BE087F"/>
    <w:rsid w:val="00BE6BC8"/>
    <w:rsid w:val="00BF5039"/>
    <w:rsid w:val="00BF54D0"/>
    <w:rsid w:val="00C017C1"/>
    <w:rsid w:val="00C01B84"/>
    <w:rsid w:val="00C0483A"/>
    <w:rsid w:val="00C11D91"/>
    <w:rsid w:val="00C12EDA"/>
    <w:rsid w:val="00C13583"/>
    <w:rsid w:val="00C2268E"/>
    <w:rsid w:val="00C261B8"/>
    <w:rsid w:val="00C32432"/>
    <w:rsid w:val="00C35B0E"/>
    <w:rsid w:val="00C44109"/>
    <w:rsid w:val="00C45330"/>
    <w:rsid w:val="00C51BD3"/>
    <w:rsid w:val="00C51F37"/>
    <w:rsid w:val="00C522AE"/>
    <w:rsid w:val="00C5319B"/>
    <w:rsid w:val="00C53982"/>
    <w:rsid w:val="00C57D0F"/>
    <w:rsid w:val="00C6019B"/>
    <w:rsid w:val="00C64911"/>
    <w:rsid w:val="00C73675"/>
    <w:rsid w:val="00C764C2"/>
    <w:rsid w:val="00C773D0"/>
    <w:rsid w:val="00C801F3"/>
    <w:rsid w:val="00C81601"/>
    <w:rsid w:val="00C82926"/>
    <w:rsid w:val="00C8629C"/>
    <w:rsid w:val="00C91DC7"/>
    <w:rsid w:val="00C936D2"/>
    <w:rsid w:val="00C93787"/>
    <w:rsid w:val="00CA0125"/>
    <w:rsid w:val="00CA2315"/>
    <w:rsid w:val="00CA2EE7"/>
    <w:rsid w:val="00CA6749"/>
    <w:rsid w:val="00CA6CD9"/>
    <w:rsid w:val="00CA79DC"/>
    <w:rsid w:val="00CB4289"/>
    <w:rsid w:val="00CB6302"/>
    <w:rsid w:val="00CB69F2"/>
    <w:rsid w:val="00CC1B9F"/>
    <w:rsid w:val="00CC3AF8"/>
    <w:rsid w:val="00CC3D02"/>
    <w:rsid w:val="00CC4471"/>
    <w:rsid w:val="00CD2A74"/>
    <w:rsid w:val="00CD41AE"/>
    <w:rsid w:val="00CD4996"/>
    <w:rsid w:val="00CE30A5"/>
    <w:rsid w:val="00CE3827"/>
    <w:rsid w:val="00CE5BE4"/>
    <w:rsid w:val="00CE6E02"/>
    <w:rsid w:val="00CF10CE"/>
    <w:rsid w:val="00CF389A"/>
    <w:rsid w:val="00CF3E19"/>
    <w:rsid w:val="00CF5A9E"/>
    <w:rsid w:val="00D03AB9"/>
    <w:rsid w:val="00D067C7"/>
    <w:rsid w:val="00D073A7"/>
    <w:rsid w:val="00D111B0"/>
    <w:rsid w:val="00D11A3F"/>
    <w:rsid w:val="00D137BD"/>
    <w:rsid w:val="00D14B57"/>
    <w:rsid w:val="00D14D63"/>
    <w:rsid w:val="00D15DCA"/>
    <w:rsid w:val="00D2108A"/>
    <w:rsid w:val="00D25FD9"/>
    <w:rsid w:val="00D306F5"/>
    <w:rsid w:val="00D30B5C"/>
    <w:rsid w:val="00D33D43"/>
    <w:rsid w:val="00D33F45"/>
    <w:rsid w:val="00D34E44"/>
    <w:rsid w:val="00D35ABB"/>
    <w:rsid w:val="00D35F1E"/>
    <w:rsid w:val="00D3720F"/>
    <w:rsid w:val="00D41300"/>
    <w:rsid w:val="00D45C95"/>
    <w:rsid w:val="00D52CD5"/>
    <w:rsid w:val="00D57BC1"/>
    <w:rsid w:val="00D60CF8"/>
    <w:rsid w:val="00D6196B"/>
    <w:rsid w:val="00D61F5A"/>
    <w:rsid w:val="00D626B4"/>
    <w:rsid w:val="00D63E01"/>
    <w:rsid w:val="00D722FF"/>
    <w:rsid w:val="00D73C09"/>
    <w:rsid w:val="00D77A50"/>
    <w:rsid w:val="00D80227"/>
    <w:rsid w:val="00D8059D"/>
    <w:rsid w:val="00D80DAE"/>
    <w:rsid w:val="00D84B5F"/>
    <w:rsid w:val="00D85F43"/>
    <w:rsid w:val="00DA2A94"/>
    <w:rsid w:val="00DA300E"/>
    <w:rsid w:val="00DA3546"/>
    <w:rsid w:val="00DA53A3"/>
    <w:rsid w:val="00DA58E0"/>
    <w:rsid w:val="00DA657A"/>
    <w:rsid w:val="00DA670E"/>
    <w:rsid w:val="00DA67A5"/>
    <w:rsid w:val="00DC676F"/>
    <w:rsid w:val="00DD196B"/>
    <w:rsid w:val="00DD7AD3"/>
    <w:rsid w:val="00DE206B"/>
    <w:rsid w:val="00E03728"/>
    <w:rsid w:val="00E06937"/>
    <w:rsid w:val="00E07001"/>
    <w:rsid w:val="00E0710B"/>
    <w:rsid w:val="00E07D4A"/>
    <w:rsid w:val="00E11245"/>
    <w:rsid w:val="00E117D7"/>
    <w:rsid w:val="00E12D31"/>
    <w:rsid w:val="00E15D4B"/>
    <w:rsid w:val="00E174D5"/>
    <w:rsid w:val="00E202C3"/>
    <w:rsid w:val="00E223F1"/>
    <w:rsid w:val="00E22FFE"/>
    <w:rsid w:val="00E26EC1"/>
    <w:rsid w:val="00E272B4"/>
    <w:rsid w:val="00E316B3"/>
    <w:rsid w:val="00E32672"/>
    <w:rsid w:val="00E32FE5"/>
    <w:rsid w:val="00E34E41"/>
    <w:rsid w:val="00E35B9A"/>
    <w:rsid w:val="00E416A0"/>
    <w:rsid w:val="00E44894"/>
    <w:rsid w:val="00E44AF3"/>
    <w:rsid w:val="00E51F24"/>
    <w:rsid w:val="00E53F49"/>
    <w:rsid w:val="00E548E4"/>
    <w:rsid w:val="00E565E3"/>
    <w:rsid w:val="00E6067C"/>
    <w:rsid w:val="00E667A1"/>
    <w:rsid w:val="00E72DF2"/>
    <w:rsid w:val="00E747B5"/>
    <w:rsid w:val="00E80E63"/>
    <w:rsid w:val="00E8404A"/>
    <w:rsid w:val="00E85017"/>
    <w:rsid w:val="00E9328E"/>
    <w:rsid w:val="00E96039"/>
    <w:rsid w:val="00EA5164"/>
    <w:rsid w:val="00EA685A"/>
    <w:rsid w:val="00EB249D"/>
    <w:rsid w:val="00EB6564"/>
    <w:rsid w:val="00EB6CF3"/>
    <w:rsid w:val="00EC03E1"/>
    <w:rsid w:val="00EC3AD5"/>
    <w:rsid w:val="00EC46B6"/>
    <w:rsid w:val="00EC514D"/>
    <w:rsid w:val="00EC7DE0"/>
    <w:rsid w:val="00ED32EB"/>
    <w:rsid w:val="00ED62A5"/>
    <w:rsid w:val="00EE114B"/>
    <w:rsid w:val="00EE2590"/>
    <w:rsid w:val="00EE28E3"/>
    <w:rsid w:val="00EE448E"/>
    <w:rsid w:val="00EE6085"/>
    <w:rsid w:val="00EF1047"/>
    <w:rsid w:val="00EF172C"/>
    <w:rsid w:val="00EF1F75"/>
    <w:rsid w:val="00EF64FA"/>
    <w:rsid w:val="00F001DC"/>
    <w:rsid w:val="00F02AFB"/>
    <w:rsid w:val="00F0581B"/>
    <w:rsid w:val="00F154DC"/>
    <w:rsid w:val="00F15FC0"/>
    <w:rsid w:val="00F22DFA"/>
    <w:rsid w:val="00F23F8E"/>
    <w:rsid w:val="00F245A2"/>
    <w:rsid w:val="00F339A9"/>
    <w:rsid w:val="00F374F3"/>
    <w:rsid w:val="00F42EF7"/>
    <w:rsid w:val="00F435BD"/>
    <w:rsid w:val="00F4512D"/>
    <w:rsid w:val="00F50EA4"/>
    <w:rsid w:val="00F521B8"/>
    <w:rsid w:val="00F61C01"/>
    <w:rsid w:val="00F6292C"/>
    <w:rsid w:val="00F65333"/>
    <w:rsid w:val="00F6689A"/>
    <w:rsid w:val="00F679B8"/>
    <w:rsid w:val="00F83670"/>
    <w:rsid w:val="00F8383B"/>
    <w:rsid w:val="00F8427F"/>
    <w:rsid w:val="00F86C6A"/>
    <w:rsid w:val="00F87F8D"/>
    <w:rsid w:val="00F9309C"/>
    <w:rsid w:val="00F946BD"/>
    <w:rsid w:val="00F96651"/>
    <w:rsid w:val="00F9670C"/>
    <w:rsid w:val="00F96DAF"/>
    <w:rsid w:val="00F96E8D"/>
    <w:rsid w:val="00FA0D98"/>
    <w:rsid w:val="00FA1ACB"/>
    <w:rsid w:val="00FB052B"/>
    <w:rsid w:val="00FB065B"/>
    <w:rsid w:val="00FB4123"/>
    <w:rsid w:val="00FB4282"/>
    <w:rsid w:val="00FB6AB5"/>
    <w:rsid w:val="00FC53D7"/>
    <w:rsid w:val="00FC591D"/>
    <w:rsid w:val="00FC76BA"/>
    <w:rsid w:val="00FD0BB3"/>
    <w:rsid w:val="00FD2B06"/>
    <w:rsid w:val="00FD3B39"/>
    <w:rsid w:val="00FD4BF8"/>
    <w:rsid w:val="00FD686B"/>
    <w:rsid w:val="00FE472C"/>
    <w:rsid w:val="00FE49AB"/>
    <w:rsid w:val="00FF27BD"/>
    <w:rsid w:val="00FF59AC"/>
    <w:rsid w:val="018A3517"/>
    <w:rsid w:val="01D76FD5"/>
    <w:rsid w:val="01E113BA"/>
    <w:rsid w:val="01F06DB0"/>
    <w:rsid w:val="02B50726"/>
    <w:rsid w:val="02DD2F4C"/>
    <w:rsid w:val="03D85BBA"/>
    <w:rsid w:val="03DA48E8"/>
    <w:rsid w:val="0401211F"/>
    <w:rsid w:val="047100E1"/>
    <w:rsid w:val="048B3E34"/>
    <w:rsid w:val="04FA5F34"/>
    <w:rsid w:val="05015EA4"/>
    <w:rsid w:val="05123C0E"/>
    <w:rsid w:val="05142941"/>
    <w:rsid w:val="05DC4F54"/>
    <w:rsid w:val="06BC1206"/>
    <w:rsid w:val="06F537E7"/>
    <w:rsid w:val="07245965"/>
    <w:rsid w:val="07537A15"/>
    <w:rsid w:val="077A6EA0"/>
    <w:rsid w:val="07D6252D"/>
    <w:rsid w:val="08385A38"/>
    <w:rsid w:val="083E5482"/>
    <w:rsid w:val="085E7F89"/>
    <w:rsid w:val="089A2898"/>
    <w:rsid w:val="08AE0A94"/>
    <w:rsid w:val="092805B0"/>
    <w:rsid w:val="093E36CF"/>
    <w:rsid w:val="094B1DE4"/>
    <w:rsid w:val="09C63218"/>
    <w:rsid w:val="0A60366D"/>
    <w:rsid w:val="0A8B585C"/>
    <w:rsid w:val="0AB9411E"/>
    <w:rsid w:val="0AE918B4"/>
    <w:rsid w:val="0AF33AA7"/>
    <w:rsid w:val="0B2D579C"/>
    <w:rsid w:val="0B896BF3"/>
    <w:rsid w:val="0BA64BBB"/>
    <w:rsid w:val="0BBA6DAD"/>
    <w:rsid w:val="0C18191D"/>
    <w:rsid w:val="0C7F0DB1"/>
    <w:rsid w:val="0CFF4F3D"/>
    <w:rsid w:val="0D3F57BC"/>
    <w:rsid w:val="0D7C022E"/>
    <w:rsid w:val="0DA90E87"/>
    <w:rsid w:val="0ED76720"/>
    <w:rsid w:val="0F5F0397"/>
    <w:rsid w:val="0F9242C9"/>
    <w:rsid w:val="0F9741D3"/>
    <w:rsid w:val="0FE100D9"/>
    <w:rsid w:val="101C0036"/>
    <w:rsid w:val="10EA32CA"/>
    <w:rsid w:val="11763776"/>
    <w:rsid w:val="11880A5B"/>
    <w:rsid w:val="126F6B6A"/>
    <w:rsid w:val="129465AA"/>
    <w:rsid w:val="13315BA7"/>
    <w:rsid w:val="13DF5603"/>
    <w:rsid w:val="14924A88"/>
    <w:rsid w:val="15976B22"/>
    <w:rsid w:val="15AB779C"/>
    <w:rsid w:val="163836F0"/>
    <w:rsid w:val="16601F0B"/>
    <w:rsid w:val="1672275E"/>
    <w:rsid w:val="1695599A"/>
    <w:rsid w:val="16D70E93"/>
    <w:rsid w:val="16FE3271"/>
    <w:rsid w:val="17683B61"/>
    <w:rsid w:val="17822E75"/>
    <w:rsid w:val="18711A77"/>
    <w:rsid w:val="189F7A56"/>
    <w:rsid w:val="18F03A7C"/>
    <w:rsid w:val="18F733EE"/>
    <w:rsid w:val="19246F8D"/>
    <w:rsid w:val="194D74B2"/>
    <w:rsid w:val="197C4465"/>
    <w:rsid w:val="1A7C004F"/>
    <w:rsid w:val="1B124D95"/>
    <w:rsid w:val="1B3267BA"/>
    <w:rsid w:val="1BE73336"/>
    <w:rsid w:val="1C024264"/>
    <w:rsid w:val="1C476CD0"/>
    <w:rsid w:val="1C5574D7"/>
    <w:rsid w:val="1CDB6D44"/>
    <w:rsid w:val="1CF77A76"/>
    <w:rsid w:val="1D3E15EC"/>
    <w:rsid w:val="1D87722F"/>
    <w:rsid w:val="1DB407A1"/>
    <w:rsid w:val="1DCD471E"/>
    <w:rsid w:val="1DD91315"/>
    <w:rsid w:val="1E177E35"/>
    <w:rsid w:val="1EB37C70"/>
    <w:rsid w:val="1EDF3B89"/>
    <w:rsid w:val="1F5350F7"/>
    <w:rsid w:val="200308CB"/>
    <w:rsid w:val="20062169"/>
    <w:rsid w:val="20104219"/>
    <w:rsid w:val="21645399"/>
    <w:rsid w:val="21780E44"/>
    <w:rsid w:val="21810EFD"/>
    <w:rsid w:val="21BC4122"/>
    <w:rsid w:val="21C56B25"/>
    <w:rsid w:val="22105521"/>
    <w:rsid w:val="22152C0C"/>
    <w:rsid w:val="221C3EC6"/>
    <w:rsid w:val="229E575C"/>
    <w:rsid w:val="22A7378F"/>
    <w:rsid w:val="23072480"/>
    <w:rsid w:val="230C5CE8"/>
    <w:rsid w:val="23B1063E"/>
    <w:rsid w:val="23D746D3"/>
    <w:rsid w:val="23E7405F"/>
    <w:rsid w:val="241629E9"/>
    <w:rsid w:val="241C24AF"/>
    <w:rsid w:val="24B72B25"/>
    <w:rsid w:val="251D5F8B"/>
    <w:rsid w:val="2579608D"/>
    <w:rsid w:val="25BB024E"/>
    <w:rsid w:val="25CB59E7"/>
    <w:rsid w:val="25E34BB8"/>
    <w:rsid w:val="25E92311"/>
    <w:rsid w:val="262D7636"/>
    <w:rsid w:val="26712A32"/>
    <w:rsid w:val="26BB72C3"/>
    <w:rsid w:val="26FE3B9A"/>
    <w:rsid w:val="275C111F"/>
    <w:rsid w:val="278A6209"/>
    <w:rsid w:val="27E45486"/>
    <w:rsid w:val="28243755"/>
    <w:rsid w:val="282D1B8B"/>
    <w:rsid w:val="284F6DA3"/>
    <w:rsid w:val="28E53A15"/>
    <w:rsid w:val="28FB09AD"/>
    <w:rsid w:val="29A115EE"/>
    <w:rsid w:val="2A3C6EB3"/>
    <w:rsid w:val="2B1C4F36"/>
    <w:rsid w:val="2B3E2ABE"/>
    <w:rsid w:val="2BC74EA2"/>
    <w:rsid w:val="2C407546"/>
    <w:rsid w:val="2CCA40E3"/>
    <w:rsid w:val="2CFF241A"/>
    <w:rsid w:val="2D2307FE"/>
    <w:rsid w:val="2D241E80"/>
    <w:rsid w:val="2D4349FC"/>
    <w:rsid w:val="2DF47AA5"/>
    <w:rsid w:val="2E0A72C8"/>
    <w:rsid w:val="2E7E75CE"/>
    <w:rsid w:val="300108D7"/>
    <w:rsid w:val="302E4CE8"/>
    <w:rsid w:val="306A10C8"/>
    <w:rsid w:val="30781F63"/>
    <w:rsid w:val="30890978"/>
    <w:rsid w:val="30C96B4B"/>
    <w:rsid w:val="3175173C"/>
    <w:rsid w:val="319452E5"/>
    <w:rsid w:val="31E57E30"/>
    <w:rsid w:val="324A2389"/>
    <w:rsid w:val="326A5D92"/>
    <w:rsid w:val="33206529"/>
    <w:rsid w:val="33241EBA"/>
    <w:rsid w:val="338E1F0D"/>
    <w:rsid w:val="33E17357"/>
    <w:rsid w:val="341E587B"/>
    <w:rsid w:val="3480115D"/>
    <w:rsid w:val="353A3CFB"/>
    <w:rsid w:val="35E2289C"/>
    <w:rsid w:val="35E63F51"/>
    <w:rsid w:val="36851BE2"/>
    <w:rsid w:val="36C30D04"/>
    <w:rsid w:val="377A367E"/>
    <w:rsid w:val="37AC7B74"/>
    <w:rsid w:val="38170F5F"/>
    <w:rsid w:val="384C67FC"/>
    <w:rsid w:val="385F0CD8"/>
    <w:rsid w:val="3879646B"/>
    <w:rsid w:val="3882287D"/>
    <w:rsid w:val="38E64AC2"/>
    <w:rsid w:val="39461D8D"/>
    <w:rsid w:val="39DF5AAD"/>
    <w:rsid w:val="3A033B62"/>
    <w:rsid w:val="3A0E0028"/>
    <w:rsid w:val="3A156948"/>
    <w:rsid w:val="3A61177C"/>
    <w:rsid w:val="3AC27037"/>
    <w:rsid w:val="3B006358"/>
    <w:rsid w:val="3B6B5F60"/>
    <w:rsid w:val="3B7829EF"/>
    <w:rsid w:val="3BA40D5C"/>
    <w:rsid w:val="3C573C37"/>
    <w:rsid w:val="3D0870C9"/>
    <w:rsid w:val="3D3D6D72"/>
    <w:rsid w:val="3E524A9F"/>
    <w:rsid w:val="3E7460EA"/>
    <w:rsid w:val="3F2435A1"/>
    <w:rsid w:val="3F6727CC"/>
    <w:rsid w:val="3FB47094"/>
    <w:rsid w:val="3FBC08DA"/>
    <w:rsid w:val="40100CBB"/>
    <w:rsid w:val="40526FD9"/>
    <w:rsid w:val="41752A69"/>
    <w:rsid w:val="41A21D05"/>
    <w:rsid w:val="42940F0D"/>
    <w:rsid w:val="441B1DD7"/>
    <w:rsid w:val="44281E71"/>
    <w:rsid w:val="442F2C92"/>
    <w:rsid w:val="449A71A0"/>
    <w:rsid w:val="468E6891"/>
    <w:rsid w:val="46FF153C"/>
    <w:rsid w:val="47036013"/>
    <w:rsid w:val="472741D6"/>
    <w:rsid w:val="47855EE6"/>
    <w:rsid w:val="47CA6CE9"/>
    <w:rsid w:val="47F44E19"/>
    <w:rsid w:val="48030BB8"/>
    <w:rsid w:val="486C49B0"/>
    <w:rsid w:val="487F4DFD"/>
    <w:rsid w:val="491A39F8"/>
    <w:rsid w:val="49625544"/>
    <w:rsid w:val="49644595"/>
    <w:rsid w:val="49EB5DA8"/>
    <w:rsid w:val="4A3601AC"/>
    <w:rsid w:val="4A484FA8"/>
    <w:rsid w:val="4A7009E7"/>
    <w:rsid w:val="4A7A7858"/>
    <w:rsid w:val="4A895CED"/>
    <w:rsid w:val="4BA3014C"/>
    <w:rsid w:val="4BD978E2"/>
    <w:rsid w:val="4BE4205A"/>
    <w:rsid w:val="4C8C05A4"/>
    <w:rsid w:val="4CB01F80"/>
    <w:rsid w:val="4CF213BF"/>
    <w:rsid w:val="4D526B76"/>
    <w:rsid w:val="4DA21F45"/>
    <w:rsid w:val="4E8E77D2"/>
    <w:rsid w:val="4EBF7563"/>
    <w:rsid w:val="4F2935FA"/>
    <w:rsid w:val="4F526D48"/>
    <w:rsid w:val="50271959"/>
    <w:rsid w:val="50440831"/>
    <w:rsid w:val="505F4DFA"/>
    <w:rsid w:val="50700DB5"/>
    <w:rsid w:val="50972C2D"/>
    <w:rsid w:val="509E4251"/>
    <w:rsid w:val="50BB2978"/>
    <w:rsid w:val="50E517A3"/>
    <w:rsid w:val="51023468"/>
    <w:rsid w:val="512F0C70"/>
    <w:rsid w:val="516D7D87"/>
    <w:rsid w:val="51956D25"/>
    <w:rsid w:val="51E86BF8"/>
    <w:rsid w:val="522C44ED"/>
    <w:rsid w:val="52DB2AE3"/>
    <w:rsid w:val="52F45FBD"/>
    <w:rsid w:val="534310B4"/>
    <w:rsid w:val="53A2332B"/>
    <w:rsid w:val="549A0AF6"/>
    <w:rsid w:val="54CF69F2"/>
    <w:rsid w:val="55430A85"/>
    <w:rsid w:val="55F3069D"/>
    <w:rsid w:val="56B45E9F"/>
    <w:rsid w:val="56BE3705"/>
    <w:rsid w:val="56FE48A8"/>
    <w:rsid w:val="572C2811"/>
    <w:rsid w:val="58BE67C2"/>
    <w:rsid w:val="58C11BAF"/>
    <w:rsid w:val="58C44394"/>
    <w:rsid w:val="58FA747A"/>
    <w:rsid w:val="593B6533"/>
    <w:rsid w:val="59576FB6"/>
    <w:rsid w:val="59F30C23"/>
    <w:rsid w:val="5A06469B"/>
    <w:rsid w:val="5ABD72ED"/>
    <w:rsid w:val="5ACA1D83"/>
    <w:rsid w:val="5AF1136B"/>
    <w:rsid w:val="5B3C2907"/>
    <w:rsid w:val="5B5C3121"/>
    <w:rsid w:val="5BD13050"/>
    <w:rsid w:val="5C3D1FF8"/>
    <w:rsid w:val="5C7435C7"/>
    <w:rsid w:val="5CB4705B"/>
    <w:rsid w:val="5CE66E45"/>
    <w:rsid w:val="5CF14391"/>
    <w:rsid w:val="5D381AFC"/>
    <w:rsid w:val="5D4E3487"/>
    <w:rsid w:val="5D5F28DD"/>
    <w:rsid w:val="5DD36402"/>
    <w:rsid w:val="5DF217A8"/>
    <w:rsid w:val="5DFF3FD4"/>
    <w:rsid w:val="5E0B17B7"/>
    <w:rsid w:val="5E361890"/>
    <w:rsid w:val="5E4F64AE"/>
    <w:rsid w:val="5E597342"/>
    <w:rsid w:val="5F025C16"/>
    <w:rsid w:val="5F27742B"/>
    <w:rsid w:val="5F770025"/>
    <w:rsid w:val="5F897768"/>
    <w:rsid w:val="5F9E1714"/>
    <w:rsid w:val="5FE87A07"/>
    <w:rsid w:val="602045A6"/>
    <w:rsid w:val="608D657A"/>
    <w:rsid w:val="60CE6C85"/>
    <w:rsid w:val="60D563EB"/>
    <w:rsid w:val="60DC4428"/>
    <w:rsid w:val="60F700B2"/>
    <w:rsid w:val="611329BF"/>
    <w:rsid w:val="61233E25"/>
    <w:rsid w:val="614C2579"/>
    <w:rsid w:val="61614229"/>
    <w:rsid w:val="616B1851"/>
    <w:rsid w:val="61C84E71"/>
    <w:rsid w:val="61FC3189"/>
    <w:rsid w:val="624D7383"/>
    <w:rsid w:val="62BC753D"/>
    <w:rsid w:val="63150D14"/>
    <w:rsid w:val="63733C2E"/>
    <w:rsid w:val="63782971"/>
    <w:rsid w:val="63FD0D0E"/>
    <w:rsid w:val="646F38A3"/>
    <w:rsid w:val="65502F58"/>
    <w:rsid w:val="66B47A3D"/>
    <w:rsid w:val="66F61BBC"/>
    <w:rsid w:val="677156E7"/>
    <w:rsid w:val="6785019D"/>
    <w:rsid w:val="67BD26DA"/>
    <w:rsid w:val="68660FC4"/>
    <w:rsid w:val="686B65DA"/>
    <w:rsid w:val="6893689B"/>
    <w:rsid w:val="69240AC8"/>
    <w:rsid w:val="695946CF"/>
    <w:rsid w:val="697B0A9F"/>
    <w:rsid w:val="69D94213"/>
    <w:rsid w:val="6A3D5D54"/>
    <w:rsid w:val="6AC33B70"/>
    <w:rsid w:val="6B2849B2"/>
    <w:rsid w:val="6B344CC8"/>
    <w:rsid w:val="6B5B121B"/>
    <w:rsid w:val="6B76151E"/>
    <w:rsid w:val="6C0703C8"/>
    <w:rsid w:val="6C327B3B"/>
    <w:rsid w:val="6C4227F3"/>
    <w:rsid w:val="6C657D25"/>
    <w:rsid w:val="6C6E498F"/>
    <w:rsid w:val="6CD7567B"/>
    <w:rsid w:val="6D351F98"/>
    <w:rsid w:val="6D8048D6"/>
    <w:rsid w:val="6DB22756"/>
    <w:rsid w:val="6DDA72B4"/>
    <w:rsid w:val="6E03442A"/>
    <w:rsid w:val="6E192899"/>
    <w:rsid w:val="6E8D72AA"/>
    <w:rsid w:val="6E8E12EF"/>
    <w:rsid w:val="6ECF76D2"/>
    <w:rsid w:val="6F0B4673"/>
    <w:rsid w:val="706E310B"/>
    <w:rsid w:val="70AF47ED"/>
    <w:rsid w:val="70F370AE"/>
    <w:rsid w:val="71C22D87"/>
    <w:rsid w:val="71E46577"/>
    <w:rsid w:val="727A7B45"/>
    <w:rsid w:val="72C06199"/>
    <w:rsid w:val="73381748"/>
    <w:rsid w:val="73394BB6"/>
    <w:rsid w:val="735B3935"/>
    <w:rsid w:val="73B0176A"/>
    <w:rsid w:val="73CB7F04"/>
    <w:rsid w:val="74213B7A"/>
    <w:rsid w:val="743A2E55"/>
    <w:rsid w:val="74B048C4"/>
    <w:rsid w:val="75093403"/>
    <w:rsid w:val="755C3F1C"/>
    <w:rsid w:val="75BB7BB3"/>
    <w:rsid w:val="7654462C"/>
    <w:rsid w:val="77163BB5"/>
    <w:rsid w:val="77495D38"/>
    <w:rsid w:val="777C6998"/>
    <w:rsid w:val="77D00208"/>
    <w:rsid w:val="77E77F4F"/>
    <w:rsid w:val="7803238B"/>
    <w:rsid w:val="781B5ADB"/>
    <w:rsid w:val="78594907"/>
    <w:rsid w:val="78896C5F"/>
    <w:rsid w:val="78FF6FF6"/>
    <w:rsid w:val="79C01572"/>
    <w:rsid w:val="7A293BFF"/>
    <w:rsid w:val="7A3C7DD6"/>
    <w:rsid w:val="7A9C2B4B"/>
    <w:rsid w:val="7B164183"/>
    <w:rsid w:val="7B19245F"/>
    <w:rsid w:val="7B56651E"/>
    <w:rsid w:val="7B6E2211"/>
    <w:rsid w:val="7BB67EC4"/>
    <w:rsid w:val="7D171802"/>
    <w:rsid w:val="7D180AD8"/>
    <w:rsid w:val="7D6733BC"/>
    <w:rsid w:val="7DCF4ABD"/>
    <w:rsid w:val="7DD520D4"/>
    <w:rsid w:val="7E4D49E3"/>
    <w:rsid w:val="7E5F4093"/>
    <w:rsid w:val="7E826BD0"/>
    <w:rsid w:val="7EAB294E"/>
    <w:rsid w:val="7F3527B8"/>
    <w:rsid w:val="7FBD72C3"/>
    <w:rsid w:val="7FDE11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qFormat="1"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qFormat="1" w:unhideWhenUsed="0" w:uiPriority="99"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4"/>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45"/>
    <w:autoRedefine/>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46"/>
    <w:autoRedefine/>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58"/>
    <w:autoRedefine/>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71"/>
    <w:autoRedefine/>
    <w:unhideWhenUsed/>
    <w:qFormat/>
    <w:uiPriority w:val="1"/>
    <w:pPr>
      <w:keepNext/>
      <w:keepLines/>
      <w:spacing w:before="280" w:after="290" w:line="376" w:lineRule="auto"/>
      <w:outlineLvl w:val="4"/>
    </w:pPr>
    <w:rPr>
      <w:b/>
      <w:bCs/>
      <w:sz w:val="28"/>
      <w:szCs w:val="28"/>
    </w:rPr>
  </w:style>
  <w:style w:type="character" w:default="1" w:styleId="35">
    <w:name w:val="Default Paragraph Font"/>
    <w:autoRedefine/>
    <w:semiHidden/>
    <w:unhideWhenUsed/>
    <w:qFormat/>
    <w:uiPriority w:val="1"/>
  </w:style>
  <w:style w:type="table" w:default="1" w:styleId="32">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Theme="minorHAnsi" w:hAnsiTheme="minorHAnsi" w:eastAsiaTheme="minorEastAsia" w:cstheme="minorBidi"/>
      <w14:ligatures w14:val="standardContextual"/>
    </w:rPr>
  </w:style>
  <w:style w:type="paragraph" w:styleId="8">
    <w:name w:val="Normal Indent"/>
    <w:basedOn w:val="1"/>
    <w:link w:val="61"/>
    <w:autoRedefine/>
    <w:qFormat/>
    <w:uiPriority w:val="0"/>
    <w:pPr>
      <w:spacing w:line="336" w:lineRule="auto"/>
      <w:ind w:firstLine="420" w:firstLineChars="200"/>
      <w:jc w:val="left"/>
    </w:pPr>
    <w:rPr>
      <w:rFonts w:ascii="Times New Roman" w:hAnsi="Times New Roman"/>
      <w:kern w:val="0"/>
      <w:sz w:val="24"/>
      <w:szCs w:val="24"/>
      <w:lang w:val="zh-CN" w:eastAsia="zh-CN"/>
    </w:rPr>
  </w:style>
  <w:style w:type="paragraph" w:styleId="9">
    <w:name w:val="caption"/>
    <w:basedOn w:val="1"/>
    <w:next w:val="1"/>
    <w:link w:val="56"/>
    <w:autoRedefine/>
    <w:qFormat/>
    <w:uiPriority w:val="0"/>
    <w:rPr>
      <w:rFonts w:ascii="Cambria" w:hAnsi="Cambria" w:eastAsia="黑体"/>
      <w:sz w:val="20"/>
      <w:szCs w:val="20"/>
    </w:rPr>
  </w:style>
  <w:style w:type="paragraph" w:styleId="10">
    <w:name w:val="index 5"/>
    <w:basedOn w:val="1"/>
    <w:next w:val="1"/>
    <w:autoRedefine/>
    <w:qFormat/>
    <w:uiPriority w:val="0"/>
    <w:pPr>
      <w:spacing w:line="480" w:lineRule="exact"/>
      <w:ind w:left="1680"/>
      <w:jc w:val="left"/>
    </w:pPr>
    <w:rPr>
      <w:rFonts w:eastAsia="仿宋_GB2312"/>
      <w:sz w:val="28"/>
    </w:rPr>
  </w:style>
  <w:style w:type="paragraph" w:styleId="11">
    <w:name w:val="annotation text"/>
    <w:basedOn w:val="1"/>
    <w:autoRedefine/>
    <w:semiHidden/>
    <w:unhideWhenUsed/>
    <w:qFormat/>
    <w:uiPriority w:val="99"/>
    <w:pPr>
      <w:jc w:val="left"/>
    </w:pPr>
  </w:style>
  <w:style w:type="paragraph" w:styleId="12">
    <w:name w:val="Body Text"/>
    <w:basedOn w:val="1"/>
    <w:next w:val="1"/>
    <w:link w:val="47"/>
    <w:autoRedefine/>
    <w:qFormat/>
    <w:uiPriority w:val="0"/>
    <w:pPr>
      <w:autoSpaceDE w:val="0"/>
      <w:autoSpaceDN w:val="0"/>
      <w:ind w:left="119"/>
      <w:jc w:val="left"/>
    </w:pPr>
    <w:rPr>
      <w:rFonts w:ascii="宋体" w:hAnsi="宋体" w:cs="宋体"/>
      <w:kern w:val="0"/>
      <w:sz w:val="24"/>
      <w:szCs w:val="24"/>
    </w:rPr>
  </w:style>
  <w:style w:type="paragraph" w:styleId="13">
    <w:name w:val="Body Text Indent"/>
    <w:basedOn w:val="1"/>
    <w:link w:val="50"/>
    <w:autoRedefine/>
    <w:unhideWhenUsed/>
    <w:qFormat/>
    <w:uiPriority w:val="99"/>
    <w:pPr>
      <w:spacing w:after="120"/>
      <w:ind w:left="420" w:leftChars="200"/>
    </w:pPr>
  </w:style>
  <w:style w:type="paragraph" w:styleId="14">
    <w:name w:val="toc 5"/>
    <w:basedOn w:val="1"/>
    <w:next w:val="1"/>
    <w:autoRedefine/>
    <w:unhideWhenUsed/>
    <w:qFormat/>
    <w:uiPriority w:val="39"/>
    <w:pPr>
      <w:ind w:left="1680" w:leftChars="800"/>
    </w:pPr>
    <w:rPr>
      <w:rFonts w:asciiTheme="minorHAnsi" w:hAnsiTheme="minorHAnsi" w:eastAsiaTheme="minorEastAsia" w:cstheme="minorBidi"/>
      <w14:ligatures w14:val="standardContextual"/>
    </w:rPr>
  </w:style>
  <w:style w:type="paragraph" w:styleId="15">
    <w:name w:val="toc 3"/>
    <w:basedOn w:val="1"/>
    <w:next w:val="1"/>
    <w:autoRedefine/>
    <w:unhideWhenUsed/>
    <w:qFormat/>
    <w:uiPriority w:val="39"/>
    <w:pPr>
      <w:ind w:left="840" w:leftChars="400"/>
    </w:pPr>
    <w:rPr>
      <w:rFonts w:asciiTheme="minorHAnsi" w:hAnsiTheme="minorHAnsi" w:eastAsiaTheme="minorEastAsia" w:cstheme="minorBidi"/>
      <w14:ligatures w14:val="standardContextual"/>
    </w:rPr>
  </w:style>
  <w:style w:type="paragraph" w:styleId="16">
    <w:name w:val="Plain Text"/>
    <w:basedOn w:val="1"/>
    <w:link w:val="75"/>
    <w:autoRedefine/>
    <w:qFormat/>
    <w:uiPriority w:val="0"/>
    <w:pPr>
      <w:spacing w:line="480" w:lineRule="exact"/>
      <w:jc w:val="left"/>
    </w:pPr>
    <w:rPr>
      <w:rFonts w:ascii="宋体" w:hAnsi="Courier New" w:eastAsia="仿宋_GB2312" w:cs="Courier New"/>
      <w:sz w:val="28"/>
      <w:szCs w:val="21"/>
    </w:rPr>
  </w:style>
  <w:style w:type="paragraph" w:styleId="17">
    <w:name w:val="toc 8"/>
    <w:basedOn w:val="1"/>
    <w:next w:val="1"/>
    <w:autoRedefine/>
    <w:unhideWhenUsed/>
    <w:qFormat/>
    <w:uiPriority w:val="39"/>
    <w:pPr>
      <w:ind w:left="2940" w:leftChars="1400"/>
    </w:pPr>
    <w:rPr>
      <w:rFonts w:asciiTheme="minorHAnsi" w:hAnsiTheme="minorHAnsi" w:eastAsiaTheme="minorEastAsia" w:cstheme="minorBidi"/>
      <w14:ligatures w14:val="standardContextual"/>
    </w:rPr>
  </w:style>
  <w:style w:type="paragraph" w:styleId="18">
    <w:name w:val="Date"/>
    <w:basedOn w:val="1"/>
    <w:next w:val="1"/>
    <w:link w:val="132"/>
    <w:autoRedefine/>
    <w:qFormat/>
    <w:uiPriority w:val="0"/>
    <w:pPr>
      <w:ind w:left="100" w:leftChars="2500"/>
    </w:pPr>
    <w:rPr>
      <w:rFonts w:ascii="Times New Roman" w:hAnsi="Times New Roman"/>
      <w:sz w:val="28"/>
      <w:szCs w:val="24"/>
    </w:rPr>
  </w:style>
  <w:style w:type="paragraph" w:styleId="19">
    <w:name w:val="Balloon Text"/>
    <w:basedOn w:val="1"/>
    <w:link w:val="133"/>
    <w:autoRedefine/>
    <w:qFormat/>
    <w:uiPriority w:val="0"/>
    <w:rPr>
      <w:rFonts w:ascii="Times New Roman" w:hAnsi="Times New Roman"/>
      <w:kern w:val="0"/>
      <w:sz w:val="18"/>
      <w:szCs w:val="18"/>
    </w:rPr>
  </w:style>
  <w:style w:type="paragraph" w:styleId="20">
    <w:name w:val="footer"/>
    <w:basedOn w:val="1"/>
    <w:link w:val="40"/>
    <w:autoRedefine/>
    <w:unhideWhenUsed/>
    <w:qFormat/>
    <w:uiPriority w:val="99"/>
    <w:pPr>
      <w:tabs>
        <w:tab w:val="center" w:pos="4153"/>
        <w:tab w:val="right" w:pos="8306"/>
      </w:tabs>
      <w:snapToGrid w:val="0"/>
      <w:jc w:val="left"/>
    </w:pPr>
    <w:rPr>
      <w:sz w:val="18"/>
      <w:szCs w:val="18"/>
    </w:rPr>
  </w:style>
  <w:style w:type="paragraph" w:styleId="21">
    <w:name w:val="header"/>
    <w:basedOn w:val="1"/>
    <w:link w:val="39"/>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unhideWhenUsed/>
    <w:qFormat/>
    <w:uiPriority w:val="39"/>
    <w:pPr>
      <w:spacing w:line="480" w:lineRule="exact"/>
      <w:jc w:val="left"/>
    </w:pPr>
    <w:rPr>
      <w:rFonts w:eastAsia="仿宋_GB2312"/>
      <w:sz w:val="28"/>
    </w:rPr>
  </w:style>
  <w:style w:type="paragraph" w:styleId="23">
    <w:name w:val="toc 4"/>
    <w:basedOn w:val="1"/>
    <w:next w:val="1"/>
    <w:autoRedefine/>
    <w:unhideWhenUsed/>
    <w:qFormat/>
    <w:uiPriority w:val="39"/>
    <w:pPr>
      <w:ind w:left="1260" w:leftChars="600"/>
    </w:pPr>
    <w:rPr>
      <w:rFonts w:asciiTheme="minorHAnsi" w:hAnsiTheme="minorHAnsi" w:eastAsiaTheme="minorEastAsia" w:cstheme="minorBidi"/>
      <w14:ligatures w14:val="standardContextual"/>
    </w:rPr>
  </w:style>
  <w:style w:type="paragraph" w:styleId="24">
    <w:name w:val="toc 6"/>
    <w:basedOn w:val="1"/>
    <w:next w:val="1"/>
    <w:autoRedefine/>
    <w:unhideWhenUsed/>
    <w:qFormat/>
    <w:uiPriority w:val="39"/>
    <w:pPr>
      <w:ind w:left="2100" w:leftChars="1000"/>
    </w:pPr>
    <w:rPr>
      <w:rFonts w:asciiTheme="minorHAnsi" w:hAnsiTheme="minorHAnsi" w:eastAsiaTheme="minorEastAsia" w:cstheme="minorBidi"/>
      <w14:ligatures w14:val="standardContextual"/>
    </w:rPr>
  </w:style>
  <w:style w:type="paragraph" w:styleId="25">
    <w:name w:val="Body Text Indent 3"/>
    <w:basedOn w:val="1"/>
    <w:link w:val="76"/>
    <w:autoRedefine/>
    <w:qFormat/>
    <w:uiPriority w:val="0"/>
    <w:pPr>
      <w:adjustRightInd w:val="0"/>
      <w:spacing w:line="360" w:lineRule="atLeast"/>
      <w:ind w:firstLine="510"/>
      <w:jc w:val="left"/>
      <w:textAlignment w:val="baseline"/>
    </w:pPr>
    <w:rPr>
      <w:rFonts w:ascii="宋体" w:eastAsia="仿宋_GB2312"/>
      <w:sz w:val="28"/>
    </w:rPr>
  </w:style>
  <w:style w:type="paragraph" w:styleId="26">
    <w:name w:val="toc 2"/>
    <w:basedOn w:val="1"/>
    <w:next w:val="1"/>
    <w:autoRedefine/>
    <w:unhideWhenUsed/>
    <w:qFormat/>
    <w:uiPriority w:val="39"/>
    <w:pPr>
      <w:tabs>
        <w:tab w:val="right" w:leader="dot" w:pos="8296"/>
      </w:tabs>
      <w:spacing w:line="480" w:lineRule="exact"/>
      <w:ind w:left="560" w:leftChars="200"/>
      <w:jc w:val="left"/>
    </w:pPr>
    <w:rPr>
      <w:rFonts w:ascii="Times New Roman" w:hAnsi="Times New Roman" w:eastAsia="仿宋_GB2312"/>
      <w:sz w:val="28"/>
    </w:rPr>
  </w:style>
  <w:style w:type="paragraph" w:styleId="27">
    <w:name w:val="toc 9"/>
    <w:basedOn w:val="1"/>
    <w:next w:val="1"/>
    <w:autoRedefine/>
    <w:unhideWhenUsed/>
    <w:qFormat/>
    <w:uiPriority w:val="39"/>
    <w:pPr>
      <w:ind w:left="3360" w:leftChars="1600"/>
    </w:pPr>
    <w:rPr>
      <w:rFonts w:asciiTheme="minorHAnsi" w:hAnsiTheme="minorHAnsi" w:eastAsiaTheme="minorEastAsia" w:cstheme="minorBidi"/>
      <w14:ligatures w14:val="standardContextual"/>
    </w:rPr>
  </w:style>
  <w:style w:type="paragraph" w:styleId="28">
    <w:name w:val="Normal (Web)"/>
    <w:basedOn w:val="1"/>
    <w:autoRedefine/>
    <w:qFormat/>
    <w:uiPriority w:val="99"/>
    <w:pPr>
      <w:spacing w:beforeAutospacing="1" w:afterAutospacing="1" w:line="480" w:lineRule="exact"/>
      <w:jc w:val="left"/>
    </w:pPr>
    <w:rPr>
      <w:rFonts w:eastAsia="仿宋_GB2312"/>
      <w:kern w:val="0"/>
      <w:sz w:val="24"/>
    </w:rPr>
  </w:style>
  <w:style w:type="paragraph" w:styleId="29">
    <w:name w:val="Title"/>
    <w:basedOn w:val="1"/>
    <w:next w:val="1"/>
    <w:link w:val="77"/>
    <w:autoRedefine/>
    <w:qFormat/>
    <w:uiPriority w:val="0"/>
    <w:pPr>
      <w:spacing w:before="120" w:after="120" w:line="480" w:lineRule="exact"/>
      <w:jc w:val="left"/>
      <w:outlineLvl w:val="2"/>
    </w:pPr>
    <w:rPr>
      <w:rFonts w:ascii="Cambria" w:hAnsi="Cambria" w:eastAsia="仿宋_GB2312"/>
      <w:b/>
      <w:bCs/>
      <w:sz w:val="28"/>
      <w:szCs w:val="32"/>
    </w:rPr>
  </w:style>
  <w:style w:type="paragraph" w:styleId="30">
    <w:name w:val="Body Text First Indent"/>
    <w:basedOn w:val="12"/>
    <w:next w:val="1"/>
    <w:link w:val="78"/>
    <w:autoRedefine/>
    <w:qFormat/>
    <w:uiPriority w:val="99"/>
    <w:pPr>
      <w:autoSpaceDE/>
      <w:autoSpaceDN/>
      <w:spacing w:after="120" w:line="280" w:lineRule="exact"/>
      <w:ind w:left="0" w:firstLine="420" w:firstLineChars="100"/>
      <w:jc w:val="center"/>
    </w:pPr>
    <w:rPr>
      <w:rFonts w:cs="Times New Roman"/>
      <w:sz w:val="21"/>
      <w:szCs w:val="18"/>
    </w:rPr>
  </w:style>
  <w:style w:type="paragraph" w:styleId="31">
    <w:name w:val="Body Text First Indent 2"/>
    <w:basedOn w:val="13"/>
    <w:next w:val="1"/>
    <w:link w:val="74"/>
    <w:autoRedefine/>
    <w:qFormat/>
    <w:uiPriority w:val="0"/>
    <w:pPr>
      <w:spacing w:after="0" w:line="348" w:lineRule="auto"/>
      <w:ind w:left="0" w:leftChars="0" w:firstLine="420" w:firstLineChars="200"/>
      <w:jc w:val="left"/>
    </w:pPr>
    <w:rPr>
      <w:rFonts w:eastAsia="仿宋_GB2312"/>
      <w:szCs w:val="24"/>
    </w:rPr>
  </w:style>
  <w:style w:type="table" w:styleId="33">
    <w:name w:val="Table Grid"/>
    <w:basedOn w:val="32"/>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4">
    <w:name w:val="Table Grid 1"/>
    <w:basedOn w:val="32"/>
    <w:autoRedefine/>
    <w:qFormat/>
    <w:uiPriority w:val="99"/>
    <w:pPr>
      <w:widowControl w:val="0"/>
      <w:jc w:val="both"/>
    </w:pPr>
    <w:rPr>
      <w:rFonts w:ascii="Times New Roman" w:hAnsi="Times New Roman" w:eastAsia="宋体" w:cs="Times New Roman"/>
      <w:kern w:val="0"/>
      <w:sz w:val="20"/>
      <w:szCs w:val="20"/>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36">
    <w:name w:val="Strong"/>
    <w:basedOn w:val="35"/>
    <w:autoRedefine/>
    <w:qFormat/>
    <w:uiPriority w:val="0"/>
    <w:rPr>
      <w:b/>
    </w:rPr>
  </w:style>
  <w:style w:type="character" w:styleId="37">
    <w:name w:val="page number"/>
    <w:basedOn w:val="35"/>
    <w:autoRedefine/>
    <w:qFormat/>
    <w:uiPriority w:val="0"/>
  </w:style>
  <w:style w:type="character" w:styleId="38">
    <w:name w:val="Hyperlink"/>
    <w:basedOn w:val="35"/>
    <w:autoRedefine/>
    <w:unhideWhenUsed/>
    <w:qFormat/>
    <w:uiPriority w:val="99"/>
    <w:rPr>
      <w:color w:val="0000FF"/>
      <w:u w:val="single"/>
    </w:rPr>
  </w:style>
  <w:style w:type="character" w:customStyle="1" w:styleId="39">
    <w:name w:val="页眉 字符"/>
    <w:basedOn w:val="35"/>
    <w:link w:val="21"/>
    <w:autoRedefine/>
    <w:qFormat/>
    <w:uiPriority w:val="99"/>
    <w:rPr>
      <w:sz w:val="18"/>
      <w:szCs w:val="18"/>
    </w:rPr>
  </w:style>
  <w:style w:type="character" w:customStyle="1" w:styleId="40">
    <w:name w:val="页脚 字符"/>
    <w:basedOn w:val="35"/>
    <w:link w:val="20"/>
    <w:autoRedefine/>
    <w:qFormat/>
    <w:uiPriority w:val="99"/>
    <w:rPr>
      <w:sz w:val="18"/>
      <w:szCs w:val="18"/>
    </w:rPr>
  </w:style>
  <w:style w:type="paragraph" w:customStyle="1" w:styleId="41">
    <w:name w:val="北 正文"/>
    <w:autoRedefine/>
    <w:qFormat/>
    <w:uiPriority w:val="0"/>
    <w:pPr>
      <w:snapToGrid w:val="0"/>
      <w:spacing w:line="360" w:lineRule="auto"/>
      <w:ind w:firstLine="200" w:firstLineChars="200"/>
    </w:pPr>
    <w:rPr>
      <w:rFonts w:ascii="Times New Roman" w:hAnsi="Times New Roman" w:eastAsia="宋体" w:cs="Times New Roman"/>
      <w:kern w:val="0"/>
      <w:sz w:val="24"/>
      <w:szCs w:val="24"/>
      <w:lang w:val="en-US" w:eastAsia="zh-CN" w:bidi="ar-SA"/>
    </w:rPr>
  </w:style>
  <w:style w:type="character" w:customStyle="1" w:styleId="42">
    <w:name w:val="标题 1 字符"/>
    <w:basedOn w:val="35"/>
    <w:autoRedefine/>
    <w:qFormat/>
    <w:uiPriority w:val="0"/>
    <w:rPr>
      <w:rFonts w:ascii="Calibri" w:hAnsi="Calibri" w:eastAsia="宋体" w:cs="Times New Roman"/>
      <w:b/>
      <w:bCs/>
      <w:kern w:val="44"/>
      <w:sz w:val="44"/>
      <w:szCs w:val="44"/>
    </w:rPr>
  </w:style>
  <w:style w:type="character" w:customStyle="1" w:styleId="43">
    <w:name w:val="标题 2 字符"/>
    <w:basedOn w:val="35"/>
    <w:autoRedefine/>
    <w:qFormat/>
    <w:uiPriority w:val="0"/>
    <w:rPr>
      <w:rFonts w:asciiTheme="majorHAnsi" w:hAnsiTheme="majorHAnsi" w:eastAsiaTheme="majorEastAsia" w:cstheme="majorBidi"/>
      <w:b/>
      <w:bCs/>
      <w:sz w:val="32"/>
      <w:szCs w:val="32"/>
    </w:rPr>
  </w:style>
  <w:style w:type="character" w:customStyle="1" w:styleId="44">
    <w:name w:val="标题 1 字符1"/>
    <w:link w:val="2"/>
    <w:autoRedefine/>
    <w:qFormat/>
    <w:uiPriority w:val="99"/>
    <w:rPr>
      <w:rFonts w:ascii="Calibri" w:hAnsi="Calibri" w:eastAsia="宋体" w:cs="Times New Roman"/>
      <w:b/>
      <w:bCs/>
      <w:kern w:val="44"/>
      <w:sz w:val="44"/>
      <w:szCs w:val="44"/>
    </w:rPr>
  </w:style>
  <w:style w:type="character" w:customStyle="1" w:styleId="45">
    <w:name w:val="标题 2 字符1"/>
    <w:link w:val="3"/>
    <w:autoRedefine/>
    <w:qFormat/>
    <w:uiPriority w:val="0"/>
    <w:rPr>
      <w:rFonts w:ascii="Cambria" w:hAnsi="Cambria" w:eastAsia="宋体" w:cs="Times New Roman"/>
      <w:b/>
      <w:bCs/>
      <w:sz w:val="32"/>
      <w:szCs w:val="32"/>
    </w:rPr>
  </w:style>
  <w:style w:type="character" w:customStyle="1" w:styleId="46">
    <w:name w:val="标题 3 字符"/>
    <w:basedOn w:val="35"/>
    <w:link w:val="4"/>
    <w:autoRedefine/>
    <w:qFormat/>
    <w:uiPriority w:val="0"/>
    <w:rPr>
      <w:rFonts w:ascii="Calibri" w:hAnsi="Calibri" w:eastAsia="宋体" w:cs="Times New Roman"/>
      <w:b/>
      <w:bCs/>
      <w:sz w:val="32"/>
      <w:szCs w:val="32"/>
    </w:rPr>
  </w:style>
  <w:style w:type="character" w:customStyle="1" w:styleId="47">
    <w:name w:val="正文文本 字符"/>
    <w:basedOn w:val="35"/>
    <w:link w:val="12"/>
    <w:autoRedefine/>
    <w:qFormat/>
    <w:uiPriority w:val="0"/>
    <w:rPr>
      <w:rFonts w:ascii="宋体" w:hAnsi="宋体" w:eastAsia="宋体" w:cs="宋体"/>
      <w:kern w:val="0"/>
      <w:sz w:val="24"/>
      <w:szCs w:val="24"/>
    </w:rPr>
  </w:style>
  <w:style w:type="paragraph" w:customStyle="1" w:styleId="48">
    <w:name w:val="巍山怀鲁污水处理厂"/>
    <w:basedOn w:val="1"/>
    <w:autoRedefine/>
    <w:qFormat/>
    <w:uiPriority w:val="0"/>
    <w:pPr>
      <w:spacing w:before="60" w:line="460" w:lineRule="exact"/>
      <w:ind w:firstLine="480" w:firstLineChars="200"/>
      <w:jc w:val="left"/>
    </w:pPr>
    <w:rPr>
      <w:rFonts w:eastAsia="仿宋_GB2312"/>
      <w:sz w:val="28"/>
    </w:rPr>
  </w:style>
  <w:style w:type="table" w:customStyle="1" w:styleId="49">
    <w:name w:val="网格型10"/>
    <w:basedOn w:val="32"/>
    <w:autoRedefine/>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50">
    <w:name w:val="正文文本缩进 字符"/>
    <w:basedOn w:val="35"/>
    <w:link w:val="13"/>
    <w:autoRedefine/>
    <w:qFormat/>
    <w:uiPriority w:val="99"/>
    <w:rPr>
      <w:rFonts w:ascii="Calibri" w:hAnsi="Calibri" w:eastAsia="宋体" w:cs="Times New Roman"/>
    </w:rPr>
  </w:style>
  <w:style w:type="paragraph" w:customStyle="1" w:styleId="51">
    <w:name w:val="p0"/>
    <w:basedOn w:val="1"/>
    <w:autoRedefine/>
    <w:qFormat/>
    <w:uiPriority w:val="0"/>
    <w:pPr>
      <w:widowControl/>
    </w:pPr>
    <w:rPr>
      <w:rFonts w:cs="黑体"/>
      <w:kern w:val="0"/>
      <w:szCs w:val="21"/>
    </w:rPr>
  </w:style>
  <w:style w:type="character" w:customStyle="1" w:styleId="52">
    <w:name w:val="正文首行缩进 2 + Times New Roman Char"/>
    <w:link w:val="53"/>
    <w:autoRedefine/>
    <w:qFormat/>
    <w:uiPriority w:val="99"/>
    <w:rPr>
      <w:color w:val="000000"/>
      <w:sz w:val="24"/>
      <w:szCs w:val="24"/>
    </w:rPr>
  </w:style>
  <w:style w:type="paragraph" w:customStyle="1" w:styleId="53">
    <w:name w:val="正文首行缩进 2 + Times New Roman"/>
    <w:basedOn w:val="1"/>
    <w:link w:val="52"/>
    <w:autoRedefine/>
    <w:qFormat/>
    <w:uiPriority w:val="99"/>
    <w:pPr>
      <w:tabs>
        <w:tab w:val="left" w:pos="0"/>
        <w:tab w:val="left" w:pos="870"/>
        <w:tab w:val="left" w:pos="3150"/>
      </w:tabs>
      <w:autoSpaceDE w:val="0"/>
      <w:autoSpaceDN w:val="0"/>
      <w:spacing w:line="360" w:lineRule="auto"/>
      <w:ind w:firstLine="480" w:firstLineChars="200"/>
      <w:jc w:val="left"/>
    </w:pPr>
    <w:rPr>
      <w:rFonts w:asciiTheme="minorHAnsi" w:hAnsiTheme="minorHAnsi" w:eastAsiaTheme="minorEastAsia" w:cstheme="minorBidi"/>
      <w:color w:val="000000"/>
      <w:sz w:val="24"/>
      <w:szCs w:val="24"/>
    </w:rPr>
  </w:style>
  <w:style w:type="paragraph" w:customStyle="1" w:styleId="54">
    <w:name w:val="A0正文"/>
    <w:basedOn w:val="1"/>
    <w:link w:val="55"/>
    <w:autoRedefine/>
    <w:qFormat/>
    <w:uiPriority w:val="0"/>
    <w:pPr>
      <w:spacing w:line="360" w:lineRule="auto"/>
      <w:ind w:firstLine="200" w:firstLineChars="200"/>
    </w:pPr>
    <w:rPr>
      <w:rFonts w:ascii="Times New Roman" w:hAnsi="Times New Roman"/>
      <w:kern w:val="0"/>
      <w:sz w:val="24"/>
      <w:szCs w:val="20"/>
      <w:lang w:val="zh-CN" w:eastAsia="zh-CN"/>
    </w:rPr>
  </w:style>
  <w:style w:type="character" w:customStyle="1" w:styleId="55">
    <w:name w:val="A0正文 Char"/>
    <w:link w:val="54"/>
    <w:autoRedefine/>
    <w:qFormat/>
    <w:uiPriority w:val="0"/>
    <w:rPr>
      <w:rFonts w:ascii="Times New Roman" w:hAnsi="Times New Roman" w:eastAsia="宋体" w:cs="Times New Roman"/>
      <w:kern w:val="0"/>
      <w:sz w:val="24"/>
      <w:szCs w:val="20"/>
      <w:lang w:val="zh-CN" w:eastAsia="zh-CN"/>
    </w:rPr>
  </w:style>
  <w:style w:type="character" w:customStyle="1" w:styleId="56">
    <w:name w:val="题注 字符"/>
    <w:link w:val="9"/>
    <w:autoRedefine/>
    <w:qFormat/>
    <w:uiPriority w:val="0"/>
    <w:rPr>
      <w:rFonts w:ascii="Cambria" w:hAnsi="Cambria" w:eastAsia="黑体" w:cs="Times New Roman"/>
      <w:sz w:val="20"/>
      <w:szCs w:val="20"/>
    </w:rPr>
  </w:style>
  <w:style w:type="paragraph" w:customStyle="1" w:styleId="57">
    <w:name w:val="表头表格"/>
    <w:basedOn w:val="1"/>
    <w:autoRedefine/>
    <w:qFormat/>
    <w:uiPriority w:val="0"/>
    <w:pPr>
      <w:snapToGrid w:val="0"/>
      <w:spacing w:beforeLines="50" w:line="360" w:lineRule="auto"/>
      <w:jc w:val="center"/>
    </w:pPr>
    <w:rPr>
      <w:rFonts w:ascii="Times New Roman" w:hAnsi="Times New Roman"/>
      <w:b/>
      <w:bCs/>
      <w:color w:val="000000"/>
      <w:szCs w:val="21"/>
    </w:rPr>
  </w:style>
  <w:style w:type="character" w:customStyle="1" w:styleId="58">
    <w:name w:val="标题 4 字符"/>
    <w:basedOn w:val="35"/>
    <w:link w:val="5"/>
    <w:autoRedefine/>
    <w:qFormat/>
    <w:uiPriority w:val="0"/>
    <w:rPr>
      <w:rFonts w:asciiTheme="majorHAnsi" w:hAnsiTheme="majorHAnsi" w:eastAsiaTheme="majorEastAsia" w:cstheme="majorBidi"/>
      <w:b/>
      <w:bCs/>
      <w:sz w:val="28"/>
      <w:szCs w:val="28"/>
    </w:rPr>
  </w:style>
  <w:style w:type="table" w:customStyle="1" w:styleId="59">
    <w:name w:val="Table Normal"/>
    <w:autoRedefine/>
    <w:unhideWhenUsed/>
    <w:qFormat/>
    <w:uiPriority w:val="2"/>
    <w:pPr>
      <w:widowControl w:val="0"/>
      <w:autoSpaceDE w:val="0"/>
      <w:autoSpaceDN w:val="0"/>
    </w:pPr>
    <w:rPr>
      <w:kern w:val="0"/>
      <w:sz w:val="22"/>
      <w:lang w:eastAsia="en-US"/>
    </w:rPr>
    <w:tblPr>
      <w:tblCellMar>
        <w:top w:w="0" w:type="dxa"/>
        <w:left w:w="0" w:type="dxa"/>
        <w:bottom w:w="0" w:type="dxa"/>
        <w:right w:w="0" w:type="dxa"/>
      </w:tblCellMar>
    </w:tblPr>
  </w:style>
  <w:style w:type="paragraph" w:customStyle="1" w:styleId="60">
    <w:name w:val="Table Paragraph"/>
    <w:basedOn w:val="1"/>
    <w:autoRedefine/>
    <w:qFormat/>
    <w:uiPriority w:val="1"/>
    <w:pPr>
      <w:autoSpaceDE w:val="0"/>
      <w:autoSpaceDN w:val="0"/>
      <w:jc w:val="center"/>
    </w:pPr>
    <w:rPr>
      <w:rFonts w:ascii="宋体" w:hAnsi="宋体" w:cs="宋体"/>
      <w:kern w:val="0"/>
      <w:sz w:val="22"/>
    </w:rPr>
  </w:style>
  <w:style w:type="character" w:customStyle="1" w:styleId="61">
    <w:name w:val="正文缩进 字符"/>
    <w:link w:val="8"/>
    <w:autoRedefine/>
    <w:qFormat/>
    <w:uiPriority w:val="0"/>
    <w:rPr>
      <w:rFonts w:ascii="Times New Roman" w:hAnsi="Times New Roman" w:eastAsia="宋体" w:cs="Times New Roman"/>
      <w:kern w:val="0"/>
      <w:sz w:val="24"/>
      <w:szCs w:val="24"/>
      <w:lang w:val="zh-CN" w:eastAsia="zh-CN"/>
    </w:rPr>
  </w:style>
  <w:style w:type="character" w:customStyle="1" w:styleId="62">
    <w:name w:val="报告书正文 Char"/>
    <w:link w:val="63"/>
    <w:autoRedefine/>
    <w:qFormat/>
    <w:uiPriority w:val="0"/>
    <w:rPr>
      <w:rFonts w:eastAsia="隶书"/>
      <w:sz w:val="24"/>
    </w:rPr>
  </w:style>
  <w:style w:type="paragraph" w:customStyle="1" w:styleId="63">
    <w:name w:val="报告书正文"/>
    <w:basedOn w:val="1"/>
    <w:link w:val="62"/>
    <w:autoRedefine/>
    <w:qFormat/>
    <w:uiPriority w:val="0"/>
    <w:pPr>
      <w:spacing w:line="300" w:lineRule="auto"/>
      <w:ind w:firstLine="200" w:firstLineChars="200"/>
    </w:pPr>
    <w:rPr>
      <w:rFonts w:eastAsia="隶书" w:asciiTheme="minorHAnsi" w:hAnsiTheme="minorHAnsi" w:cstheme="minorBidi"/>
      <w:sz w:val="24"/>
    </w:rPr>
  </w:style>
  <w:style w:type="character" w:customStyle="1" w:styleId="64">
    <w:name w:val="内容 Char"/>
    <w:link w:val="65"/>
    <w:autoRedefine/>
    <w:qFormat/>
    <w:uiPriority w:val="0"/>
    <w:rPr>
      <w:rFonts w:eastAsia="仿宋_GB2312"/>
      <w:sz w:val="26"/>
    </w:rPr>
  </w:style>
  <w:style w:type="paragraph" w:customStyle="1" w:styleId="65">
    <w:name w:val="内容"/>
    <w:basedOn w:val="1"/>
    <w:link w:val="64"/>
    <w:autoRedefine/>
    <w:qFormat/>
    <w:uiPriority w:val="0"/>
    <w:pPr>
      <w:spacing w:line="460" w:lineRule="exact"/>
      <w:ind w:firstLine="200" w:firstLineChars="200"/>
      <w:jc w:val="left"/>
    </w:pPr>
    <w:rPr>
      <w:rFonts w:eastAsia="仿宋_GB2312" w:asciiTheme="minorHAnsi" w:hAnsiTheme="minorHAnsi" w:cstheme="minorBidi"/>
      <w:sz w:val="26"/>
    </w:rPr>
  </w:style>
  <w:style w:type="paragraph" w:customStyle="1" w:styleId="66">
    <w:name w:val="表格内文字"/>
    <w:basedOn w:val="1"/>
    <w:autoRedefine/>
    <w:qFormat/>
    <w:uiPriority w:val="0"/>
    <w:pPr>
      <w:adjustRightInd w:val="0"/>
      <w:jc w:val="center"/>
    </w:pPr>
    <w:rPr>
      <w:rFonts w:ascii="Times New Roman" w:hAnsi="Times New Roman"/>
      <w:kern w:val="0"/>
      <w:szCs w:val="20"/>
    </w:rPr>
  </w:style>
  <w:style w:type="paragraph" w:customStyle="1" w:styleId="67">
    <w:name w:val="表头"/>
    <w:basedOn w:val="9"/>
    <w:link w:val="68"/>
    <w:autoRedefine/>
    <w:qFormat/>
    <w:uiPriority w:val="99"/>
    <w:pPr>
      <w:adjustRightInd w:val="0"/>
      <w:jc w:val="center"/>
    </w:pPr>
    <w:rPr>
      <w:rFonts w:ascii="Times New Roman" w:hAnsi="Times New Roman" w:eastAsia="宋体"/>
      <w:b/>
      <w:kern w:val="0"/>
      <w:sz w:val="24"/>
      <w:lang w:val="zh-CN" w:eastAsia="zh-CN"/>
    </w:rPr>
  </w:style>
  <w:style w:type="character" w:customStyle="1" w:styleId="68">
    <w:name w:val="表头 Char"/>
    <w:link w:val="67"/>
    <w:autoRedefine/>
    <w:qFormat/>
    <w:uiPriority w:val="99"/>
    <w:rPr>
      <w:rFonts w:ascii="Times New Roman" w:hAnsi="Times New Roman" w:eastAsia="宋体" w:cs="Times New Roman"/>
      <w:b/>
      <w:kern w:val="0"/>
      <w:sz w:val="24"/>
      <w:szCs w:val="20"/>
      <w:lang w:val="zh-CN" w:eastAsia="zh-CN"/>
    </w:rPr>
  </w:style>
  <w:style w:type="character" w:customStyle="1" w:styleId="69">
    <w:name w:val="标题 2 Char"/>
    <w:autoRedefine/>
    <w:qFormat/>
    <w:uiPriority w:val="99"/>
    <w:rPr>
      <w:rFonts w:ascii="Cambria" w:hAnsi="Cambria"/>
      <w:b/>
      <w:bCs/>
      <w:kern w:val="2"/>
      <w:sz w:val="32"/>
      <w:szCs w:val="32"/>
    </w:rPr>
  </w:style>
  <w:style w:type="character" w:customStyle="1" w:styleId="70">
    <w:name w:val="标题 1 Char"/>
    <w:autoRedefine/>
    <w:qFormat/>
    <w:uiPriority w:val="99"/>
    <w:rPr>
      <w:b/>
      <w:bCs/>
      <w:kern w:val="44"/>
      <w:sz w:val="44"/>
      <w:szCs w:val="44"/>
    </w:rPr>
  </w:style>
  <w:style w:type="character" w:customStyle="1" w:styleId="71">
    <w:name w:val="标题 5 字符"/>
    <w:basedOn w:val="35"/>
    <w:link w:val="6"/>
    <w:autoRedefine/>
    <w:semiHidden/>
    <w:qFormat/>
    <w:uiPriority w:val="9"/>
    <w:rPr>
      <w:rFonts w:ascii="Calibri" w:hAnsi="Calibri" w:eastAsia="宋体" w:cs="Times New Roman"/>
      <w:b/>
      <w:bCs/>
      <w:sz w:val="28"/>
      <w:szCs w:val="28"/>
    </w:rPr>
  </w:style>
  <w:style w:type="paragraph" w:customStyle="1" w:styleId="72">
    <w:name w:val="Default"/>
    <w:basedOn w:val="12"/>
    <w:next w:val="1"/>
    <w:autoRedefine/>
    <w:qFormat/>
    <w:uiPriority w:val="99"/>
    <w:pPr>
      <w:autoSpaceDE w:val="0"/>
      <w:autoSpaceDN w:val="0"/>
      <w:adjustRightInd w:val="0"/>
    </w:pPr>
    <w:rPr>
      <w:rFonts w:ascii="Sim Sun+ 2" w:eastAsia="Sim Sun+ 2" w:cs="Sim Sun+ 2"/>
      <w:color w:val="000000"/>
      <w:sz w:val="24"/>
      <w:szCs w:val="24"/>
    </w:rPr>
  </w:style>
  <w:style w:type="paragraph" w:customStyle="1" w:styleId="73">
    <w:name w:val="！正文 Alt+0"/>
    <w:basedOn w:val="1"/>
    <w:autoRedefine/>
    <w:qFormat/>
    <w:uiPriority w:val="0"/>
    <w:pPr>
      <w:spacing w:line="480" w:lineRule="exact"/>
      <w:ind w:firstLine="200"/>
      <w:jc w:val="left"/>
    </w:pPr>
    <w:rPr>
      <w:rFonts w:eastAsia="仿宋_GB2312"/>
      <w:sz w:val="28"/>
      <w:szCs w:val="28"/>
    </w:rPr>
  </w:style>
  <w:style w:type="character" w:customStyle="1" w:styleId="74">
    <w:name w:val="正文文本首行缩进 2 字符"/>
    <w:basedOn w:val="50"/>
    <w:link w:val="31"/>
    <w:autoRedefine/>
    <w:qFormat/>
    <w:uiPriority w:val="0"/>
    <w:rPr>
      <w:rFonts w:ascii="Calibri" w:hAnsi="Calibri" w:eastAsia="仿宋_GB2312" w:cs="Times New Roman"/>
      <w:szCs w:val="24"/>
    </w:rPr>
  </w:style>
  <w:style w:type="character" w:customStyle="1" w:styleId="75">
    <w:name w:val="纯文本 字符"/>
    <w:basedOn w:val="35"/>
    <w:link w:val="16"/>
    <w:autoRedefine/>
    <w:qFormat/>
    <w:uiPriority w:val="0"/>
    <w:rPr>
      <w:rFonts w:ascii="宋体" w:hAnsi="Courier New" w:eastAsia="仿宋_GB2312" w:cs="Courier New"/>
      <w:sz w:val="28"/>
      <w:szCs w:val="21"/>
    </w:rPr>
  </w:style>
  <w:style w:type="character" w:customStyle="1" w:styleId="76">
    <w:name w:val="正文文本缩进 3 字符"/>
    <w:basedOn w:val="35"/>
    <w:link w:val="25"/>
    <w:autoRedefine/>
    <w:qFormat/>
    <w:uiPriority w:val="0"/>
    <w:rPr>
      <w:rFonts w:ascii="宋体" w:hAnsi="Calibri" w:eastAsia="仿宋_GB2312" w:cs="Times New Roman"/>
      <w:sz w:val="28"/>
    </w:rPr>
  </w:style>
  <w:style w:type="character" w:customStyle="1" w:styleId="77">
    <w:name w:val="标题 字符"/>
    <w:basedOn w:val="35"/>
    <w:link w:val="29"/>
    <w:autoRedefine/>
    <w:qFormat/>
    <w:uiPriority w:val="0"/>
    <w:rPr>
      <w:rFonts w:ascii="Cambria" w:hAnsi="Cambria" w:eastAsia="仿宋_GB2312" w:cs="Times New Roman"/>
      <w:b/>
      <w:bCs/>
      <w:sz w:val="28"/>
      <w:szCs w:val="32"/>
    </w:rPr>
  </w:style>
  <w:style w:type="character" w:customStyle="1" w:styleId="78">
    <w:name w:val="正文文本首行缩进 字符"/>
    <w:basedOn w:val="47"/>
    <w:link w:val="30"/>
    <w:autoRedefine/>
    <w:qFormat/>
    <w:uiPriority w:val="99"/>
    <w:rPr>
      <w:rFonts w:ascii="宋体" w:hAnsi="宋体" w:eastAsia="宋体" w:cs="Times New Roman"/>
      <w:kern w:val="0"/>
      <w:sz w:val="24"/>
      <w:szCs w:val="18"/>
    </w:rPr>
  </w:style>
  <w:style w:type="paragraph" w:customStyle="1" w:styleId="79">
    <w:name w:val="xl27"/>
    <w:basedOn w:val="1"/>
    <w:autoRedefine/>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line="480" w:lineRule="exact"/>
      <w:jc w:val="center"/>
    </w:pPr>
    <w:rPr>
      <w:rFonts w:ascii="新宋体-18030" w:hAnsi="新宋体-18030" w:eastAsia="新宋体-18030" w:cs="新宋体-18030"/>
      <w:kern w:val="0"/>
      <w:sz w:val="28"/>
    </w:rPr>
  </w:style>
  <w:style w:type="paragraph" w:customStyle="1" w:styleId="80">
    <w:name w:val="样式 表格 32 + 首行缩进:  2 字符"/>
    <w:basedOn w:val="1"/>
    <w:autoRedefine/>
    <w:qFormat/>
    <w:uiPriority w:val="0"/>
    <w:pPr>
      <w:autoSpaceDE w:val="0"/>
      <w:autoSpaceDN w:val="0"/>
      <w:adjustRightInd w:val="0"/>
      <w:spacing w:line="0" w:lineRule="atLeast"/>
      <w:jc w:val="center"/>
    </w:pPr>
    <w:rPr>
      <w:rFonts w:ascii="方正宋三简体" w:hAnsi="方正宋三简体" w:cs="方正宋三简体"/>
      <w:kern w:val="0"/>
      <w:szCs w:val="21"/>
    </w:rPr>
  </w:style>
  <w:style w:type="paragraph" w:styleId="81">
    <w:name w:val="No Spacing"/>
    <w:basedOn w:val="1"/>
    <w:next w:val="82"/>
    <w:autoRedefine/>
    <w:qFormat/>
    <w:uiPriority w:val="1"/>
    <w:pPr>
      <w:autoSpaceDE w:val="0"/>
      <w:autoSpaceDN w:val="0"/>
      <w:adjustRightInd w:val="0"/>
      <w:spacing w:line="480" w:lineRule="exact"/>
      <w:ind w:firstLine="200" w:firstLineChars="200"/>
    </w:pPr>
    <w:rPr>
      <w:sz w:val="24"/>
      <w:szCs w:val="24"/>
    </w:rPr>
  </w:style>
  <w:style w:type="paragraph" w:customStyle="1" w:styleId="82">
    <w:name w:val="！正文"/>
    <w:basedOn w:val="1"/>
    <w:autoRedefine/>
    <w:qFormat/>
    <w:uiPriority w:val="0"/>
    <w:pPr>
      <w:spacing w:line="560" w:lineRule="exact"/>
      <w:jc w:val="left"/>
    </w:pPr>
    <w:rPr>
      <w:rFonts w:cs="宋体"/>
      <w:sz w:val="28"/>
      <w:szCs w:val="20"/>
    </w:rPr>
  </w:style>
  <w:style w:type="paragraph" w:customStyle="1" w:styleId="83">
    <w:name w:val="1正文"/>
    <w:autoRedefine/>
    <w:qFormat/>
    <w:uiPriority w:val="0"/>
    <w:pPr>
      <w:snapToGrid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84">
    <w:name w:val="表格文字卢仁杰"/>
    <w:basedOn w:val="1"/>
    <w:autoRedefine/>
    <w:qFormat/>
    <w:uiPriority w:val="0"/>
    <w:pPr>
      <w:adjustRightInd w:val="0"/>
      <w:snapToGrid w:val="0"/>
      <w:jc w:val="center"/>
    </w:pPr>
    <w:rPr>
      <w:szCs w:val="21"/>
    </w:rPr>
  </w:style>
  <w:style w:type="character" w:customStyle="1" w:styleId="85">
    <w:name w:val="fontstyle01"/>
    <w:basedOn w:val="35"/>
    <w:autoRedefine/>
    <w:qFormat/>
    <w:uiPriority w:val="0"/>
    <w:rPr>
      <w:rFonts w:ascii="宋体" w:hAnsi="宋体" w:eastAsia="宋体" w:cs="宋体"/>
      <w:color w:val="000000"/>
      <w:sz w:val="24"/>
      <w:szCs w:val="24"/>
    </w:rPr>
  </w:style>
  <w:style w:type="character" w:customStyle="1" w:styleId="86">
    <w:name w:val="fontstyle11"/>
    <w:basedOn w:val="35"/>
    <w:autoRedefine/>
    <w:qFormat/>
    <w:uiPriority w:val="0"/>
    <w:rPr>
      <w:rFonts w:ascii="TimesNewRomanPSMT" w:hAnsi="TimesNewRomanPSMT" w:eastAsia="TimesNewRomanPSMT" w:cs="TimesNewRomanPSMT"/>
      <w:color w:val="000000"/>
      <w:sz w:val="24"/>
      <w:szCs w:val="24"/>
    </w:rPr>
  </w:style>
  <w:style w:type="paragraph" w:styleId="87">
    <w:name w:val="List Paragraph"/>
    <w:basedOn w:val="1"/>
    <w:autoRedefine/>
    <w:qFormat/>
    <w:uiPriority w:val="1"/>
    <w:pPr>
      <w:spacing w:line="480" w:lineRule="exact"/>
      <w:ind w:firstLine="420" w:firstLineChars="200"/>
      <w:jc w:val="left"/>
    </w:pPr>
    <w:rPr>
      <w:rFonts w:eastAsia="仿宋_GB2312"/>
      <w:sz w:val="28"/>
    </w:rPr>
  </w:style>
  <w:style w:type="paragraph" w:customStyle="1" w:styleId="88">
    <w:name w:val="表头自己"/>
    <w:basedOn w:val="89"/>
    <w:autoRedefine/>
    <w:qFormat/>
    <w:uiPriority w:val="0"/>
    <w:pPr>
      <w:keepNext/>
      <w:spacing w:line="240" w:lineRule="auto"/>
      <w:ind w:firstLine="482" w:firstLineChars="0"/>
    </w:pPr>
    <w:rPr>
      <w:rFonts w:ascii="宋体" w:hAnsi="宋体" w:eastAsia="Times New Roman" w:cs="宋体"/>
      <w:b/>
      <w:kern w:val="2"/>
      <w:sz w:val="21"/>
      <w:szCs w:val="24"/>
    </w:rPr>
  </w:style>
  <w:style w:type="paragraph" w:customStyle="1" w:styleId="89">
    <w:name w:val="表格头"/>
    <w:basedOn w:val="1"/>
    <w:autoRedefine/>
    <w:qFormat/>
    <w:uiPriority w:val="0"/>
    <w:pPr>
      <w:spacing w:line="480" w:lineRule="exact"/>
      <w:ind w:firstLine="480" w:firstLineChars="200"/>
      <w:jc w:val="center"/>
    </w:pPr>
    <w:rPr>
      <w:rFonts w:ascii="黑体" w:hAnsi="Arial" w:eastAsia="黑体"/>
      <w:kern w:val="0"/>
      <w:sz w:val="28"/>
      <w:szCs w:val="20"/>
    </w:rPr>
  </w:style>
  <w:style w:type="paragraph" w:customStyle="1" w:styleId="90">
    <w:name w:val="样式 样式 标题 3Level 3 HeadH3Heading 3 - oldh3sect1.2.3Head33l3... + ..."/>
    <w:basedOn w:val="91"/>
    <w:autoRedefine/>
    <w:qFormat/>
    <w:uiPriority w:val="0"/>
    <w:pPr>
      <w:tabs>
        <w:tab w:val="left" w:pos="709"/>
        <w:tab w:val="left" w:pos="2142"/>
      </w:tabs>
      <w:spacing w:before="120" w:beforeLines="50" w:after="120" w:afterLines="50" w:line="360" w:lineRule="auto"/>
    </w:pPr>
    <w:rPr>
      <w:rFonts w:ascii="Times New Roman" w:cs="Times New Roman"/>
      <w:bCs w:val="0"/>
      <w:color w:val="auto"/>
      <w:szCs w:val="21"/>
    </w:rPr>
  </w:style>
  <w:style w:type="paragraph" w:customStyle="1" w:styleId="91">
    <w:name w:val="样式 标题 3Level 3 HeadH3Heading 3 - oldh3sect1.2.3Head33l3..."/>
    <w:basedOn w:val="4"/>
    <w:autoRedefine/>
    <w:qFormat/>
    <w:uiPriority w:val="0"/>
    <w:pPr>
      <w:tabs>
        <w:tab w:val="left" w:pos="709"/>
      </w:tabs>
      <w:spacing w:before="156" w:after="156" w:line="500" w:lineRule="exact"/>
      <w:jc w:val="left"/>
    </w:pPr>
    <w:rPr>
      <w:rFonts w:ascii="宋体" w:hAnsi="宋体" w:eastAsia="仿宋_GB2312" w:cs="宋体"/>
      <w:color w:val="000000"/>
      <w:szCs w:val="20"/>
    </w:rPr>
  </w:style>
  <w:style w:type="paragraph" w:customStyle="1" w:styleId="92">
    <w:name w:val="lh-表格文字-报告书"/>
    <w:autoRedefine/>
    <w:qFormat/>
    <w:uiPriority w:val="0"/>
    <w:pPr>
      <w:jc w:val="center"/>
    </w:pPr>
    <w:rPr>
      <w:rFonts w:ascii="Times New Roman" w:hAnsi="Times New Roman" w:eastAsia="宋体" w:cstheme="minorBidi"/>
      <w:snapToGrid w:val="0"/>
      <w:kern w:val="0"/>
      <w:sz w:val="21"/>
      <w:szCs w:val="24"/>
      <w:lang w:val="en-US" w:eastAsia="zh-CN" w:bidi="ar-SA"/>
    </w:rPr>
  </w:style>
  <w:style w:type="character" w:customStyle="1" w:styleId="93">
    <w:name w:val="fontstyle21"/>
    <w:basedOn w:val="35"/>
    <w:autoRedefine/>
    <w:qFormat/>
    <w:uiPriority w:val="0"/>
    <w:rPr>
      <w:rFonts w:ascii="TimesNewRomanPSMT" w:hAnsi="TimesNewRomanPSMT" w:eastAsia="TimesNewRomanPSMT" w:cs="TimesNewRomanPSMT"/>
      <w:color w:val="000000"/>
      <w:sz w:val="28"/>
      <w:szCs w:val="28"/>
    </w:rPr>
  </w:style>
  <w:style w:type="character" w:customStyle="1" w:styleId="94">
    <w:name w:val="font51"/>
    <w:basedOn w:val="35"/>
    <w:autoRedefine/>
    <w:qFormat/>
    <w:uiPriority w:val="0"/>
    <w:rPr>
      <w:rFonts w:hint="eastAsia" w:ascii="宋体" w:hAnsi="宋体" w:eastAsia="宋体" w:cs="宋体"/>
      <w:color w:val="000000"/>
      <w:sz w:val="18"/>
      <w:szCs w:val="18"/>
      <w:u w:val="none"/>
    </w:rPr>
  </w:style>
  <w:style w:type="character" w:customStyle="1" w:styleId="95">
    <w:name w:val="font01"/>
    <w:basedOn w:val="35"/>
    <w:autoRedefine/>
    <w:qFormat/>
    <w:uiPriority w:val="0"/>
    <w:rPr>
      <w:rFonts w:hint="default" w:ascii="Times New Roman" w:hAnsi="Times New Roman" w:cs="Times New Roman"/>
      <w:color w:val="000000"/>
      <w:sz w:val="18"/>
      <w:szCs w:val="18"/>
      <w:u w:val="none"/>
      <w:vertAlign w:val="superscript"/>
    </w:rPr>
  </w:style>
  <w:style w:type="character" w:customStyle="1" w:styleId="96">
    <w:name w:val="font61"/>
    <w:basedOn w:val="35"/>
    <w:autoRedefine/>
    <w:qFormat/>
    <w:uiPriority w:val="0"/>
    <w:rPr>
      <w:rFonts w:hint="default" w:ascii="Times New Roman" w:hAnsi="Times New Roman" w:cs="Times New Roman"/>
      <w:color w:val="000000"/>
      <w:sz w:val="18"/>
      <w:szCs w:val="18"/>
      <w:u w:val="none"/>
      <w:vertAlign w:val="subscript"/>
    </w:rPr>
  </w:style>
  <w:style w:type="paragraph" w:customStyle="1" w:styleId="97">
    <w:name w:val="表格文字"/>
    <w:basedOn w:val="30"/>
    <w:autoRedefine/>
    <w:qFormat/>
    <w:uiPriority w:val="0"/>
    <w:rPr>
      <w:rFonts w:ascii="Times New Roman" w:hAnsi="Times New Roman"/>
      <w:sz w:val="20"/>
      <w:szCs w:val="20"/>
    </w:rPr>
  </w:style>
  <w:style w:type="paragraph" w:customStyle="1" w:styleId="98">
    <w:name w:val="报告书 正文"/>
    <w:basedOn w:val="1"/>
    <w:autoRedefine/>
    <w:qFormat/>
    <w:uiPriority w:val="0"/>
    <w:pPr>
      <w:spacing w:line="500" w:lineRule="exact"/>
      <w:ind w:firstLine="200" w:firstLineChars="200"/>
      <w:jc w:val="left"/>
    </w:pPr>
    <w:rPr>
      <w:rFonts w:eastAsia="仿宋_GB2312"/>
      <w:sz w:val="28"/>
      <w:szCs w:val="28"/>
    </w:rPr>
  </w:style>
  <w:style w:type="character" w:customStyle="1" w:styleId="99">
    <w:name w:val="15"/>
    <w:autoRedefine/>
    <w:qFormat/>
    <w:uiPriority w:val="0"/>
    <w:rPr>
      <w:rFonts w:hint="default" w:ascii="Times New Roman" w:hAnsi="Times New Roman" w:eastAsia="仿宋_GB2312" w:cs="Times New Roman"/>
      <w:b/>
      <w:kern w:val="2"/>
      <w:sz w:val="24"/>
      <w:szCs w:val="24"/>
    </w:rPr>
  </w:style>
  <w:style w:type="paragraph" w:customStyle="1" w:styleId="100">
    <w:name w:val="样式 标题 3 + (中文) 仿宋_GB2312 四号 非加粗"/>
    <w:basedOn w:val="4"/>
    <w:autoRedefine/>
    <w:qFormat/>
    <w:uiPriority w:val="0"/>
    <w:pPr>
      <w:keepLines w:val="0"/>
      <w:widowControl/>
      <w:spacing w:before="0" w:after="0" w:line="360" w:lineRule="auto"/>
      <w:jc w:val="left"/>
    </w:pPr>
    <w:rPr>
      <w:rFonts w:ascii="Times New Roman" w:hAnsi="Times New Roman" w:eastAsia="仿宋_GB2312"/>
      <w:bCs w:val="0"/>
      <w:kern w:val="0"/>
      <w:sz w:val="28"/>
      <w:szCs w:val="26"/>
      <w:lang w:bidi="en-US"/>
    </w:rPr>
  </w:style>
  <w:style w:type="paragraph" w:customStyle="1" w:styleId="101">
    <w:name w:val="表格03"/>
    <w:basedOn w:val="1"/>
    <w:autoRedefine/>
    <w:qFormat/>
    <w:uiPriority w:val="0"/>
    <w:pPr>
      <w:spacing w:line="400" w:lineRule="exact"/>
      <w:jc w:val="center"/>
    </w:pPr>
    <w:rPr>
      <w:rFonts w:ascii="Times New Roman" w:hAnsi="Times New Roman"/>
      <w:szCs w:val="20"/>
    </w:rPr>
  </w:style>
  <w:style w:type="paragraph" w:customStyle="1" w:styleId="102">
    <w:name w:val="表格"/>
    <w:basedOn w:val="1"/>
    <w:next w:val="1"/>
    <w:autoRedefine/>
    <w:qFormat/>
    <w:uiPriority w:val="0"/>
    <w:pPr>
      <w:jc w:val="center"/>
    </w:pPr>
    <w:rPr>
      <w:rFonts w:ascii="宋体" w:hAnsi="宋体"/>
      <w:sz w:val="24"/>
      <w:szCs w:val="24"/>
    </w:rPr>
  </w:style>
  <w:style w:type="paragraph" w:customStyle="1" w:styleId="103">
    <w:name w:val="表格表头"/>
    <w:basedOn w:val="104"/>
    <w:autoRedefine/>
    <w:qFormat/>
    <w:uiPriority w:val="0"/>
    <w:pPr>
      <w:tabs>
        <w:tab w:val="left" w:pos="902"/>
      </w:tabs>
    </w:pPr>
    <w:rPr>
      <w:b/>
    </w:rPr>
  </w:style>
  <w:style w:type="paragraph" w:customStyle="1" w:styleId="104">
    <w:name w:val="表格标题"/>
    <w:basedOn w:val="9"/>
    <w:autoRedefine/>
    <w:semiHidden/>
    <w:qFormat/>
    <w:uiPriority w:val="0"/>
    <w:pPr>
      <w:tabs>
        <w:tab w:val="left" w:pos="902"/>
      </w:tabs>
      <w:adjustRightInd w:val="0"/>
      <w:snapToGrid w:val="0"/>
      <w:spacing w:line="360" w:lineRule="auto"/>
      <w:ind w:left="902" w:hanging="420"/>
      <w:jc w:val="center"/>
      <w:textAlignment w:val="baseline"/>
    </w:pPr>
    <w:rPr>
      <w:rFonts w:ascii="Times New Roman" w:hAnsi="Times New Roman" w:eastAsia="宋体"/>
      <w:sz w:val="24"/>
      <w:szCs w:val="24"/>
    </w:rPr>
  </w:style>
  <w:style w:type="paragraph" w:customStyle="1" w:styleId="105">
    <w:name w:val="表格内容"/>
    <w:basedOn w:val="104"/>
    <w:autoRedefine/>
    <w:semiHidden/>
    <w:qFormat/>
    <w:uiPriority w:val="0"/>
    <w:rPr>
      <w:kern w:val="0"/>
    </w:rPr>
  </w:style>
  <w:style w:type="paragraph" w:customStyle="1" w:styleId="106">
    <w:name w:val="文"/>
    <w:basedOn w:val="1"/>
    <w:autoRedefine/>
    <w:qFormat/>
    <w:uiPriority w:val="0"/>
    <w:pPr>
      <w:spacing w:line="500" w:lineRule="exact"/>
      <w:ind w:firstLine="560" w:firstLineChars="200"/>
      <w:jc w:val="left"/>
    </w:pPr>
    <w:rPr>
      <w:rFonts w:eastAsia="仿宋_GB2312"/>
      <w:sz w:val="28"/>
    </w:rPr>
  </w:style>
  <w:style w:type="paragraph" w:customStyle="1" w:styleId="107">
    <w:name w:val="正文1"/>
    <w:basedOn w:val="1"/>
    <w:autoRedefine/>
    <w:qFormat/>
    <w:uiPriority w:val="0"/>
    <w:pPr>
      <w:spacing w:line="0" w:lineRule="atLeast"/>
    </w:pPr>
    <w:rPr>
      <w:rFonts w:ascii="Times New Roman" w:hAnsi="Times New Roman" w:cs="Courier New"/>
      <w:sz w:val="24"/>
      <w:szCs w:val="21"/>
    </w:rPr>
  </w:style>
  <w:style w:type="paragraph" w:customStyle="1" w:styleId="108">
    <w:name w:val="11表格标题"/>
    <w:next w:val="109"/>
    <w:autoRedefine/>
    <w:qFormat/>
    <w:uiPriority w:val="0"/>
    <w:pPr>
      <w:snapToGrid w:val="0"/>
      <w:spacing w:line="520" w:lineRule="exact"/>
      <w:jc w:val="center"/>
    </w:pPr>
    <w:rPr>
      <w:rFonts w:ascii="Times New Roman" w:hAnsi="Times New Roman" w:eastAsia="宋体" w:cs="Times New Roman"/>
      <w:b/>
      <w:kern w:val="2"/>
      <w:sz w:val="21"/>
      <w:szCs w:val="24"/>
      <w:lang w:val="en-US" w:eastAsia="zh-CN" w:bidi="ar-SA"/>
    </w:rPr>
  </w:style>
  <w:style w:type="paragraph" w:customStyle="1" w:styleId="109">
    <w:name w:val="11表格"/>
    <w:basedOn w:val="1"/>
    <w:autoRedefine/>
    <w:qFormat/>
    <w:uiPriority w:val="0"/>
    <w:pPr>
      <w:adjustRightInd w:val="0"/>
      <w:snapToGrid w:val="0"/>
      <w:spacing w:line="440" w:lineRule="exact"/>
      <w:jc w:val="center"/>
      <w:textAlignment w:val="baseline"/>
    </w:pPr>
    <w:rPr>
      <w:snapToGrid w:val="0"/>
      <w:kern w:val="24"/>
      <w:szCs w:val="20"/>
    </w:rPr>
  </w:style>
  <w:style w:type="paragraph" w:customStyle="1" w:styleId="110">
    <w:name w:val="表格正文"/>
    <w:basedOn w:val="1"/>
    <w:next w:val="1"/>
    <w:autoRedefine/>
    <w:qFormat/>
    <w:uiPriority w:val="0"/>
    <w:pPr>
      <w:adjustRightInd w:val="0"/>
      <w:snapToGrid w:val="0"/>
      <w:jc w:val="center"/>
    </w:pPr>
    <w:rPr>
      <w:rFonts w:ascii="Times New Roman" w:hAnsi="Times New Roman"/>
      <w:szCs w:val="24"/>
    </w:rPr>
  </w:style>
  <w:style w:type="paragraph" w:customStyle="1" w:styleId="111">
    <w:name w:val="L表格内容"/>
    <w:basedOn w:val="1"/>
    <w:autoRedefine/>
    <w:qFormat/>
    <w:uiPriority w:val="0"/>
    <w:pPr>
      <w:jc w:val="center"/>
    </w:pPr>
    <w:rPr>
      <w:rFonts w:ascii="Times New Roman" w:hAnsi="Times New Roman"/>
      <w:szCs w:val="21"/>
    </w:rPr>
  </w:style>
  <w:style w:type="character" w:customStyle="1" w:styleId="112">
    <w:name w:val="报告书正文 Char Char Char Char"/>
    <w:link w:val="113"/>
    <w:autoRedefine/>
    <w:qFormat/>
    <w:uiPriority w:val="0"/>
    <w:rPr>
      <w:rFonts w:ascii="宋体" w:hAnsi="宋体"/>
      <w:sz w:val="24"/>
    </w:rPr>
  </w:style>
  <w:style w:type="paragraph" w:customStyle="1" w:styleId="113">
    <w:name w:val="报告书正文 Char Char Char"/>
    <w:basedOn w:val="1"/>
    <w:link w:val="112"/>
    <w:autoRedefine/>
    <w:qFormat/>
    <w:uiPriority w:val="0"/>
    <w:pPr>
      <w:spacing w:line="300" w:lineRule="auto"/>
      <w:ind w:firstLine="480" w:firstLineChars="200"/>
    </w:pPr>
    <w:rPr>
      <w:rFonts w:ascii="宋体" w:hAnsi="宋体" w:eastAsiaTheme="minorEastAsia" w:cstheme="minorBidi"/>
      <w:sz w:val="24"/>
    </w:rPr>
  </w:style>
  <w:style w:type="character" w:customStyle="1" w:styleId="114">
    <w:name w:val="正文缩进 Char"/>
    <w:autoRedefine/>
    <w:qFormat/>
    <w:uiPriority w:val="0"/>
    <w:rPr>
      <w:rFonts w:ascii="Times New Roman" w:hAnsi="Times New Roman"/>
      <w:sz w:val="24"/>
      <w:szCs w:val="24"/>
      <w:lang w:val="zh-CN" w:eastAsia="zh-CN"/>
    </w:rPr>
  </w:style>
  <w:style w:type="paragraph" w:customStyle="1" w:styleId="115">
    <w:name w:val="表"/>
    <w:basedOn w:val="1"/>
    <w:next w:val="1"/>
    <w:autoRedefine/>
    <w:qFormat/>
    <w:uiPriority w:val="0"/>
    <w:pPr>
      <w:wordWrap w:val="0"/>
      <w:topLinePunct/>
      <w:adjustRightInd w:val="0"/>
      <w:snapToGrid w:val="0"/>
      <w:jc w:val="center"/>
    </w:pPr>
    <w:rPr>
      <w:rFonts w:ascii="Times New Roman" w:hAnsi="Times New Roman"/>
    </w:rPr>
  </w:style>
  <w:style w:type="paragraph" w:customStyle="1" w:styleId="116">
    <w:name w:val="Default1"/>
    <w:autoRedefine/>
    <w:qFormat/>
    <w:uiPriority w:val="0"/>
    <w:pPr>
      <w:widowControl w:val="0"/>
      <w:autoSpaceDE w:val="0"/>
      <w:autoSpaceDN w:val="0"/>
      <w:adjustRightInd w:val="0"/>
    </w:pPr>
    <w:rPr>
      <w:rFonts w:ascii="宋体" w:hAnsi="Calibri" w:eastAsia="宋体" w:cs="宋体"/>
      <w:color w:val="000000"/>
      <w:kern w:val="0"/>
      <w:sz w:val="24"/>
      <w:szCs w:val="24"/>
      <w:lang w:val="en-US" w:eastAsia="zh-CN" w:bidi="ar-SA"/>
    </w:rPr>
  </w:style>
  <w:style w:type="paragraph" w:customStyle="1" w:styleId="117">
    <w:name w:val="列出段落1"/>
    <w:basedOn w:val="1"/>
    <w:autoRedefine/>
    <w:qFormat/>
    <w:uiPriority w:val="0"/>
    <w:pPr>
      <w:ind w:firstLine="420" w:firstLineChars="200"/>
      <w:jc w:val="left"/>
    </w:pPr>
    <w:rPr>
      <w:rFonts w:ascii="Times New Roman" w:hAnsi="Times New Roman"/>
      <w:kern w:val="0"/>
      <w:sz w:val="22"/>
      <w:lang w:eastAsia="en-US"/>
    </w:rPr>
  </w:style>
  <w:style w:type="character" w:customStyle="1" w:styleId="118">
    <w:name w:val="其他_"/>
    <w:basedOn w:val="35"/>
    <w:link w:val="119"/>
    <w:autoRedefine/>
    <w:qFormat/>
    <w:uiPriority w:val="0"/>
    <w:rPr>
      <w:rFonts w:ascii="宋体" w:hAnsi="宋体" w:eastAsia="宋体" w:cs="宋体"/>
      <w:sz w:val="17"/>
      <w:szCs w:val="17"/>
      <w:lang w:val="zh-CN" w:bidi="zh-CN"/>
    </w:rPr>
  </w:style>
  <w:style w:type="paragraph" w:customStyle="1" w:styleId="119">
    <w:name w:val="其他"/>
    <w:basedOn w:val="1"/>
    <w:link w:val="118"/>
    <w:autoRedefine/>
    <w:qFormat/>
    <w:uiPriority w:val="0"/>
    <w:pPr>
      <w:jc w:val="left"/>
    </w:pPr>
    <w:rPr>
      <w:rFonts w:ascii="宋体" w:hAnsi="宋体" w:cs="宋体"/>
      <w:sz w:val="17"/>
      <w:szCs w:val="17"/>
      <w:lang w:val="zh-CN" w:bidi="zh-CN"/>
    </w:rPr>
  </w:style>
  <w:style w:type="paragraph" w:customStyle="1" w:styleId="120">
    <w:name w:val="表格内文字 小5"/>
    <w:basedOn w:val="1"/>
    <w:next w:val="12"/>
    <w:autoRedefine/>
    <w:qFormat/>
    <w:uiPriority w:val="99"/>
    <w:pPr>
      <w:widowControl/>
      <w:tabs>
        <w:tab w:val="left" w:pos="3345"/>
      </w:tabs>
      <w:adjustRightInd w:val="0"/>
      <w:snapToGrid w:val="0"/>
      <w:ind w:left="-50" w:leftChars="-50" w:right="-50" w:rightChars="-50"/>
      <w:jc w:val="center"/>
    </w:pPr>
    <w:rPr>
      <w:rFonts w:ascii="Times New Roman" w:hAnsi="Times New Roman" w:cs="宋体"/>
      <w:iCs/>
      <w:snapToGrid w:val="0"/>
      <w:color w:val="000000"/>
      <w:kern w:val="0"/>
      <w:szCs w:val="18"/>
    </w:rPr>
  </w:style>
  <w:style w:type="character" w:customStyle="1" w:styleId="121">
    <w:name w:val="正本文字 Char Char"/>
    <w:link w:val="122"/>
    <w:autoRedefine/>
    <w:qFormat/>
    <w:uiPriority w:val="0"/>
    <w:rPr>
      <w:kern w:val="18"/>
      <w:sz w:val="24"/>
    </w:rPr>
  </w:style>
  <w:style w:type="paragraph" w:customStyle="1" w:styleId="122">
    <w:name w:val="正本文字"/>
    <w:basedOn w:val="1"/>
    <w:link w:val="121"/>
    <w:autoRedefine/>
    <w:qFormat/>
    <w:uiPriority w:val="0"/>
    <w:pPr>
      <w:adjustRightInd w:val="0"/>
      <w:snapToGrid w:val="0"/>
      <w:spacing w:line="500" w:lineRule="exact"/>
      <w:ind w:firstLine="200" w:firstLineChars="200"/>
      <w:jc w:val="left"/>
    </w:pPr>
    <w:rPr>
      <w:rFonts w:asciiTheme="minorHAnsi" w:hAnsiTheme="minorHAnsi" w:eastAsiaTheme="minorEastAsia" w:cstheme="minorBidi"/>
      <w:kern w:val="18"/>
      <w:sz w:val="24"/>
    </w:rPr>
  </w:style>
  <w:style w:type="paragraph" w:customStyle="1" w:styleId="123">
    <w:name w:val="612正文1"/>
    <w:basedOn w:val="1"/>
    <w:autoRedefine/>
    <w:qFormat/>
    <w:uiPriority w:val="0"/>
    <w:pPr>
      <w:adjustRightInd w:val="0"/>
      <w:snapToGrid w:val="0"/>
      <w:spacing w:line="360" w:lineRule="auto"/>
      <w:ind w:firstLine="198" w:firstLineChars="200"/>
      <w:jc w:val="left"/>
    </w:pPr>
    <w:rPr>
      <w:rFonts w:ascii="Times New Roman" w:hAnsi="Times New Roman"/>
      <w:sz w:val="24"/>
      <w:szCs w:val="24"/>
    </w:rPr>
  </w:style>
  <w:style w:type="character" w:customStyle="1" w:styleId="124">
    <w:name w:val="正文11 Char"/>
    <w:link w:val="125"/>
    <w:autoRedefine/>
    <w:qFormat/>
    <w:uiPriority w:val="0"/>
    <w:rPr>
      <w:rFonts w:ascii="Times New Roman" w:hAnsi="Times New Roman" w:eastAsia="宋体" w:cs="Times New Roman"/>
      <w:color w:val="000000"/>
      <w:sz w:val="24"/>
      <w:szCs w:val="24"/>
    </w:rPr>
  </w:style>
  <w:style w:type="paragraph" w:customStyle="1" w:styleId="125">
    <w:name w:val="正文11"/>
    <w:basedOn w:val="1"/>
    <w:link w:val="124"/>
    <w:autoRedefine/>
    <w:qFormat/>
    <w:uiPriority w:val="0"/>
    <w:pPr>
      <w:spacing w:line="360" w:lineRule="auto"/>
      <w:ind w:firstLine="480" w:firstLineChars="200"/>
    </w:pPr>
    <w:rPr>
      <w:rFonts w:ascii="Times New Roman" w:hAnsi="Times New Roman"/>
      <w:color w:val="000000"/>
      <w:sz w:val="24"/>
      <w:szCs w:val="24"/>
    </w:rPr>
  </w:style>
  <w:style w:type="paragraph" w:customStyle="1" w:styleId="126">
    <w:name w:val="中文报告书样式"/>
    <w:basedOn w:val="1"/>
    <w:autoRedefine/>
    <w:qFormat/>
    <w:uiPriority w:val="0"/>
    <w:pPr>
      <w:widowControl/>
      <w:adjustRightInd w:val="0"/>
      <w:spacing w:line="480" w:lineRule="atLeast"/>
      <w:ind w:firstLine="482"/>
      <w:jc w:val="left"/>
      <w:textAlignment w:val="baseline"/>
    </w:pPr>
    <w:rPr>
      <w:rFonts w:ascii="宋体" w:hAnsi="宋体" w:cs="宋体"/>
      <w:kern w:val="24"/>
      <w:sz w:val="24"/>
      <w:szCs w:val="24"/>
    </w:rPr>
  </w:style>
  <w:style w:type="paragraph" w:customStyle="1" w:styleId="127">
    <w:name w:val="A表内"/>
    <w:basedOn w:val="1"/>
    <w:autoRedefine/>
    <w:qFormat/>
    <w:uiPriority w:val="0"/>
    <w:pPr>
      <w:widowControl/>
      <w:spacing w:line="0" w:lineRule="atLeast"/>
      <w:jc w:val="center"/>
    </w:pPr>
    <w:rPr>
      <w:rFonts w:ascii="宋体" w:hAnsi="宋体" w:cs="宋体"/>
      <w:kern w:val="0"/>
      <w:sz w:val="24"/>
      <w:szCs w:val="20"/>
    </w:rPr>
  </w:style>
  <w:style w:type="paragraph" w:customStyle="1" w:styleId="128">
    <w:name w:val="表字体"/>
    <w:basedOn w:val="1"/>
    <w:next w:val="1"/>
    <w:autoRedefine/>
    <w:qFormat/>
    <w:uiPriority w:val="0"/>
    <w:pPr>
      <w:jc w:val="center"/>
    </w:pPr>
    <w:rPr>
      <w:rFonts w:ascii="Times New Roman" w:hAnsi="Times New Roman"/>
      <w:kern w:val="0"/>
      <w:sz w:val="20"/>
      <w:szCs w:val="20"/>
    </w:rPr>
  </w:style>
  <w:style w:type="paragraph" w:customStyle="1" w:styleId="129">
    <w:name w:val="表标题"/>
    <w:next w:val="1"/>
    <w:autoRedefine/>
    <w:qFormat/>
    <w:uiPriority w:val="0"/>
    <w:pPr>
      <w:jc w:val="center"/>
    </w:pPr>
    <w:rPr>
      <w:rFonts w:ascii="Times New Roman" w:hAnsi="Times New Roman" w:eastAsia="宋体" w:cs="Times New Roman"/>
      <w:b/>
      <w:color w:val="000000"/>
      <w:kern w:val="0"/>
      <w:sz w:val="21"/>
      <w:szCs w:val="24"/>
      <w:lang w:val="en-US" w:eastAsia="zh-CN" w:bidi="ar-SA"/>
    </w:rPr>
  </w:style>
  <w:style w:type="paragraph" w:customStyle="1" w:styleId="130">
    <w:name w:val="样式4：正文表头"/>
    <w:basedOn w:val="1"/>
    <w:next w:val="1"/>
    <w:autoRedefine/>
    <w:qFormat/>
    <w:uiPriority w:val="0"/>
    <w:pPr>
      <w:keepNext/>
      <w:keepLines/>
      <w:spacing w:line="340" w:lineRule="exact"/>
      <w:jc w:val="center"/>
    </w:pPr>
    <w:rPr>
      <w:rFonts w:ascii="黑体" w:hAnsi="黑体" w:eastAsia="黑体"/>
      <w:szCs w:val="24"/>
    </w:rPr>
  </w:style>
  <w:style w:type="paragraph" w:customStyle="1" w:styleId="131">
    <w:name w:val="【】表头"/>
    <w:basedOn w:val="1"/>
    <w:next w:val="127"/>
    <w:autoRedefine/>
    <w:qFormat/>
    <w:uiPriority w:val="0"/>
    <w:pPr>
      <w:numPr>
        <w:ilvl w:val="5"/>
        <w:numId w:val="1"/>
      </w:numPr>
      <w:spacing w:before="50" w:beforeLines="50" w:line="240" w:lineRule="atLeast"/>
      <w:jc w:val="center"/>
      <w:outlineLvl w:val="5"/>
    </w:pPr>
    <w:rPr>
      <w:rFonts w:ascii="Times New Roman" w:hAnsi="Times New Roman" w:eastAsia="黑体" w:cs="宋体"/>
      <w:sz w:val="10"/>
      <w:szCs w:val="20"/>
    </w:rPr>
  </w:style>
  <w:style w:type="character" w:customStyle="1" w:styleId="132">
    <w:name w:val="日期 字符"/>
    <w:basedOn w:val="35"/>
    <w:link w:val="18"/>
    <w:autoRedefine/>
    <w:qFormat/>
    <w:uiPriority w:val="0"/>
    <w:rPr>
      <w:rFonts w:ascii="Times New Roman" w:hAnsi="Times New Roman" w:eastAsia="宋体" w:cs="Times New Roman"/>
      <w:sz w:val="28"/>
      <w:szCs w:val="24"/>
    </w:rPr>
  </w:style>
  <w:style w:type="character" w:customStyle="1" w:styleId="133">
    <w:name w:val="批注框文本 字符"/>
    <w:basedOn w:val="35"/>
    <w:link w:val="19"/>
    <w:autoRedefine/>
    <w:qFormat/>
    <w:uiPriority w:val="0"/>
    <w:rPr>
      <w:rFonts w:ascii="Times New Roman" w:hAnsi="Times New Roman" w:eastAsia="宋体" w:cs="Times New Roman"/>
      <w:kern w:val="0"/>
      <w:sz w:val="18"/>
      <w:szCs w:val="18"/>
    </w:rPr>
  </w:style>
  <w:style w:type="paragraph" w:customStyle="1" w:styleId="134">
    <w:name w:val="样式3"/>
    <w:basedOn w:val="1"/>
    <w:autoRedefine/>
    <w:qFormat/>
    <w:uiPriority w:val="0"/>
    <w:pPr>
      <w:jc w:val="center"/>
    </w:pPr>
    <w:rPr>
      <w:rFonts w:ascii="Times New Roman" w:hAnsi="Times New Roman" w:eastAsia="黑体"/>
      <w:sz w:val="44"/>
      <w:szCs w:val="24"/>
    </w:rPr>
  </w:style>
  <w:style w:type="paragraph" w:customStyle="1" w:styleId="135">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136">
    <w:name w:val="font31"/>
    <w:basedOn w:val="35"/>
    <w:autoRedefine/>
    <w:qFormat/>
    <w:uiPriority w:val="0"/>
    <w:rPr>
      <w:rFonts w:hint="eastAsia" w:ascii="宋体" w:hAnsi="宋体" w:eastAsia="宋体"/>
      <w:color w:val="000000"/>
      <w:sz w:val="22"/>
      <w:szCs w:val="22"/>
      <w:u w:val="none"/>
    </w:rPr>
  </w:style>
  <w:style w:type="character" w:customStyle="1" w:styleId="137">
    <w:name w:val="font21"/>
    <w:basedOn w:val="35"/>
    <w:autoRedefine/>
    <w:qFormat/>
    <w:uiPriority w:val="0"/>
    <w:rPr>
      <w:rFonts w:hint="default" w:ascii="Times New Roman" w:hAnsi="Times New Roman" w:cs="Times New Roman"/>
      <w:color w:val="000000"/>
      <w:sz w:val="22"/>
      <w:szCs w:val="22"/>
      <w:u w:val="none"/>
    </w:rPr>
  </w:style>
  <w:style w:type="paragraph" w:customStyle="1" w:styleId="138">
    <w:name w:val="样式2：正文标题"/>
    <w:basedOn w:val="1"/>
    <w:autoRedefine/>
    <w:qFormat/>
    <w:uiPriority w:val="0"/>
    <w:rPr>
      <w:rFonts w:hint="eastAsia" w:ascii="Times New Roman" w:hAnsi="Times New Roman"/>
      <w:b/>
      <w:bCs/>
      <w:szCs w:val="24"/>
    </w:rPr>
  </w:style>
  <w:style w:type="paragraph" w:customStyle="1" w:styleId="139">
    <w:name w:val="正文表格"/>
    <w:basedOn w:val="1"/>
    <w:next w:val="12"/>
    <w:autoRedefine/>
    <w:qFormat/>
    <w:uiPriority w:val="0"/>
    <w:pPr>
      <w:tabs>
        <w:tab w:val="left" w:pos="1080"/>
      </w:tabs>
      <w:jc w:val="center"/>
    </w:pPr>
    <w:rPr>
      <w:rFonts w:ascii="Times New Roman" w:hAnsi="Times New Roman"/>
      <w:szCs w:val="24"/>
    </w:rPr>
  </w:style>
  <w:style w:type="character" w:customStyle="1" w:styleId="140">
    <w:name w:val="Unresolved Mention"/>
    <w:basedOn w:val="35"/>
    <w:autoRedefine/>
    <w:semiHidden/>
    <w:unhideWhenUsed/>
    <w:qFormat/>
    <w:uiPriority w:val="99"/>
    <w:rPr>
      <w:color w:val="605E5C"/>
      <w:shd w:val="clear" w:color="auto" w:fill="E1DFDD"/>
    </w:rPr>
  </w:style>
  <w:style w:type="paragraph" w:customStyle="1" w:styleId="141">
    <w:name w:val="Table Text"/>
    <w:basedOn w:val="1"/>
    <w:autoRedefine/>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6" Type="http://schemas.openxmlformats.org/officeDocument/2006/relationships/fontTable" Target="fontTable.xml"/><Relationship Id="rId85" Type="http://schemas.openxmlformats.org/officeDocument/2006/relationships/customXml" Target="../customXml/item2.xml"/><Relationship Id="rId84" Type="http://schemas.openxmlformats.org/officeDocument/2006/relationships/numbering" Target="numbering.xml"/><Relationship Id="rId83" Type="http://schemas.openxmlformats.org/officeDocument/2006/relationships/customXml" Target="../customXml/item1.xml"/><Relationship Id="rId82" Type="http://schemas.openxmlformats.org/officeDocument/2006/relationships/image" Target="media/image68.png"/><Relationship Id="rId81" Type="http://schemas.openxmlformats.org/officeDocument/2006/relationships/image" Target="media/image67.png"/><Relationship Id="rId80" Type="http://schemas.openxmlformats.org/officeDocument/2006/relationships/image" Target="media/image66.png"/><Relationship Id="rId8" Type="http://schemas.openxmlformats.org/officeDocument/2006/relationships/image" Target="media/image4.jpeg"/><Relationship Id="rId79" Type="http://schemas.openxmlformats.org/officeDocument/2006/relationships/image" Target="http://www.biaozhi.net/enews/UploadFiles/smallImg/786.gif" TargetMode="External"/><Relationship Id="rId78" Type="http://schemas.openxmlformats.org/officeDocument/2006/relationships/image" Target="media/image65.png"/><Relationship Id="rId77" Type="http://schemas.openxmlformats.org/officeDocument/2006/relationships/image" Target="http://www.biaozhi.net/enews/UploadFiles/smallImg/785.gif" TargetMode="External"/><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png"/><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image" Target="media/image3.png"/><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jpe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emf"/><Relationship Id="rId60" Type="http://schemas.openxmlformats.org/officeDocument/2006/relationships/oleObject" Target="embeddings/oleObject5.bin"/><Relationship Id="rId6" Type="http://schemas.openxmlformats.org/officeDocument/2006/relationships/image" Target="media/image2.png"/><Relationship Id="rId59" Type="http://schemas.openxmlformats.org/officeDocument/2006/relationships/image" Target="media/image48.emf"/><Relationship Id="rId58" Type="http://schemas.openxmlformats.org/officeDocument/2006/relationships/oleObject" Target="embeddings/oleObject4.bin"/><Relationship Id="rId57" Type="http://schemas.openxmlformats.org/officeDocument/2006/relationships/image" Target="media/image47.png"/><Relationship Id="rId56" Type="http://schemas.openxmlformats.org/officeDocument/2006/relationships/image" Target="media/image46.png"/><Relationship Id="rId55" Type="http://schemas.openxmlformats.org/officeDocument/2006/relationships/image" Target="media/image45.png"/><Relationship Id="rId54" Type="http://schemas.openxmlformats.org/officeDocument/2006/relationships/image" Target="media/image44.png"/><Relationship Id="rId53" Type="http://schemas.openxmlformats.org/officeDocument/2006/relationships/image" Target="media/image43.png"/><Relationship Id="rId52" Type="http://schemas.openxmlformats.org/officeDocument/2006/relationships/image" Target="media/image42.png"/><Relationship Id="rId51" Type="http://schemas.openxmlformats.org/officeDocument/2006/relationships/image" Target="media/image41.png"/><Relationship Id="rId50" Type="http://schemas.openxmlformats.org/officeDocument/2006/relationships/image" Target="media/image40.png"/><Relationship Id="rId5" Type="http://schemas.openxmlformats.org/officeDocument/2006/relationships/image" Target="media/image1.emf"/><Relationship Id="rId49" Type="http://schemas.openxmlformats.org/officeDocument/2006/relationships/image" Target="media/image39.png"/><Relationship Id="rId48" Type="http://schemas.openxmlformats.org/officeDocument/2006/relationships/image" Target="media/image38.png"/><Relationship Id="rId47" Type="http://schemas.openxmlformats.org/officeDocument/2006/relationships/image" Target="media/image37.jpeg"/><Relationship Id="rId46" Type="http://schemas.openxmlformats.org/officeDocument/2006/relationships/image" Target="media/image36.jpeg"/><Relationship Id="rId45" Type="http://schemas.openxmlformats.org/officeDocument/2006/relationships/image" Target="media/image35.wmf"/><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theme" Target="theme/theme1.xml"/><Relationship Id="rId39" Type="http://schemas.openxmlformats.org/officeDocument/2006/relationships/image" Target="media/image29.wmf"/><Relationship Id="rId38" Type="http://schemas.openxmlformats.org/officeDocument/2006/relationships/oleObject" Target="embeddings/oleObject3.bin"/><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emf"/><Relationship Id="rId34" Type="http://schemas.openxmlformats.org/officeDocument/2006/relationships/oleObject" Target="embeddings/oleObject2.bin"/><Relationship Id="rId33" Type="http://schemas.openxmlformats.org/officeDocument/2006/relationships/image" Target="media/image25.emf"/><Relationship Id="rId32" Type="http://schemas.openxmlformats.org/officeDocument/2006/relationships/package" Target="embeddings/Microsoft_Visio___3.vsdx"/><Relationship Id="rId31" Type="http://schemas.openxmlformats.org/officeDocument/2006/relationships/image" Target="media/image24.emf"/><Relationship Id="rId30" Type="http://schemas.openxmlformats.org/officeDocument/2006/relationships/package" Target="embeddings/Microsoft_Visio___2.vsdx"/><Relationship Id="rId3" Type="http://schemas.openxmlformats.org/officeDocument/2006/relationships/footer" Target="footer1.xml"/><Relationship Id="rId29" Type="http://schemas.openxmlformats.org/officeDocument/2006/relationships/image" Target="media/image23.emf"/><Relationship Id="rId28" Type="http://schemas.openxmlformats.org/officeDocument/2006/relationships/oleObject" Target="embeddings/oleObject1.bin"/><Relationship Id="rId27" Type="http://schemas.openxmlformats.org/officeDocument/2006/relationships/image" Target="media/image22.emf"/><Relationship Id="rId26" Type="http://schemas.openxmlformats.org/officeDocument/2006/relationships/package" Target="embeddings/Microsoft_Visio___1.vsdx"/><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FC3AF10-7F60-4660-9B89-0B1F4347FD7A}">
  <ds:schemaRefs/>
</ds:datastoreItem>
</file>

<file path=docProps/app.xml><?xml version="1.0" encoding="utf-8"?>
<Properties xmlns="http://schemas.openxmlformats.org/officeDocument/2006/extended-properties" xmlns:vt="http://schemas.openxmlformats.org/officeDocument/2006/docPropsVTypes">
  <Template>Normal</Template>
  <Pages>319</Pages>
  <Words>8154</Words>
  <Characters>8941</Characters>
  <Lines>1553</Lines>
  <Paragraphs>437</Paragraphs>
  <TotalTime>39</TotalTime>
  <ScaleCrop>false</ScaleCrop>
  <LinksUpToDate>false</LinksUpToDate>
  <CharactersWithSpaces>9064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2023-08-02T14:09:00Z</dcterms:created>
  <dc:creator>李 益</dc:creator>
  <cp:lastModifiedBy>邓婷</cp:lastModifiedBy>
  <cp:lastPrinted>2023-08-02T16:03:00Z</cp:lastPrinted>
  <dcterms:modified xsi:type="dcterms:W3CDTF">2025-03-31T08:06:26Z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60B31B9F2DEA41548DBDB8B3EB5FF9D9_13</vt:lpwstr>
  </property>
  <property fmtid="{D5CDD505-2E9C-101B-9397-08002B2CF9AE}" pid="4" name="KSOTemplateDocerSaveRecord">
    <vt:lpwstr>eyJoZGlkIjoiNGVjNjQ0YjVhYThkMDdhYWZkMzEwNTJmOGFjMTE3YjEiLCJ1c2VySWQiOiIxMDY5MjgzMDcxIn0=</vt:lpwstr>
  </property>
</Properties>
</file>