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jc w:val="left"/>
              <w:rPr>
                <w:rFonts w:asciiTheme="minorEastAsia" w:hAnsiTheme="minorEastAsia"/>
                <w:sz w:val="28"/>
                <w:szCs w:val="28"/>
              </w:rPr>
            </w:pPr>
            <w:r>
              <w:rPr>
                <w:rFonts w:ascii="宋体" w:hAnsi="宋体" w:eastAsia="宋体" w:cs="宋体"/>
                <w:sz w:val="24"/>
                <w:szCs w:val="24"/>
              </w:rPr>
              <w:t>中海油湖南销售有限公司祁东县祁丰大道加油站防渗漏检测、液位检测装置未按国家标准设置不间断电源案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pPr>
              <w:jc w:val="center"/>
              <w:rPr>
                <w:rFonts w:hint="eastAsia" w:eastAsia="宋体" w:asciiTheme="minorEastAsia" w:hAnsiTheme="minorEastAsia"/>
                <w:sz w:val="28"/>
                <w:szCs w:val="28"/>
                <w:lang w:eastAsia="zh-CN"/>
              </w:rPr>
            </w:pPr>
            <w:r>
              <w:rPr>
                <w:rFonts w:ascii="宋体" w:hAnsi="宋体" w:eastAsia="宋体" w:cs="宋体"/>
                <w:sz w:val="28"/>
                <w:szCs w:val="28"/>
              </w:rPr>
              <w:t>（湘衡）应急罚〔2024〕执法-</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pPr>
              <w:jc w:val="center"/>
              <w:rPr>
                <w:rFonts w:asciiTheme="minorEastAsia" w:hAnsiTheme="minorEastAsia"/>
                <w:sz w:val="28"/>
                <w:szCs w:val="28"/>
              </w:rPr>
            </w:pPr>
            <w:r>
              <w:rPr>
                <w:rFonts w:hint="eastAsia" w:asciiTheme="minorEastAsia" w:hAnsiTheme="minorEastAsia"/>
                <w:sz w:val="28"/>
                <w:szCs w:val="2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pPr>
              <w:jc w:val="center"/>
              <w:rPr>
                <w:rFonts w:asciiTheme="minorEastAsia" w:hAnsiTheme="minorEastAsia"/>
                <w:sz w:val="28"/>
                <w:szCs w:val="28"/>
              </w:rPr>
            </w:pPr>
            <w:r>
              <w:rPr>
                <w:rFonts w:ascii="宋体" w:hAnsi="宋体" w:eastAsia="宋体" w:cs="宋体"/>
                <w:sz w:val="24"/>
                <w:szCs w:val="24"/>
              </w:rPr>
              <w:t>中海油湖南销售有限公司祁东县祁丰大道加油站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pPr>
              <w:jc w:val="center"/>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14</w:t>
            </w:r>
            <w:r>
              <w:rPr>
                <w:rFonts w:hint="eastAsia" w:asciiTheme="minorEastAsia" w:hAnsi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违法事实及证据</w:t>
            </w:r>
          </w:p>
        </w:tc>
        <w:tc>
          <w:tcPr>
            <w:tcW w:w="6996" w:type="dxa"/>
            <w:vAlign w:val="center"/>
          </w:tcPr>
          <w:p>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日，我局对</w:t>
            </w:r>
            <w:r>
              <w:rPr>
                <w:rFonts w:ascii="宋体" w:hAnsi="宋体" w:eastAsia="宋体" w:cs="宋体"/>
                <w:sz w:val="24"/>
                <w:szCs w:val="24"/>
              </w:rPr>
              <w:t>中海油湖南销售有限公司祁东县祁丰大道加油站防渗漏检测、液位检测装置未按国家标准设置不间断电源</w:t>
            </w:r>
            <w:r>
              <w:rPr>
                <w:rFonts w:hint="eastAsia" w:ascii="宋体" w:hAnsi="宋体" w:eastAsia="宋体" w:cs="宋体"/>
                <w:sz w:val="24"/>
                <w:szCs w:val="24"/>
              </w:rPr>
              <w:t>的违法行为依法立案调查。经查，</w:t>
            </w:r>
            <w:r>
              <w:rPr>
                <w:rFonts w:ascii="宋体" w:hAnsi="宋体" w:eastAsia="宋体" w:cs="宋体"/>
                <w:sz w:val="24"/>
                <w:szCs w:val="24"/>
              </w:rPr>
              <w:t>该加油站存在防渗漏检测、液位检测装置未按国家标准设置不间断电源的行为属实</w:t>
            </w:r>
            <w:r>
              <w:rPr>
                <w:rFonts w:hint="eastAsia" w:ascii="宋体" w:hAnsi="宋体" w:eastAsia="宋体" w:cs="宋体"/>
                <w:sz w:val="24"/>
                <w:szCs w:val="24"/>
                <w:lang w:eastAsia="zh-CN"/>
              </w:rPr>
              <w:t>。</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主要证据：证据一：</w:t>
            </w:r>
            <w:r>
              <w:rPr>
                <w:rFonts w:hint="eastAsia" w:ascii="宋体" w:hAnsi="宋体" w:eastAsia="宋体" w:cs="宋体"/>
                <w:sz w:val="24"/>
                <w:szCs w:val="24"/>
                <w:lang w:eastAsia="zh-CN"/>
              </w:rPr>
              <w:t>该加油站</w:t>
            </w:r>
            <w:r>
              <w:rPr>
                <w:rFonts w:hint="eastAsia" w:ascii="宋体" w:hAnsi="宋体" w:eastAsia="宋体" w:cs="宋体"/>
                <w:sz w:val="24"/>
                <w:szCs w:val="24"/>
              </w:rPr>
              <w:t>营业执照、危险化学品经营许可证复印件各一份、站长罗斌和安全管理人员曹带丽身份证及管理能力资格证复印件各一份、经加油站法人委托授权罗斌签字确认，证明</w:t>
            </w:r>
            <w:r>
              <w:rPr>
                <w:rFonts w:hint="eastAsia" w:ascii="宋体" w:hAnsi="宋体" w:eastAsia="宋体" w:cs="宋体"/>
                <w:sz w:val="24"/>
                <w:szCs w:val="24"/>
                <w:lang w:eastAsia="zh-CN"/>
              </w:rPr>
              <w:t>该</w:t>
            </w:r>
            <w:r>
              <w:rPr>
                <w:rFonts w:hint="eastAsia" w:ascii="宋体" w:hAnsi="宋体" w:eastAsia="宋体" w:cs="宋体"/>
                <w:sz w:val="24"/>
                <w:szCs w:val="24"/>
              </w:rPr>
              <w:t>加油站市场主体具有相应的民事行为能力、市场主体依法设立。 证据二：《现场检查记录》和《责令限期整改指令书》 各1份，经</w:t>
            </w:r>
            <w:r>
              <w:rPr>
                <w:rFonts w:hint="eastAsia" w:ascii="宋体" w:hAnsi="宋体" w:eastAsia="宋体" w:cs="宋体"/>
                <w:sz w:val="24"/>
                <w:szCs w:val="24"/>
                <w:lang w:eastAsia="zh-CN"/>
              </w:rPr>
              <w:t>该</w:t>
            </w:r>
            <w:r>
              <w:rPr>
                <w:rFonts w:hint="eastAsia" w:ascii="宋体" w:hAnsi="宋体" w:eastAsia="宋体" w:cs="宋体"/>
                <w:sz w:val="24"/>
                <w:szCs w:val="24"/>
              </w:rPr>
              <w:t>加油站站长罗斌签字确认，证明你单位防渗漏检测、液位检测装置未按国家标准设置不间断电源的违法事实存在。证据三：现场检查拍摄</w:t>
            </w:r>
            <w:r>
              <w:rPr>
                <w:rFonts w:hint="eastAsia" w:ascii="宋体" w:hAnsi="宋体" w:eastAsia="宋体" w:cs="宋体"/>
                <w:sz w:val="24"/>
                <w:szCs w:val="24"/>
                <w:lang w:eastAsia="zh-CN"/>
              </w:rPr>
              <w:t>该</w:t>
            </w:r>
            <w:r>
              <w:rPr>
                <w:rFonts w:hint="eastAsia" w:ascii="宋体" w:hAnsi="宋体" w:eastAsia="宋体" w:cs="宋体"/>
                <w:sz w:val="24"/>
                <w:szCs w:val="24"/>
              </w:rPr>
              <w:t>加油站防渗漏检测和液位检测装置照片二张，经加油站站长罗斌签字确认，证明检查当日你单位防渗漏检测、液位检测装置未按国家标准设置不间断电源。证据四：</w:t>
            </w:r>
            <w:r>
              <w:rPr>
                <w:rFonts w:hint="eastAsia" w:ascii="宋体" w:hAnsi="宋体" w:eastAsia="宋体" w:cs="宋体"/>
                <w:sz w:val="24"/>
                <w:szCs w:val="24"/>
                <w:lang w:eastAsia="zh-CN"/>
              </w:rPr>
              <w:t>该</w:t>
            </w:r>
            <w:r>
              <w:rPr>
                <w:rFonts w:hint="eastAsia" w:ascii="宋体" w:hAnsi="宋体" w:eastAsia="宋体" w:cs="宋体"/>
                <w:sz w:val="24"/>
                <w:szCs w:val="24"/>
              </w:rPr>
              <w:t>加油站站长罗斌和安全员曹带丽的《调查询问笔录》2份，经当事人签名摁手印确认，证明你单位防渗漏检测、液位检测装置未按国家标准设置不间断电源。证据五：《汽车加油加气加氢站技术标准》（GB50156-2021）“第13.4.5点摘录，证明加油站防渗漏检测、液位检测装置应当设置不间断电源。证据六：授权委托书，由加油站法定</w:t>
            </w:r>
            <w:bookmarkStart w:id="0" w:name="_GoBack"/>
            <w:bookmarkEnd w:id="0"/>
            <w:r>
              <w:rPr>
                <w:rFonts w:hint="eastAsia" w:ascii="宋体" w:hAnsi="宋体" w:eastAsia="宋体" w:cs="宋体"/>
                <w:sz w:val="24"/>
                <w:szCs w:val="24"/>
              </w:rPr>
              <w:t>代表人姜宏伟授权该加油站站长罗斌对相关执法文书进行签字，证明执法文书经被授权人确认签字符合法定要求。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《中华人民共和国安全生产法》第九十九条第二项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6" w:type="dxa"/>
            <w:vAlign w:val="center"/>
          </w:tcPr>
          <w:p>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宋体" w:hAnsi="宋体" w:eastAsia="宋体" w:cs="宋体"/>
                <w:sz w:val="24"/>
                <w:szCs w:val="24"/>
                <w:lang w:eastAsia="zh-CN"/>
              </w:rPr>
              <w:t>决定对</w:t>
            </w:r>
            <w:r>
              <w:rPr>
                <w:rFonts w:ascii="宋体" w:hAnsi="宋体" w:eastAsia="宋体" w:cs="宋体"/>
                <w:sz w:val="24"/>
                <w:szCs w:val="24"/>
              </w:rPr>
              <w:t>中海油湖南销售有限公司祁东县祁丰大道加油站</w:t>
            </w:r>
            <w:r>
              <w:rPr>
                <w:rFonts w:hint="eastAsia" w:ascii="宋体" w:hAnsi="宋体" w:eastAsia="宋体" w:cs="宋体"/>
                <w:sz w:val="24"/>
                <w:szCs w:val="24"/>
                <w:lang w:eastAsia="zh-CN"/>
              </w:rPr>
              <w:t>作出处人民币贰万元整罚款的行政处罚</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衡阳市应急管理综合行政执法支队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OTA1OTQ0Yjc2ZWZkMTE3NDJmYWM3NzEzZmUzODM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6DC215F"/>
    <w:rsid w:val="15B41350"/>
    <w:rsid w:val="20411C7D"/>
    <w:rsid w:val="22830A28"/>
    <w:rsid w:val="23122E28"/>
    <w:rsid w:val="2A214663"/>
    <w:rsid w:val="2BDA1147"/>
    <w:rsid w:val="2DA11F59"/>
    <w:rsid w:val="37C84922"/>
    <w:rsid w:val="4A027CAE"/>
    <w:rsid w:val="629B4EF5"/>
    <w:rsid w:val="69431305"/>
    <w:rsid w:val="69EE301F"/>
    <w:rsid w:val="716A5681"/>
    <w:rsid w:val="7D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785</Words>
  <Characters>814</Characters>
  <Lines>1</Lines>
  <Paragraphs>1</Paragraphs>
  <TotalTime>22</TotalTime>
  <ScaleCrop>false</ScaleCrop>
  <LinksUpToDate>false</LinksUpToDate>
  <CharactersWithSpaces>817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李军1</cp:lastModifiedBy>
  <cp:lastPrinted>2024-05-08T02:56:00Z</cp:lastPrinted>
  <dcterms:modified xsi:type="dcterms:W3CDTF">2024-06-14T08:56:12Z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053D08609B2749E7A3A667D23D6206C2_13</vt:lpwstr>
  </property>
</Properties>
</file>