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</w:t>
      </w:r>
    </w:p>
    <w:p>
      <w:pPr>
        <w:widowControl/>
        <w:tabs>
          <w:tab w:val="left" w:pos="1701"/>
        </w:tabs>
        <w:spacing w:line="580" w:lineRule="exact"/>
        <w:jc w:val="center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2024年市本级各区域单元烟草制品零售点规划数（调整）</w:t>
      </w:r>
    </w:p>
    <w:tbl>
      <w:tblPr>
        <w:tblpPr w:leftFromText="180" w:rightFromText="180" w:vertAnchor="text" w:horzAnchor="page" w:tblpXSpec="center" w:tblpY="55"/>
        <w:tblOverlap w:val="never"/>
        <w:tblW w:w="9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25"/>
        <w:gridCol w:w="1195"/>
        <w:gridCol w:w="5070"/>
        <w:gridCol w:w="1535"/>
      </w:tblGrid>
      <w:tr>
        <w:trPr>
          <w:trHeight w:val="43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单元片区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片区范围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零售点规划数</w:t>
            </w:r>
          </w:p>
        </w:tc>
      </w:tr>
      <w:tr>
        <w:trPr>
          <w:trHeight w:val="70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石鼓区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常胜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船山大道以南→蒸阳北路以西→常胜路以北→蒸湘北路以东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83</w:t>
            </w:r>
          </w:p>
        </w:tc>
      </w:tr>
      <w:tr>
        <w:trPr>
          <w:trHeight w:val="545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石鼓区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合江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北二环以南→湘江以西→蒸水、衡长路及其延长线以北→蒸湘北路以东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131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石鼓区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黄沙湾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北二环以南→蒸阳北路以西→蒸水以北→蔡伦大道以东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161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石鼓区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角山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北二环以北、南岳高速以西的角山乡行政区域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87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石鼓区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进步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常胜路、茅盖台路以南→湘江以西→解放大道以北→蒸阳北路以东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95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石鼓区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莲湖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常胜路以南→蒸阳北路以西→解放大道以北→蒸湘北路以东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72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石鼓区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司前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船山大道以南→湘江以西→常胜路、茅盖台路以北→蒸阳北路以东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130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石鼓区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松木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北二环以北、南岳高速以东的石鼓区部分行政区域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69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石鼓区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五一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衡长路及其延长线以南→五一路以西→蒸水以北→蒸阳北路以东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136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石鼓区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西湖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蒸水以南→蒸阳北路以西→船山大道以北→蒸湘北路以东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85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石鼓区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潇湘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蒸水以南→湘江以西→船山大道以北→蒸阳北路以东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140</w:t>
            </w:r>
          </w:p>
        </w:tc>
      </w:tr>
      <w:tr>
        <w:trPr>
          <w:trHeight w:val="6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石鼓区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杨岭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蒸水以北、蔡伦大道以西与北二环围城的区域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（不含华耀城区域）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55</w:t>
            </w:r>
          </w:p>
        </w:tc>
      </w:tr>
      <w:tr>
        <w:trPr>
          <w:trHeight w:val="605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石鼓区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华耀城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惜香路</w:t>
            </w: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以南→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江岭路（市气象局对面）</w:t>
            </w: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以西→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凤凰西路</w:t>
            </w: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以北→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长丰大道</w:t>
            </w: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75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雁峰区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白沙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东二环、白沙大道以西→回雁路、黄白路以北与湘江围城的区域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57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雁峰区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工业园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南二环以南，湘江以北的雁峰区部分行政区域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77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雁峰区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广场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解放大道以南→蒸阳南路以西→雁城路以北→蒸湘南路以东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84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cs="等线"/>
                <w:kern w:val="0"/>
                <w:szCs w:val="21"/>
              </w:rPr>
              <w:t>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 w:hint="eastAsia"/>
                <w:kern w:val="0"/>
                <w:szCs w:val="21"/>
              </w:rPr>
              <w:t>雁峰区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 w:hint="eastAsia"/>
                <w:kern w:val="0"/>
                <w:szCs w:val="21"/>
              </w:rPr>
              <w:t>黄茶岭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 w:hint="eastAsia"/>
                <w:kern w:val="0"/>
                <w:szCs w:val="21"/>
              </w:rPr>
              <w:t>拥军路、黄茶路以南→湘江、东二环以西→南二环以北→蒸湘南路以东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146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cs="等线"/>
                <w:kern w:val="0"/>
                <w:szCs w:val="21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 w:hint="eastAsia"/>
                <w:kern w:val="0"/>
                <w:szCs w:val="21"/>
              </w:rPr>
              <w:t>雁峰区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 w:hint="eastAsia"/>
                <w:kern w:val="0"/>
                <w:szCs w:val="21"/>
              </w:rPr>
              <w:t>雁南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 w:hint="eastAsia"/>
                <w:kern w:val="0"/>
                <w:szCs w:val="21"/>
              </w:rPr>
              <w:t>南二环以南→蒸阳南路以西→南三环以北→蒸湘、雁峰区行政边界以东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58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雁峰区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朔田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回雁路、黄白路、南二环以南→湘江、白沙大道以西→南三环以北→蒸湘南路、东二环以东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108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雁峰区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先锋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解放大道以南→湘江以西→雁城路路以北→蒸阳南路以东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163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雁峰区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雁峰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雁城路以南→湘江以西→衡州大道以北→蒸湘南路以东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106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雁峰区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拥军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衡州大道以南→湘江以西→拥军路、黄茶路以北→蒸湘南路以东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84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雁峰区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隆桥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拥军路以南→蒸阳南路以西→南二环以北→蒸湘南路以东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65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雁峰区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湘江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蒸湘南路以西、南二环以北与蒸湘、雁峰区行政边界围城的区域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37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大立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蒸水以南→蔡伦大道以西→船山大道以北→长丰大道以东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90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呆鹰岭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呆鹰岭镇行政区域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(蒸水以西)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18</w:t>
            </w:r>
            <w:r>
              <w:rPr>
                <w:rFonts w:ascii="仿宋_GB2312" w:eastAsia="仿宋_GB2312"/>
                <w:color w:val="000000"/>
                <w:szCs w:val="21"/>
              </w:rPr>
              <w:t>3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cs="等线"/>
                <w:kern w:val="0"/>
                <w:szCs w:val="21"/>
              </w:rPr>
              <w:t>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 w:hint="eastAsia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 w:hint="eastAsia"/>
                <w:kern w:val="0"/>
                <w:szCs w:val="21"/>
              </w:rPr>
              <w:t>光辉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 w:hint="eastAsia"/>
                <w:kern w:val="0"/>
                <w:szCs w:val="21"/>
              </w:rPr>
              <w:t>解放大道以南→长丰大道以西→衡州大道以北→西二环以东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57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衡钢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湘桂铁路以南→蒸湘南路以西→蒸湘、雁峰区行政边界以北→雨母山乡行政边界以东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95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红湖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蒸水以南→蒸湘北路以西→船山大道以北→红湘北路以东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98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红湘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船山大道以南→红湘北路以西→解放大道以北→蔡伦大道以东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111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互助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衡州大道以南→蔡伦大道以西→湘桂铁路以北→西二环以东</w:t>
            </w:r>
            <w:r>
              <w:rPr>
                <w:rFonts w:ascii="仿宋_GB2312" w:eastAsia="仿宋_GB2312" w:cs="等线" w:hint="eastAsia"/>
                <w:kern w:val="0"/>
                <w:szCs w:val="21"/>
              </w:rPr>
              <w:t>（含西二环以西部分区域）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36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立新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蒸水以南→红湘北路以西→船山大道以北→蔡伦大道以东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204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联合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解放大道以南→红湘南路以西→衡州大道以北→蔡伦大道以东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133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陆家新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蒸水以南→蒸水南路以西→衡州大道以北→雨母山乡行政边界以东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55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三江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船山大道以南→长丰大道以西→祝融路以北→西二环以东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79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石坳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解放大道以南→蒸湘南路以西→衡州大道以北→红湘南路以东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117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市府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祝融路以南→蔡伦大道以西→解放大道以北→长丰大道以东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/>
                <w:color w:val="000000"/>
                <w:szCs w:val="21"/>
              </w:rPr>
              <w:t>3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市委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祝融路以南→长丰大道以西→解放大道以北→西二环以东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103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松亭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船山大道以北、长丰大道以西与蒸水围城的区域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117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太平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船山大道以南→蒸湘北路以西→解放大道以北→红湘北路以东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119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雨母山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雨母山乡行政区域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60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长湖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szCs w:val="21"/>
              </w:rPr>
              <w:t>船山大道以南→蔡伦大道以西→祝融路以北→长丰大道以东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长胜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解放大道以南→蔡伦大道以西→衡州大道以北→长丰大道以东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111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柘里渡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船山大道以南→西二环以西→祝融路以北→蒸水以东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蒸水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解放大道以南→西二环以西→衡州大道以北→蒸水南路以东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94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蒸湘区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祝融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祝融路以南→西二环以西→解放大道以北→蒸水以东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97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珠晖区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茶山坳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湘江以东、耒水以北与珠晖区行政边界围城的区域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115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珠晖区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东风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珠梓巷、安全里以南→京广铁路以西→广东路及其延长线、衡阳火车站（不含）以北→湘江以东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118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珠晖区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东阳渡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泉南高速以南的东阳渡街道的行政区域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203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珠晖区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和平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船山东路以南→耒水、衡茶路、英发学校（含）以西→</w:t>
            </w:r>
            <w:r>
              <w:rPr>
                <w:rFonts w:ascii="仿宋_GB2312" w:eastAsia="仿宋_GB2312" w:cs="等线" w:hint="eastAsia"/>
                <w:kern w:val="0"/>
                <w:szCs w:val="21"/>
              </w:rPr>
              <w:t>衡州大道以北→京广铁路以东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115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珠晖区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荷花坪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衡州大道以南、湘江以东、东二环以西与湘桂铁路、京广铁路围城的区域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66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cs="等线"/>
                <w:kern w:val="0"/>
                <w:szCs w:val="21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 w:hint="eastAsia"/>
                <w:kern w:val="0"/>
                <w:szCs w:val="21"/>
              </w:rPr>
              <w:t>珠晖区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 w:hint="eastAsia"/>
                <w:kern w:val="0"/>
                <w:szCs w:val="21"/>
              </w:rPr>
              <w:t>衡茶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 w:hint="eastAsia"/>
                <w:kern w:val="0"/>
                <w:szCs w:val="21"/>
              </w:rPr>
              <w:t>衡州大道以北、衡茶路、英发学校以东与耒水围城的区域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104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珠晖区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酃湖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衡州大道以南→耒水以西→酃湖路以北→衡茶路以东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71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珠晖区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苗圃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 w:hint="eastAsia"/>
                <w:kern w:val="0"/>
                <w:szCs w:val="21"/>
              </w:rPr>
              <w:t>衡州大道以南、衡茶路以西与京广铁路围城的区域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124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珠晖区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桥头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船山东路以南→京广铁路以西→珠梓巷、安全里以北→湘江以东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73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珠晖区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三角线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广东路及其延长线、衡阳火车站（含）以南→京广铁路以西→衡州大道以北→湘江以东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89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珠晖区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王江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衡州路街道行政区域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25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珠晖区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冶金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衡州大道以南、京广铁路以西与湘桂铁路围城的区域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83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珠晖区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粤新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船山东路以北与耒水、湘江围城的区域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38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珠晖区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珠晖南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酃湖路以南→耒水以西→泉南高速以北→湘江、东二环以东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161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szCs w:val="21"/>
              </w:rPr>
              <w:t>6</w:t>
            </w:r>
            <w:r>
              <w:rPr>
                <w:rFonts w:ascii="仿宋_GB2312" w:eastAsia="仿宋_GB2312" w:cs="等线"/>
                <w:color w:val="000000"/>
                <w:szCs w:val="21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/>
                <w:kern w:val="0"/>
                <w:szCs w:val="21"/>
              </w:rPr>
              <w:t>雁峰</w:t>
            </w:r>
            <w:r>
              <w:rPr>
                <w:rFonts w:ascii="仿宋_GB2312" w:eastAsia="仿宋_GB2312" w:cs="等线" w:hint="eastAsia"/>
                <w:kern w:val="0"/>
                <w:szCs w:val="21"/>
              </w:rPr>
              <w:t>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szCs w:val="21"/>
              </w:rPr>
            </w:pPr>
            <w:r>
              <w:rPr>
                <w:rFonts w:ascii="仿宋_GB2312" w:eastAsia="仿宋_GB2312" w:cs="等线"/>
                <w:kern w:val="0"/>
                <w:szCs w:val="21"/>
              </w:rPr>
              <w:t>东洲岛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东洲岛全岛（不含岸边配套区域）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szCs w:val="21"/>
              </w:rPr>
              <w:t>6</w:t>
            </w:r>
            <w:r>
              <w:rPr>
                <w:rFonts w:ascii="仿宋_GB2312" w:eastAsia="仿宋_GB2312" w:cs="等线"/>
                <w:color w:val="000000"/>
                <w:szCs w:val="21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cs="等线"/>
                <w:kern w:val="0"/>
                <w:szCs w:val="21"/>
              </w:rPr>
              <w:t>石鼓区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 w:val="18"/>
                <w:szCs w:val="18"/>
              </w:rPr>
            </w:pPr>
            <w:r>
              <w:rPr>
                <w:rFonts w:ascii="仿宋_GB2312" w:eastAsia="仿宋_GB2312" w:cs="等线"/>
                <w:kern w:val="0"/>
                <w:sz w:val="18"/>
                <w:szCs w:val="18"/>
              </w:rPr>
              <w:t>雁北监狱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雁北监狱内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</w:tr>
      <w:tr>
        <w:trPr>
          <w:trHeight w:val="624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szCs w:val="21"/>
              </w:rPr>
              <w:t>6</w:t>
            </w:r>
            <w:r>
              <w:rPr>
                <w:rFonts w:ascii="仿宋_GB2312" w:eastAsia="仿宋_GB2312" w:cs="等线"/>
                <w:color w:val="000000"/>
                <w:szCs w:val="21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cs="等线"/>
                <w:kern w:val="0"/>
                <w:szCs w:val="21"/>
              </w:rPr>
              <w:t>雁峰区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 w:val="18"/>
                <w:szCs w:val="18"/>
              </w:rPr>
            </w:pPr>
            <w:r>
              <w:rPr>
                <w:rFonts w:ascii="仿宋_GB2312" w:eastAsia="仿宋_GB2312" w:cs="等线"/>
                <w:kern w:val="0"/>
                <w:sz w:val="18"/>
                <w:szCs w:val="18"/>
              </w:rPr>
              <w:t>雁南监狱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Cs w:val="21"/>
              </w:rPr>
              <w:t>雁南监狱内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等线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</w:tr>
    </w:tbl>
    <w:p/>
    <w:p>
      <w:pPr>
        <w:snapToGrid w:val="0"/>
        <w:spacing w:line="360" w:lineRule="auto"/>
        <w:ind w:firstLineChars="100" w:firstLine="320"/>
        <w:jc w:val="left"/>
        <w:rPr>
          <w:rFonts w:ascii="仿宋_GB2312" w:hAnsi="仿宋_GB2312"/>
          <w:color w:val="000000"/>
          <w:szCs w:val="32"/>
        </w:rPr>
      </w:pPr>
      <w:r>
        <w:rPr>
          <w:rFonts w:ascii="仿宋_GB2312" w:eastAsia="仿宋_GB2312" w:cs="Times New Roman"/>
          <w:color w:val="000000"/>
          <w:sz w:val="32"/>
          <w:szCs w:val="32"/>
        </w:rPr>
        <w:t xml:space="preserve"> </w:t>
      </w:r>
    </w:p>
    <w:p>
      <w:pPr>
        <w:snapToGrid w:val="0"/>
        <w:spacing w:line="360" w:lineRule="auto"/>
        <w:ind w:firstLineChars="100" w:firstLine="210"/>
        <w:rPr>
          <w:rFonts w:ascii="仿宋_GB2312" w:hAnsi="仿宋_GB2312"/>
          <w:color w:val="000000"/>
          <w:szCs w:val="32"/>
        </w:rPr>
      </w:pPr>
      <w:r>
        <w:rPr>
          <w:rFonts w:ascii="仿宋_GB2312" w:hAnsi="仿宋_GB2312" w:hint="eastAsia"/>
          <w:color w:val="000000"/>
          <w:szCs w:val="32"/>
        </w:rPr>
        <w:t xml:space="preserve">  </w:t>
      </w:r>
    </w:p>
    <w:p>
      <w:pPr>
        <w:snapToGrid w:val="0"/>
        <w:spacing w:line="360" w:lineRule="auto"/>
        <w:ind w:firstLineChars="100" w:firstLine="210"/>
        <w:rPr>
          <w:rFonts w:ascii="仿宋_GB2312" w:hAnsi="仿宋_GB2312"/>
          <w:color w:val="000000"/>
          <w:szCs w:val="32"/>
        </w:rPr>
      </w:pPr>
    </w:p>
    <w:p>
      <w:pPr>
        <w:snapToGrid w:val="0"/>
        <w:spacing w:line="360" w:lineRule="auto"/>
        <w:ind w:firstLineChars="100" w:firstLine="210"/>
        <w:rPr>
          <w:rFonts w:ascii="仿宋_GB2312" w:hAnsi="仿宋_GB2312"/>
          <w:color w:val="000000"/>
          <w:szCs w:val="32"/>
        </w:rPr>
      </w:pPr>
    </w:p>
    <w:p>
      <w:pPr>
        <w:snapToGrid w:val="0"/>
        <w:spacing w:line="360" w:lineRule="auto"/>
        <w:ind w:firstLineChars="100" w:firstLine="210"/>
        <w:rPr>
          <w:rFonts w:ascii="仿宋_GB2312" w:hAnsi="仿宋_GB2312"/>
          <w:color w:val="000000"/>
          <w:szCs w:val="32"/>
        </w:rPr>
      </w:pPr>
    </w:p>
    <w:p>
      <w:pPr>
        <w:snapToGrid w:val="0"/>
        <w:spacing w:line="360" w:lineRule="auto"/>
        <w:ind w:firstLineChars="100" w:firstLine="210"/>
        <w:rPr>
          <w:rFonts w:ascii="仿宋_GB2312" w:hAnsi="仿宋_GB2312"/>
          <w:color w:val="000000"/>
          <w:szCs w:val="32"/>
        </w:rPr>
      </w:pPr>
    </w:p>
    <w:p>
      <w:pPr>
        <w:snapToGrid w:val="0"/>
        <w:spacing w:line="360" w:lineRule="auto"/>
        <w:ind w:firstLineChars="100" w:firstLine="210"/>
        <w:rPr>
          <w:rFonts w:ascii="仿宋_GB2312" w:hAnsi="仿宋_GB2312"/>
          <w:color w:val="000000"/>
          <w:szCs w:val="32"/>
        </w:rPr>
      </w:pPr>
    </w:p>
    <w:p>
      <w:pPr>
        <w:snapToGrid w:val="0"/>
        <w:spacing w:line="360" w:lineRule="auto"/>
        <w:ind w:firstLineChars="100" w:firstLine="210"/>
        <w:rPr>
          <w:rFonts w:ascii="仿宋_GB2312" w:hAnsi="仿宋_GB2312"/>
          <w:color w:val="000000"/>
          <w:szCs w:val="32"/>
        </w:rPr>
      </w:pPr>
    </w:p>
    <w:p>
      <w:pPr>
        <w:snapToGrid w:val="0"/>
        <w:spacing w:line="360" w:lineRule="auto"/>
        <w:ind w:firstLineChars="100" w:firstLine="210"/>
        <w:rPr>
          <w:rFonts w:ascii="仿宋_GB2312" w:hAnsi="仿宋_GB2312"/>
          <w:color w:val="000000"/>
          <w:szCs w:val="32"/>
        </w:rPr>
      </w:pPr>
    </w:p>
    <w:p>
      <w:pPr>
        <w:snapToGrid w:val="0"/>
        <w:spacing w:line="360" w:lineRule="auto"/>
        <w:ind w:firstLineChars="100" w:firstLine="210"/>
        <w:rPr>
          <w:rFonts w:ascii="仿宋_GB2312" w:hAnsi="仿宋_GB2312"/>
          <w:color w:val="000000"/>
          <w:szCs w:val="32"/>
        </w:rPr>
      </w:pPr>
    </w:p>
    <w:p>
      <w:pPr>
        <w:snapToGrid w:val="0"/>
        <w:spacing w:line="360" w:lineRule="auto"/>
        <w:ind w:firstLineChars="100" w:firstLine="210"/>
        <w:rPr>
          <w:rFonts w:ascii="仿宋_GB2312" w:hAnsi="仿宋_GB2312"/>
          <w:color w:val="000000"/>
          <w:szCs w:val="32"/>
        </w:rPr>
      </w:pPr>
    </w:p>
    <w:p>
      <w:pPr>
        <w:snapToGrid w:val="0"/>
        <w:spacing w:line="360" w:lineRule="auto"/>
        <w:ind w:firstLineChars="100" w:firstLine="210"/>
        <w:rPr>
          <w:rFonts w:ascii="仿宋_GB2312" w:hAnsi="仿宋_GB2312"/>
          <w:color w:val="000000"/>
          <w:szCs w:val="32"/>
        </w:rPr>
      </w:pPr>
    </w:p>
    <w:p>
      <w:pPr>
        <w:snapToGrid w:val="0"/>
        <w:spacing w:line="360" w:lineRule="auto"/>
        <w:ind w:firstLineChars="100" w:firstLine="210"/>
        <w:rPr>
          <w:rFonts w:ascii="仿宋_GB2312" w:hAnsi="仿宋_GB2312"/>
          <w:color w:val="000000"/>
          <w:szCs w:val="32"/>
        </w:rPr>
      </w:pPr>
    </w:p>
    <w:p>
      <w:pPr>
        <w:snapToGrid w:val="0"/>
        <w:spacing w:line="360" w:lineRule="auto"/>
        <w:rPr>
          <w:rFonts w:ascii="仿宋_GB2312" w:hAnsi="仿宋_GB2312" w:hint="eastAsia"/>
          <w:color w:val="000000"/>
          <w:szCs w:val="32"/>
        </w:rPr>
      </w:pPr>
    </w:p>
    <w:sectPr>
      <w:headerReference w:type="default" r:id="rId2"/>
      <w:footerReference w:type="default" r:id="rId3"/>
      <w:footerReference w:type="even" r:id="rId4"/>
      <w:pgSz w:w="11906" w:h="16838"/>
      <w:pgMar w:top="2155" w:right="1531" w:bottom="1701" w:left="1531" w:header="851" w:footer="992" w:gutter="0"/>
      <w:pgNumType w:fmt="numberInDash"/>
      <w:docGrid w:type="lines" w:linePitch="312" w:charSpace="225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方正兰亭黑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永中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等线">
    <w:altName w:val="方正兰亭黑_GBK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DejaVu San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DejaVu Sans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兰亭黑_GBK">
    <w:altName w:val="微软雅黑"/>
    <w:panose1 w:val="00000000000000000000"/>
    <w:charset w:val="86"/>
    <w:family w:val="script"/>
    <w:pitch w:val="variable"/>
    <w:sig w:usb0="00000000" w:usb1="3ACF7CFA" w:usb2="0008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Fonts w:ascii="宋体" w:cs="宋体"/>
        <w:sz w:val="28"/>
        <w:szCs w:val="28"/>
      </w:rPr>
    </w:pPr>
    <w:r>
      <w:rPr>
        <w:rStyle w:val="18"/>
        <w:rFonts w:ascii="宋体" w:cs="宋体" w:hAnsi="宋体" w:hint="eastAsia"/>
        <w:sz w:val="28"/>
        <w:szCs w:val="28"/>
      </w:rPr>
      <w:fldChar w:fldCharType="begin"/>
    </w:r>
    <w:r>
      <w:rPr>
        <w:rStyle w:val="18"/>
        <w:rFonts w:ascii="宋体" w:cs="宋体" w:hAnsi="宋体" w:hint="eastAsia"/>
        <w:sz w:val="28"/>
        <w:szCs w:val="28"/>
      </w:rPr>
      <w:instrText>Page</w:instrText>
    </w:r>
    <w:r>
      <w:rPr>
        <w:rStyle w:val="18"/>
        <w:rFonts w:ascii="宋体" w:cs="宋体" w:hAnsi="宋体" w:hint="eastAsia"/>
        <w:sz w:val="28"/>
        <w:szCs w:val="28"/>
      </w:rPr>
      <w:fldChar w:fldCharType="separate"/>
    </w:r>
    <w:r>
      <w:rPr>
        <w:rStyle w:val="18"/>
        <w:rFonts w:ascii="宋体" w:cs="宋体" w:hAnsi="宋体"/>
        <w:sz w:val="28"/>
        <w:szCs w:val="28"/>
      </w:rPr>
      <w:t>- 7 -</w:t>
    </w:r>
    <w:r>
      <w:rPr>
        <w:rStyle w:val="18"/>
        <w:rFonts w:ascii="宋体" w:cs="宋体" w:hAnsi="宋体" w:hint="eastAsia"/>
        <w:sz w:val="28"/>
        <w:szCs w:val="28"/>
      </w:rPr>
      <w:fldChar w:fldCharType="end"/>
    </w:r>
  </w:p>
  <w:p>
    <w:pPr>
      <w:pStyle w:val="16"/>
      <w:tabs>
        <w:tab w:val="center" w:pos="4153"/>
        <w:tab w:val="right" w:pos="8306"/>
      </w:tabs>
      <w:ind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outside" w:y="1" w:anchorLock="0"/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  <w:rFonts w:hint="eastAsia"/>
      </w:rPr>
      <w:t>— 1 —</w:t>
    </w:r>
    <w:r>
      <w:rPr>
        <w:rStyle w:val="18"/>
      </w:rPr>
      <w:fldChar w:fldCharType="end"/>
    </w:r>
  </w:p>
  <w:p>
    <w:pPr>
      <w:pStyle w:val="16"/>
      <w:tabs>
        <w:tab w:val="center" w:pos="4153"/>
        <w:tab w:val="right" w:pos="8306"/>
      </w:tabs>
      <w:ind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KGWebUrl" w:val="https://xaoa.hntobacco.com:18444/weaver/weaver.file.FileDownloadForNews?uuid=5ba99934-1bf6-4f53-a2a7-e99e2ef3c9d9&amp;fileid=4837957&amp;type=document&amp;isofficeview=0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Document Map"/>
    <w:basedOn w:val="0"/>
    <w:pPr>
      <w:shd w:val="clear" w:color="000000" w:fill="00008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page number"/>
    <w:basedOn w:val="10"/>
  </w:style>
  <w:style w:type="paragraph" w:styleId="19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24</Words>
  <Characters>27</Characters>
  <Lines>1</Lines>
  <Paragraphs>1</Paragraphs>
  <CharactersWithSpaces>27</CharactersWithSpaces>
  <Company>icss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湖南省烟草专卖局文件</dc:title>
  <dc:creator>test</dc:creator>
  <cp:lastModifiedBy>hyyc</cp:lastModifiedBy>
  <cp:revision>2</cp:revision>
  <dcterms:created xsi:type="dcterms:W3CDTF">2024-07-10T11:06:00Z</dcterms:created>
  <dcterms:modified xsi:type="dcterms:W3CDTF">2024-07-10T11:39:21Z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2052-11.8.2.9520</vt:lpwstr>
  </property>
</Properties>
</file>