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bookmarkStart w:id="2" w:name="_GoBack"/>
      <w:bookmarkEnd w:id="2"/>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hint="eastAsia" w:ascii="Times New Roman" w:hAnsi="Times New Roman"/>
          <w:sz w:val="36"/>
          <w:szCs w:val="36"/>
          <w:lang w:eastAsia="zh-CN"/>
        </w:rPr>
      </w:pPr>
      <w:r>
        <w:rPr>
          <w:rFonts w:ascii="Times New Roman" w:hAnsi="Times New Roman"/>
          <w:sz w:val="36"/>
          <w:szCs w:val="36"/>
        </w:rPr>
        <w:t>单位名称</w:t>
      </w:r>
      <w:r>
        <w:rPr>
          <w:rFonts w:hint="eastAsia" w:ascii="Times New Roman" w:hAnsi="Times New Roman"/>
          <w:sz w:val="36"/>
          <w:szCs w:val="36"/>
          <w:lang w:eastAsia="zh-CN"/>
        </w:rPr>
        <w:t>：衡阳市公路建设养护中心雁峰分中心</w:t>
      </w:r>
    </w:p>
    <w:p>
      <w:pPr>
        <w:jc w:val="center"/>
        <w:rPr>
          <w:rFonts w:ascii="Times New Roman" w:hAnsi="Times New Roman"/>
          <w:sz w:val="36"/>
          <w:szCs w:val="36"/>
        </w:rPr>
      </w:pP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pPr>
        <w:ind w:firstLine="360" w:firstLineChars="100"/>
        <w:jc w:val="left"/>
        <w:rPr>
          <w:rFonts w:hint="eastAsia" w:ascii="Times New Roman" w:hAnsi="Times New Roman" w:eastAsia="宋体"/>
          <w:sz w:val="36"/>
          <w:szCs w:val="36"/>
          <w:lang w:eastAsia="zh-CN"/>
        </w:rPr>
      </w:pPr>
      <w:r>
        <w:rPr>
          <w:rFonts w:hint="eastAsia" w:ascii="Times New Roman" w:hAnsi="Times New Roman"/>
          <w:sz w:val="36"/>
          <w:szCs w:val="36"/>
          <w:lang w:val="en-US" w:eastAsia="zh-CN"/>
        </w:rPr>
        <w:t>主要负责人签字</w:t>
      </w:r>
      <w:r>
        <w:rPr>
          <w:rFonts w:ascii="Times New Roman" w:hAnsi="Times New Roman"/>
          <w:sz w:val="36"/>
          <w:szCs w:val="36"/>
        </w:rPr>
        <w:t>：</w:t>
      </w:r>
      <w:r>
        <w:rPr>
          <w:rFonts w:hint="eastAsia" w:ascii="Times New Roman" w:hAnsi="Times New Roman"/>
          <w:sz w:val="36"/>
          <w:szCs w:val="36"/>
          <w:lang w:eastAsia="zh-CN"/>
        </w:rPr>
        <w:t>陈述</w:t>
      </w:r>
    </w:p>
    <w:p>
      <w:pPr>
        <w:jc w:val="center"/>
        <w:rPr>
          <w:rFonts w:hint="eastAsia" w:ascii="Times New Roman" w:hAnsi="Times New Roman"/>
          <w:sz w:val="36"/>
          <w:szCs w:val="36"/>
          <w:lang w:eastAsia="zh-CN"/>
        </w:rPr>
      </w:pPr>
    </w:p>
    <w:p>
      <w:pPr>
        <w:jc w:val="center"/>
        <w:rPr>
          <w:rFonts w:ascii="Times New Roman" w:hAnsi="Times New Roman" w:eastAsia="黑体"/>
          <w:sz w:val="36"/>
          <w:szCs w:val="36"/>
        </w:rPr>
      </w:pPr>
    </w:p>
    <w:p>
      <w:pPr>
        <w:tabs>
          <w:tab w:val="left" w:pos="2747"/>
          <w:tab w:val="center" w:pos="4155"/>
        </w:tabs>
        <w:jc w:val="left"/>
        <w:rPr>
          <w:rFonts w:ascii="Times New Roman" w:hAnsi="Times New Roman" w:eastAsia="黑体"/>
          <w:sz w:val="32"/>
          <w:szCs w:val="32"/>
        </w:rPr>
      </w:pPr>
      <w:r>
        <w:rPr>
          <w:rFonts w:hint="eastAsia" w:ascii="Times New Roman" w:hAnsi="Times New Roman" w:eastAsia="黑体"/>
          <w:sz w:val="32"/>
          <w:szCs w:val="32"/>
          <w:lang w:eastAsia="zh-CN"/>
        </w:rPr>
        <w:tab/>
      </w:r>
      <w:r>
        <w:rPr>
          <w:rFonts w:hint="eastAsia" w:ascii="Times New Roman" w:hAnsi="Times New Roman" w:eastAsia="黑体"/>
          <w:sz w:val="32"/>
          <w:szCs w:val="32"/>
          <w:lang w:val="en-US" w:eastAsia="zh-CN"/>
        </w:rPr>
        <w:t>2023</w:t>
      </w:r>
      <w:r>
        <w:rPr>
          <w:rFonts w:hint="eastAsia" w:ascii="Times New Roman" w:hAnsi="Times New Roman" w:eastAsia="黑体"/>
          <w:sz w:val="32"/>
          <w:szCs w:val="32"/>
          <w:lang w:eastAsia="zh-CN"/>
        </w:rPr>
        <w:tab/>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3</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31</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snapToGrid/>
        <w:spacing w:line="40" w:lineRule="atLeast"/>
        <w:jc w:val="both"/>
        <w:textAlignment w:val="auto"/>
        <w:rPr>
          <w:rFonts w:ascii="Times New Roman" w:hAnsi="Times New Roman" w:eastAsia="黑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jc w:val="center"/>
        <w:textAlignment w:val="auto"/>
        <w:rPr>
          <w:rFonts w:ascii="Times New Roman" w:hAnsi="Times New Roman" w:eastAsia="黑体"/>
          <w:color w:val="000000" w:themeColor="text1"/>
          <w:sz w:val="32"/>
          <w:szCs w:val="32"/>
          <w:highlight w:val="none"/>
          <w14:textFill>
            <w14:solidFill>
              <w14:schemeClr w14:val="tx1"/>
            </w14:solidFill>
          </w14:textFill>
        </w:rPr>
      </w:pPr>
    </w:p>
    <w:p>
      <w:pPr>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部门整体支出绩效评价报告</w:t>
      </w:r>
    </w:p>
    <w:p>
      <w:pPr>
        <w:spacing w:line="600" w:lineRule="exact"/>
        <w:jc w:val="center"/>
        <w:rPr>
          <w:rFonts w:hint="eastAsia" w:ascii="Times New Roman" w:hAnsi="Times New Roman" w:eastAsia="方正小标宋简体" w:cs="Times New Roman"/>
          <w:sz w:val="44"/>
          <w:szCs w:val="44"/>
          <w:lang w:val="en-US" w:eastAsia="en-US"/>
        </w:rPr>
      </w:pPr>
    </w:p>
    <w:p>
      <w:pPr>
        <w:spacing w:line="600" w:lineRule="exact"/>
        <w:jc w:val="center"/>
        <w:rPr>
          <w:rFonts w:hint="eastAsia" w:ascii="Times New Roman" w:hAnsi="Times New Roman" w:eastAsia="方正小标宋简体" w:cs="Times New Roman"/>
          <w:sz w:val="44"/>
          <w:szCs w:val="44"/>
          <w:lang w:val="en-US" w:eastAsia="en-US"/>
        </w:rPr>
      </w:pPr>
    </w:p>
    <w:p>
      <w:pPr>
        <w:pStyle w:val="17"/>
        <w:widowControl/>
        <w:ind w:firstLine="640"/>
        <w:rPr>
          <w:rFonts w:hint="eastAsia" w:ascii="Times New Roman" w:hAnsi="Times New Roman" w:eastAsia="黑体" w:cs="Times New Roman"/>
          <w:sz w:val="32"/>
          <w:szCs w:val="32"/>
          <w:lang w:val="en-US" w:eastAsia="en-US"/>
        </w:rPr>
      </w:pPr>
      <w:r>
        <w:rPr>
          <w:rFonts w:hint="eastAsia" w:ascii="Times New Roman" w:hAnsi="Times New Roman" w:eastAsia="黑体" w:cs="Times New Roman"/>
          <w:sz w:val="32"/>
          <w:szCs w:val="32"/>
          <w:lang w:val="en-US" w:eastAsia="en-US"/>
        </w:rPr>
        <w:t xml:space="preserve">一、 </w:t>
      </w:r>
      <w:r>
        <w:rPr>
          <w:rFonts w:eastAsia="黑体"/>
          <w:sz w:val="32"/>
          <w:szCs w:val="32"/>
        </w:rPr>
        <w:t>部门、单位基本情况</w:t>
      </w:r>
    </w:p>
    <w:p>
      <w:pPr>
        <w:keepNext w:val="0"/>
        <w:keepLines w:val="0"/>
        <w:pageBreakBefore w:val="0"/>
        <w:kinsoku/>
        <w:wordWrap/>
        <w:overflowPunct/>
        <w:topLinePunct w:val="0"/>
        <w:autoSpaceDE/>
        <w:autoSpaceDN/>
        <w:bidi w:val="0"/>
        <w:adjustRightInd/>
        <w:snapToGrid/>
        <w:spacing w:before="305" w:after="0" w:line="40" w:lineRule="atLeast"/>
        <w:ind w:left="638"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（一）单位主要职责</w:t>
      </w:r>
    </w:p>
    <w:p>
      <w:pPr>
        <w:keepNext w:val="0"/>
        <w:keepLines w:val="0"/>
        <w:pageBreakBefore w:val="0"/>
        <w:kinsoku/>
        <w:wordWrap/>
        <w:overflowPunct/>
        <w:topLinePunct w:val="0"/>
        <w:autoSpaceDE/>
        <w:autoSpaceDN/>
        <w:bidi w:val="0"/>
        <w:adjustRightInd/>
        <w:snapToGrid/>
        <w:spacing w:before="283" w:after="0" w:line="40" w:lineRule="atLeast"/>
        <w:ind w:left="960"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为经济社会发展提供公路交通保障。国省干线公路、</w:t>
      </w:r>
    </w:p>
    <w:p>
      <w:pPr>
        <w:keepNext w:val="0"/>
        <w:keepLines w:val="0"/>
        <w:pageBreakBefore w:val="0"/>
        <w:kinsoku/>
        <w:wordWrap/>
        <w:overflowPunct/>
        <w:topLinePunct w:val="0"/>
        <w:autoSpaceDE/>
        <w:autoSpaceDN/>
        <w:bidi w:val="0"/>
        <w:adjustRightInd/>
        <w:snapToGrid/>
        <w:spacing w:before="192" w:after="0" w:line="40" w:lineRule="atLeast"/>
        <w:ind w:left="0"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农村公路建设与养护；公路抢修与保通公路绿化；路产路权</w:t>
      </w:r>
    </w:p>
    <w:p>
      <w:pPr>
        <w:keepNext w:val="0"/>
        <w:keepLines w:val="0"/>
        <w:pageBreakBefore w:val="0"/>
        <w:kinsoku/>
        <w:wordWrap/>
        <w:overflowPunct/>
        <w:topLinePunct w:val="0"/>
        <w:autoSpaceDE/>
        <w:autoSpaceDN/>
        <w:bidi w:val="0"/>
        <w:adjustRightInd/>
        <w:snapToGrid/>
        <w:spacing w:before="192" w:after="0" w:line="40" w:lineRule="atLeast"/>
        <w:ind w:left="0"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维护；协助路政管理。</w:t>
      </w:r>
    </w:p>
    <w:p>
      <w:pPr>
        <w:keepNext w:val="0"/>
        <w:keepLines w:val="0"/>
        <w:pageBreakBefore w:val="0"/>
        <w:kinsoku/>
        <w:wordWrap/>
        <w:overflowPunct/>
        <w:topLinePunct w:val="0"/>
        <w:autoSpaceDE/>
        <w:autoSpaceDN/>
        <w:bidi w:val="0"/>
        <w:adjustRightInd/>
        <w:snapToGrid/>
        <w:spacing w:before="189" w:after="0" w:line="40" w:lineRule="atLeast"/>
        <w:ind w:left="638"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承担辖区内国省干线公路和农村公路、桥梁的建设、养</w:t>
      </w:r>
    </w:p>
    <w:p>
      <w:pPr>
        <w:keepNext w:val="0"/>
        <w:keepLines w:val="0"/>
        <w:pageBreakBefore w:val="0"/>
        <w:kinsoku/>
        <w:wordWrap/>
        <w:overflowPunct/>
        <w:topLinePunct w:val="0"/>
        <w:autoSpaceDE/>
        <w:autoSpaceDN/>
        <w:bidi w:val="0"/>
        <w:adjustRightInd/>
        <w:snapToGrid/>
        <w:spacing w:before="192" w:after="0" w:line="40" w:lineRule="atLeast"/>
        <w:ind w:left="0"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护和管理职责。</w:t>
      </w:r>
    </w:p>
    <w:p>
      <w:pPr>
        <w:keepNext w:val="0"/>
        <w:keepLines w:val="0"/>
        <w:pageBreakBefore w:val="0"/>
        <w:kinsoku/>
        <w:wordWrap/>
        <w:overflowPunct/>
        <w:topLinePunct w:val="0"/>
        <w:autoSpaceDE/>
        <w:autoSpaceDN/>
        <w:bidi w:val="0"/>
        <w:adjustRightInd/>
        <w:snapToGrid/>
        <w:spacing w:before="192" w:after="0" w:line="40" w:lineRule="atLeast"/>
        <w:ind w:left="638"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负责编制并组织实施辖区内管养公路的发展规划和养</w:t>
      </w:r>
    </w:p>
    <w:p>
      <w:pPr>
        <w:keepNext w:val="0"/>
        <w:keepLines w:val="0"/>
        <w:pageBreakBefore w:val="0"/>
        <w:kinsoku/>
        <w:wordWrap/>
        <w:overflowPunct/>
        <w:topLinePunct w:val="0"/>
        <w:autoSpaceDE/>
        <w:autoSpaceDN/>
        <w:bidi w:val="0"/>
        <w:adjustRightInd/>
        <w:snapToGrid/>
        <w:spacing w:before="189" w:after="0" w:line="40" w:lineRule="atLeast"/>
        <w:ind w:left="0"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护计划。</w:t>
      </w:r>
    </w:p>
    <w:p>
      <w:pPr>
        <w:keepNext w:val="0"/>
        <w:keepLines w:val="0"/>
        <w:pageBreakBefore w:val="0"/>
        <w:kinsoku/>
        <w:wordWrap/>
        <w:overflowPunct/>
        <w:topLinePunct w:val="0"/>
        <w:autoSpaceDE/>
        <w:autoSpaceDN/>
        <w:bidi w:val="0"/>
        <w:adjustRightInd/>
        <w:snapToGrid/>
        <w:spacing w:before="192" w:after="0" w:line="40" w:lineRule="atLeast"/>
        <w:ind w:left="638"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负责所管养公路及附属设施的建设、日常养护、改造升</w:t>
      </w:r>
    </w:p>
    <w:p>
      <w:pPr>
        <w:keepNext w:val="0"/>
        <w:keepLines w:val="0"/>
        <w:pageBreakBefore w:val="0"/>
        <w:kinsoku/>
        <w:wordWrap/>
        <w:overflowPunct/>
        <w:topLinePunct w:val="0"/>
        <w:autoSpaceDE/>
        <w:autoSpaceDN/>
        <w:bidi w:val="0"/>
        <w:adjustRightInd/>
        <w:snapToGrid/>
        <w:spacing w:before="192" w:after="0" w:line="40" w:lineRule="atLeast"/>
        <w:ind w:left="0" w:right="0" w:firstLine="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级、绿化工作、公路安防工程等。</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协助所管养公路、桥梁的路政管理；参与、协助公路沿</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线户外广告设置管理；协助查处侵占公路用地、破坏公路设</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bookmarkStart w:id="0" w:name="br1_2"/>
      <w:bookmarkEnd w:id="0"/>
      <w:bookmarkStart w:id="1" w:name="br1_1"/>
      <w:bookmarkEnd w:id="1"/>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施等违法、违规、违章行为，依法维护公路产权等工作。</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（二）机构设置</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我单位现有内设科室10个，在职人员3</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人，退休人员2</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8</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人，属市</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二</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级预算单位。</w:t>
      </w:r>
    </w:p>
    <w:p>
      <w:pPr>
        <w:pStyle w:val="17"/>
        <w:widowControl/>
        <w:numPr>
          <w:ilvl w:val="0"/>
          <w:numId w:val="1"/>
        </w:numPr>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一般公共预算支出情况</w:t>
      </w:r>
    </w:p>
    <w:p>
      <w:pPr>
        <w:spacing w:line="520" w:lineRule="exact"/>
        <w:ind w:firstLine="560"/>
        <w:rPr>
          <w:rFonts w:hint="eastAsia" w:ascii="Times New Roman" w:hAnsi="Times New Roman" w:eastAsia="黑体" w:cs="Times New Roman"/>
          <w:sz w:val="32"/>
          <w:szCs w:val="32"/>
        </w:rPr>
      </w:pPr>
      <w:r>
        <w:rPr>
          <w:rFonts w:hint="eastAsia" w:ascii="仿宋" w:hAnsi="仿宋" w:eastAsia="仿宋" w:cs="仿宋_GB2312"/>
          <w:kern w:val="1"/>
          <w:sz w:val="32"/>
          <w:szCs w:val="32"/>
        </w:rPr>
        <w:t>202</w:t>
      </w:r>
      <w:r>
        <w:rPr>
          <w:rFonts w:hint="eastAsia" w:ascii="仿宋" w:hAnsi="仿宋" w:eastAsia="仿宋" w:cs="仿宋_GB2312"/>
          <w:kern w:val="1"/>
          <w:sz w:val="32"/>
          <w:szCs w:val="32"/>
          <w:lang w:val="en-US" w:eastAsia="zh-CN"/>
        </w:rPr>
        <w:t>2</w:t>
      </w:r>
      <w:r>
        <w:rPr>
          <w:rFonts w:hint="eastAsia" w:ascii="仿宋" w:hAnsi="仿宋" w:eastAsia="仿宋" w:cs="仿宋_GB2312"/>
          <w:kern w:val="1"/>
          <w:sz w:val="32"/>
          <w:szCs w:val="32"/>
        </w:rPr>
        <w:t>年我</w:t>
      </w:r>
      <w:r>
        <w:rPr>
          <w:rFonts w:hint="eastAsia" w:ascii="仿宋" w:hAnsi="仿宋" w:eastAsia="仿宋" w:cs="仿宋_GB2312"/>
          <w:kern w:val="1"/>
          <w:sz w:val="32"/>
          <w:szCs w:val="32"/>
          <w:lang w:eastAsia="zh-CN"/>
        </w:rPr>
        <w:t>雁峰分中心</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实际完成收入1176.67</w:t>
      </w:r>
      <w:r>
        <w:rPr>
          <w:rFonts w:hint="eastAsia" w:ascii="仿宋" w:hAnsi="仿宋" w:eastAsia="仿宋" w:cs="仿宋_GB2312"/>
          <w:kern w:val="1"/>
          <w:sz w:val="32"/>
          <w:szCs w:val="32"/>
        </w:rPr>
        <w:t>万元，上年度结转资金</w:t>
      </w:r>
      <w:r>
        <w:rPr>
          <w:rFonts w:hint="eastAsia" w:ascii="仿宋" w:hAnsi="仿宋" w:eastAsia="仿宋" w:cs="仿宋_GB2312"/>
          <w:kern w:val="1"/>
          <w:sz w:val="32"/>
          <w:szCs w:val="32"/>
          <w:lang w:val="en-US" w:eastAsia="zh-CN"/>
        </w:rPr>
        <w:t>247.60</w:t>
      </w:r>
      <w:r>
        <w:rPr>
          <w:rFonts w:hint="eastAsia" w:ascii="仿宋" w:hAnsi="仿宋" w:eastAsia="仿宋" w:cs="仿宋_GB2312"/>
          <w:kern w:val="1"/>
          <w:sz w:val="32"/>
          <w:szCs w:val="32"/>
        </w:rPr>
        <w:t>万元</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rPr>
        <w:t>结转资金为未完工程结转资金。</w:t>
      </w:r>
    </w:p>
    <w:p>
      <w:pPr>
        <w:pStyle w:val="17"/>
        <w:keepNext w:val="0"/>
        <w:keepLines w:val="0"/>
        <w:pageBreakBefore w:val="0"/>
        <w:widowControl/>
        <w:kinsoku/>
        <w:wordWrap/>
        <w:overflowPunct/>
        <w:topLinePunct w:val="0"/>
        <w:autoSpaceDE/>
        <w:autoSpaceDN/>
        <w:bidi w:val="0"/>
        <w:adjustRightInd/>
        <w:snapToGrid/>
        <w:spacing w:line="40" w:lineRule="atLeast"/>
        <w:ind w:firstLine="643"/>
        <w:textAlignment w:val="auto"/>
        <w:rPr>
          <w:rFonts w:eastAsia="楷体"/>
          <w:b/>
          <w:color w:val="000000" w:themeColor="text1"/>
          <w:sz w:val="32"/>
          <w:szCs w:val="32"/>
          <w:highlight w:val="none"/>
          <w14:textFill>
            <w14:solidFill>
              <w14:schemeClr w14:val="tx1"/>
            </w14:solidFill>
          </w14:textFill>
        </w:rPr>
      </w:pPr>
      <w:r>
        <w:rPr>
          <w:rFonts w:hint="eastAsia" w:eastAsia="楷体"/>
          <w:b/>
          <w:color w:val="000000" w:themeColor="text1"/>
          <w:sz w:val="32"/>
          <w:szCs w:val="32"/>
          <w:highlight w:val="none"/>
          <w14:textFill>
            <w14:solidFill>
              <w14:schemeClr w14:val="tx1"/>
            </w14:solidFill>
          </w14:textFill>
        </w:rPr>
        <w:t>（</w:t>
      </w:r>
      <w:r>
        <w:rPr>
          <w:rFonts w:hint="eastAsia" w:ascii="Times New Roman" w:hAnsi="Times New Roman" w:eastAsia="楷体" w:cs="Times New Roman"/>
          <w:b/>
          <w:sz w:val="32"/>
          <w:szCs w:val="32"/>
        </w:rPr>
        <w:t>一）基本支出情况</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202</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年全年基本支出总计</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685.85万</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元，其中包括以下几个方面：</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1、工资福利支出</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523.20</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万元，占基本支出的</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76.29</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主要用于在职干部职工工资、绩效奖励、养老保险、医疗保险等保障缴费等。</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2、商品和服务支出</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53.10</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万元，占基本支出的</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7.74</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%，主要用于为保障基本运行而发生的水费、电费、物业管理费、办公费、印刷费、邮电费、维修费、差旅费等。</w:t>
      </w:r>
    </w:p>
    <w:p>
      <w:pPr>
        <w:keepNext w:val="0"/>
        <w:keepLines w:val="0"/>
        <w:pageBreakBefore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3、对个人及家庭的补助</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109.55</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万元。占基本支</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出15.97</w:t>
      </w:r>
      <w:r>
        <w:rPr>
          <w:rFonts w:hint="eastAsia" w:ascii="仿宋" w:hAnsi="仿宋" w:eastAsia="仿宋" w:cs="仿宋"/>
          <w:color w:val="000000" w:themeColor="text1"/>
          <w:kern w:val="2"/>
          <w:sz w:val="32"/>
          <w:szCs w:val="32"/>
          <w:highlight w:val="none"/>
          <w:lang w:val="en-US" w:eastAsia="en-US" w:bidi="ar-SA"/>
          <w14:textFill>
            <w14:solidFill>
              <w14:schemeClr w14:val="tx1"/>
            </w14:solidFill>
          </w14:textFill>
        </w:rPr>
        <w:t>%，主要用于发放离退休人员绩效奖、抚恤金等。</w:t>
      </w:r>
    </w:p>
    <w:p>
      <w:pPr>
        <w:pStyle w:val="17"/>
        <w:widowControl/>
        <w:ind w:firstLine="643"/>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en-US"/>
        </w:rPr>
        <w:t>（二）项目支出</w:t>
      </w:r>
      <w:r>
        <w:rPr>
          <w:rFonts w:hint="eastAsia" w:eastAsia="楷体" w:cs="Times New Roman"/>
          <w:b/>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before="189" w:after="0" w:line="360" w:lineRule="auto"/>
        <w:ind w:right="0" w:firstLine="640" w:firstLineChars="200"/>
        <w:jc w:val="left"/>
        <w:textAlignment w:val="auto"/>
        <w:rPr>
          <w:rFonts w:hint="eastAsia" w:ascii="Times New Roman" w:hAnsi="Times New Roman" w:eastAsia="楷体" w:cs="Times New Roman"/>
          <w:color w:val="000000" w:themeColor="text1"/>
          <w:kern w:val="2"/>
          <w:sz w:val="32"/>
          <w:szCs w:val="32"/>
          <w:highlight w:val="none"/>
          <w:lang w:val="en-US" w:eastAsia="en-US" w:bidi="ar-SA"/>
          <w14:textFill>
            <w14:solidFill>
              <w14:schemeClr w14:val="tx1"/>
            </w14:solidFill>
          </w14:textFill>
        </w:rPr>
      </w:pPr>
      <w:r>
        <w:rPr>
          <w:rFonts w:hint="eastAsia" w:ascii="仿宋" w:hAnsi="仿宋" w:eastAsia="仿宋" w:cs="仿宋_GB2312"/>
          <w:kern w:val="1"/>
          <w:sz w:val="32"/>
          <w:szCs w:val="32"/>
          <w:lang w:val="en-US" w:eastAsia="en-US"/>
        </w:rPr>
        <w:t>202</w:t>
      </w:r>
      <w:r>
        <w:rPr>
          <w:rFonts w:hint="eastAsia" w:ascii="仿宋" w:hAnsi="仿宋" w:eastAsia="仿宋" w:cs="仿宋_GB2312"/>
          <w:kern w:val="1"/>
          <w:sz w:val="32"/>
          <w:szCs w:val="32"/>
          <w:lang w:val="en-US" w:eastAsia="zh-CN"/>
        </w:rPr>
        <w:t>2</w:t>
      </w:r>
      <w:r>
        <w:rPr>
          <w:rFonts w:hint="eastAsia" w:ascii="仿宋" w:hAnsi="仿宋" w:eastAsia="仿宋" w:cs="仿宋_GB2312"/>
          <w:kern w:val="1"/>
          <w:sz w:val="32"/>
          <w:szCs w:val="32"/>
          <w:lang w:val="en-US" w:eastAsia="en-US"/>
        </w:rPr>
        <w:t>年全年项目总支出为</w:t>
      </w:r>
      <w:r>
        <w:rPr>
          <w:rFonts w:hint="eastAsia" w:ascii="仿宋" w:hAnsi="仿宋" w:eastAsia="仿宋" w:cs="仿宋_GB2312"/>
          <w:kern w:val="1"/>
          <w:sz w:val="32"/>
          <w:szCs w:val="32"/>
          <w:lang w:val="en-US" w:eastAsia="zh-CN"/>
        </w:rPr>
        <w:t>490.82</w:t>
      </w:r>
      <w:r>
        <w:rPr>
          <w:rFonts w:hint="eastAsia" w:ascii="仿宋" w:hAnsi="仿宋" w:eastAsia="仿宋" w:cs="仿宋_GB2312"/>
          <w:kern w:val="1"/>
          <w:sz w:val="32"/>
          <w:szCs w:val="32"/>
          <w:lang w:val="en-US" w:eastAsia="en-US"/>
        </w:rPr>
        <w:t>万元</w:t>
      </w:r>
      <w:r>
        <w:rPr>
          <w:rFonts w:hint="eastAsia" w:ascii="仿宋" w:hAnsi="仿宋" w:eastAsia="仿宋" w:cs="仿宋_GB2312"/>
          <w:kern w:val="1"/>
          <w:sz w:val="32"/>
          <w:szCs w:val="32"/>
          <w:lang w:val="en-US" w:eastAsia="zh-CN"/>
        </w:rPr>
        <w:t>。</w:t>
      </w:r>
      <w:r>
        <w:rPr>
          <w:rFonts w:hint="eastAsia" w:ascii="仿宋" w:hAnsi="仿宋" w:eastAsia="仿宋" w:cs="仿宋_GB2312"/>
          <w:kern w:val="1"/>
          <w:sz w:val="32"/>
          <w:szCs w:val="32"/>
        </w:rPr>
        <w:t>公路养护</w:t>
      </w:r>
      <w:r>
        <w:rPr>
          <w:rFonts w:hint="eastAsia" w:ascii="仿宋" w:hAnsi="仿宋" w:eastAsia="仿宋" w:cs="仿宋_GB2312"/>
          <w:kern w:val="1"/>
          <w:sz w:val="32"/>
          <w:szCs w:val="32"/>
          <w:lang w:val="en-US" w:eastAsia="zh-CN"/>
        </w:rPr>
        <w:t>260.95</w:t>
      </w:r>
      <w:r>
        <w:rPr>
          <w:rFonts w:hint="eastAsia" w:ascii="仿宋" w:hAnsi="仿宋" w:eastAsia="仿宋" w:cs="仿宋_GB2312"/>
          <w:kern w:val="1"/>
          <w:sz w:val="32"/>
          <w:szCs w:val="32"/>
        </w:rPr>
        <w:t>万元，安防</w:t>
      </w:r>
      <w:r>
        <w:rPr>
          <w:rFonts w:hint="eastAsia" w:ascii="仿宋" w:hAnsi="仿宋" w:eastAsia="仿宋" w:cs="仿宋_GB2312"/>
          <w:kern w:val="1"/>
          <w:sz w:val="32"/>
          <w:szCs w:val="32"/>
          <w:lang w:val="en-US" w:eastAsia="zh-CN"/>
        </w:rPr>
        <w:t>工程188.17</w:t>
      </w:r>
      <w:r>
        <w:rPr>
          <w:rFonts w:hint="eastAsia" w:ascii="仿宋" w:hAnsi="仿宋" w:eastAsia="仿宋" w:cs="仿宋_GB2312"/>
          <w:kern w:val="1"/>
          <w:sz w:val="32"/>
          <w:szCs w:val="32"/>
        </w:rPr>
        <w:t>万元，危桥改造</w:t>
      </w:r>
      <w:r>
        <w:rPr>
          <w:rFonts w:hint="eastAsia" w:ascii="仿宋" w:hAnsi="仿宋" w:eastAsia="仿宋" w:cs="仿宋_GB2312"/>
          <w:kern w:val="1"/>
          <w:sz w:val="32"/>
          <w:szCs w:val="32"/>
          <w:lang w:val="en-US" w:eastAsia="zh-CN"/>
        </w:rPr>
        <w:t>41.70</w:t>
      </w:r>
      <w:r>
        <w:rPr>
          <w:rFonts w:hint="eastAsia" w:ascii="仿宋" w:hAnsi="仿宋" w:eastAsia="仿宋" w:cs="仿宋_GB2312"/>
          <w:kern w:val="1"/>
          <w:sz w:val="32"/>
          <w:szCs w:val="32"/>
        </w:rPr>
        <w:t>万元，合计</w:t>
      </w:r>
      <w:r>
        <w:rPr>
          <w:rFonts w:hint="eastAsia" w:ascii="仿宋" w:hAnsi="仿宋" w:eastAsia="仿宋" w:cs="仿宋_GB2312"/>
          <w:kern w:val="1"/>
          <w:sz w:val="32"/>
          <w:szCs w:val="32"/>
          <w:lang w:val="en-US" w:eastAsia="zh-CN"/>
        </w:rPr>
        <w:t>490.82</w:t>
      </w:r>
      <w:r>
        <w:rPr>
          <w:rFonts w:hint="eastAsia" w:ascii="仿宋" w:hAnsi="仿宋" w:eastAsia="仿宋" w:cs="仿宋_GB2312"/>
          <w:kern w:val="1"/>
          <w:sz w:val="32"/>
          <w:szCs w:val="32"/>
        </w:rPr>
        <w:t>万元。</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三、政府性基金预算支出情况</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政府性基金预算支出情况无</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四、国有资本经营预算支出情况</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国有资本经营预算支出情况无</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五、社会保险基金预算支出情况</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社会保险基金预算支出情况无</w:t>
      </w:r>
    </w:p>
    <w:p>
      <w:pPr>
        <w:keepNext w:val="0"/>
        <w:keepLines w:val="0"/>
        <w:pageBreakBefore w:val="0"/>
        <w:widowControl/>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六、部门整体支出绩效情况</w:t>
      </w:r>
    </w:p>
    <w:p>
      <w:pPr>
        <w:spacing w:line="520" w:lineRule="exact"/>
        <w:ind w:firstLine="640"/>
        <w:rPr>
          <w:rFonts w:ascii="仿宋" w:hAnsi="仿宋" w:eastAsia="仿宋"/>
          <w:sz w:val="32"/>
          <w:szCs w:val="32"/>
        </w:rPr>
      </w:pPr>
      <w:r>
        <w:rPr>
          <w:rFonts w:hint="eastAsia" w:ascii="仿宋" w:hAnsi="仿宋" w:eastAsia="仿宋"/>
          <w:sz w:val="32"/>
          <w:szCs w:val="32"/>
        </w:rPr>
        <w:t>过去的一年，在市公路建设养护中心、区委区政府的正确领导下，认真贯彻落实全市公路工作会议精神和区委经济工作会议精神，立足实际、主动作为、建章立制、规范管理、重在强基，各项工作稳步推进，圆满完成了全年各项目标任务，实现了良好开局。</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hint="eastAsia" w:ascii="仿宋" w:hAnsi="仿宋" w:eastAsia="仿宋"/>
          <w:sz w:val="32"/>
          <w:szCs w:val="32"/>
          <w:lang w:eastAsia="zh-CN"/>
        </w:rPr>
      </w:pPr>
      <w:r>
        <w:rPr>
          <w:rFonts w:hint="eastAsia" w:ascii="仿宋" w:hAnsi="仿宋" w:eastAsia="仿宋"/>
          <w:sz w:val="32"/>
          <w:szCs w:val="32"/>
        </w:rPr>
        <w:t>各项管理制度不断完善，干部职工各项待遇基本落实；国省干线路况水平稳步提升，农路养护实现全区覆盖，日常养护、预防性养护力度加大，危桥改造项目稳步推进，农村公路安防（民生实事）工程如期完成</w:t>
      </w:r>
      <w:r>
        <w:rPr>
          <w:rFonts w:hint="eastAsia" w:ascii="仿宋" w:hAnsi="仿宋" w:eastAsia="仿宋"/>
          <w:sz w:val="32"/>
          <w:szCs w:val="32"/>
          <w:lang w:eastAsia="zh-CN"/>
        </w:rPr>
        <w:t>。</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七、存在的问题及原因分析</w:t>
      </w:r>
    </w:p>
    <w:p>
      <w:pPr>
        <w:spacing w:line="520" w:lineRule="exact"/>
        <w:ind w:firstLine="560"/>
        <w:rPr>
          <w:rFonts w:ascii="仿宋" w:hAnsi="仿宋" w:eastAsia="仿宋" w:cs="仿宋_GB2312"/>
          <w:kern w:val="1"/>
          <w:sz w:val="32"/>
          <w:szCs w:val="32"/>
        </w:rPr>
      </w:pPr>
      <w:r>
        <w:rPr>
          <w:rFonts w:hint="eastAsia" w:ascii="仿宋" w:hAnsi="仿宋" w:eastAsia="仿宋" w:cs="仿宋_GB2312"/>
          <w:kern w:val="1"/>
          <w:sz w:val="32"/>
          <w:szCs w:val="32"/>
        </w:rPr>
        <w:t>预算编制工作有待细化。预算编制不够明确和细化，预算编制不能只按编制人员数，而应按实际工作任务的多少、大小、强弱来定预算，预算编制的合理性需要提高，预算执行力度还要进一步加强。</w:t>
      </w:r>
    </w:p>
    <w:p>
      <w:pPr>
        <w:spacing w:line="520" w:lineRule="exact"/>
        <w:ind w:firstLine="560"/>
        <w:rPr>
          <w:rFonts w:ascii="仿宋" w:hAnsi="仿宋" w:eastAsia="仿宋" w:cs="仿宋_GB2312"/>
          <w:kern w:val="1"/>
          <w:sz w:val="32"/>
          <w:szCs w:val="32"/>
        </w:rPr>
      </w:pPr>
      <w:r>
        <w:rPr>
          <w:rFonts w:hint="eastAsia" w:ascii="仿宋" w:hAnsi="仿宋" w:eastAsia="仿宋" w:cs="仿宋_GB2312"/>
          <w:kern w:val="1"/>
          <w:sz w:val="32"/>
          <w:szCs w:val="32"/>
        </w:rPr>
        <w:t>我中心</w:t>
      </w:r>
      <w:r>
        <w:rPr>
          <w:rFonts w:hint="eastAsia" w:ascii="仿宋" w:hAnsi="仿宋" w:eastAsia="仿宋" w:cs="仿宋"/>
          <w:sz w:val="32"/>
          <w:szCs w:val="32"/>
        </w:rPr>
        <w:t>主要负责所在行政区域内的国省干线公路及农村公路的建设、养护和管理工作，公路养护</w:t>
      </w:r>
      <w:r>
        <w:rPr>
          <w:rFonts w:hint="eastAsia" w:ascii="仿宋" w:hAnsi="仿宋" w:eastAsia="仿宋" w:cs="仿宋"/>
          <w:sz w:val="32"/>
          <w:szCs w:val="32"/>
          <w:lang w:eastAsia="zh-CN"/>
        </w:rPr>
        <w:t>和建设虽</w:t>
      </w:r>
      <w:r>
        <w:rPr>
          <w:rFonts w:hint="eastAsia" w:ascii="仿宋" w:hAnsi="仿宋" w:eastAsia="仿宋" w:cs="仿宋"/>
          <w:sz w:val="32"/>
          <w:szCs w:val="32"/>
        </w:rPr>
        <w:t>安排了经费，</w:t>
      </w:r>
      <w:r>
        <w:rPr>
          <w:rFonts w:hint="eastAsia" w:ascii="仿宋" w:hAnsi="仿宋" w:eastAsia="仿宋" w:cs="仿宋"/>
          <w:sz w:val="32"/>
          <w:szCs w:val="32"/>
          <w:lang w:eastAsia="zh-CN"/>
        </w:rPr>
        <w:t>但实际</w:t>
      </w:r>
      <w:r>
        <w:rPr>
          <w:rFonts w:hint="eastAsia" w:ascii="仿宋" w:hAnsi="仿宋" w:eastAsia="仿宋" w:cs="仿宋"/>
          <w:sz w:val="32"/>
          <w:szCs w:val="32"/>
        </w:rPr>
        <w:t>经费</w:t>
      </w:r>
      <w:r>
        <w:rPr>
          <w:rFonts w:hint="eastAsia" w:ascii="仿宋" w:hAnsi="仿宋" w:eastAsia="仿宋" w:cs="仿宋"/>
          <w:sz w:val="32"/>
          <w:szCs w:val="32"/>
          <w:lang w:eastAsia="zh-CN"/>
        </w:rPr>
        <w:t>不足</w:t>
      </w:r>
      <w:r>
        <w:rPr>
          <w:rFonts w:hint="eastAsia" w:ascii="仿宋" w:hAnsi="仿宋" w:eastAsia="仿宋" w:cs="仿宋"/>
          <w:sz w:val="32"/>
          <w:szCs w:val="32"/>
        </w:rPr>
        <w:t>，路面病害不能及时处治，存在较大安全隐患。</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八、改进措施和有关建议</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楷体"/>
          <w:color w:val="000000" w:themeColor="text1"/>
          <w:sz w:val="32"/>
          <w:szCs w:val="32"/>
          <w:highlight w:val="none"/>
          <w14:textFill>
            <w14:solidFill>
              <w14:schemeClr w14:val="tx1"/>
            </w14:solidFill>
          </w14:textFill>
        </w:rPr>
      </w:pPr>
      <w:r>
        <w:rPr>
          <w:rFonts w:hint="eastAsia" w:eastAsia="楷体"/>
          <w:color w:val="000000" w:themeColor="text1"/>
          <w:sz w:val="32"/>
          <w:szCs w:val="32"/>
          <w:highlight w:val="none"/>
          <w14:textFill>
            <w14:solidFill>
              <w14:schemeClr w14:val="tx1"/>
            </w14:solidFill>
          </w14:textFill>
        </w:rPr>
        <w:t>1.科学合理编制预算，严格执行预算。</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楷体"/>
          <w:color w:val="000000" w:themeColor="text1"/>
          <w:sz w:val="32"/>
          <w:szCs w:val="32"/>
          <w:highlight w:val="none"/>
          <w14:textFill>
            <w14:solidFill>
              <w14:schemeClr w14:val="tx1"/>
            </w14:solidFill>
          </w14:textFill>
        </w:rPr>
      </w:pPr>
      <w:r>
        <w:rPr>
          <w:rFonts w:hint="eastAsia" w:eastAsia="楷体"/>
          <w:color w:val="000000" w:themeColor="text1"/>
          <w:sz w:val="32"/>
          <w:szCs w:val="32"/>
          <w:highlight w:val="none"/>
          <w14:textFill>
            <w14:solidFill>
              <w14:schemeClr w14:val="tx1"/>
            </w14:solidFill>
          </w14:textFill>
        </w:rPr>
        <w:t>加强预算编制的前瞻性，按照新</w:t>
      </w:r>
      <w:r>
        <w:rPr>
          <w:rFonts w:hint="eastAsia" w:eastAsia="楷体"/>
          <w:color w:val="000000" w:themeColor="text1"/>
          <w:sz w:val="32"/>
          <w:szCs w:val="32"/>
          <w:highlight w:val="none"/>
          <w:lang w:eastAsia="zh-CN"/>
          <w14:textFill>
            <w14:solidFill>
              <w14:schemeClr w14:val="tx1"/>
            </w14:solidFill>
          </w14:textFill>
        </w:rPr>
        <w:t>《中华人民共和国预算法》</w:t>
      </w:r>
      <w:r>
        <w:rPr>
          <w:rFonts w:hint="eastAsia" w:eastAsia="楷体"/>
          <w:color w:val="000000" w:themeColor="text1"/>
          <w:sz w:val="32"/>
          <w:szCs w:val="32"/>
          <w:highlight w:val="none"/>
          <w14:textFill>
            <w14:solidFill>
              <w14:schemeClr w14:val="tx1"/>
            </w14:solidFill>
          </w14:textFill>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楷体"/>
          <w:color w:val="000000" w:themeColor="text1"/>
          <w:sz w:val="32"/>
          <w:szCs w:val="32"/>
          <w:highlight w:val="none"/>
          <w14:textFill>
            <w14:solidFill>
              <w14:schemeClr w14:val="tx1"/>
            </w14:solidFill>
          </w14:textFill>
        </w:rPr>
      </w:pPr>
      <w:r>
        <w:rPr>
          <w:rFonts w:hint="eastAsia" w:eastAsia="楷体"/>
          <w:color w:val="000000" w:themeColor="text1"/>
          <w:sz w:val="32"/>
          <w:szCs w:val="32"/>
          <w:highlight w:val="none"/>
          <w14:textFill>
            <w14:solidFill>
              <w14:schemeClr w14:val="tx1"/>
            </w14:solidFill>
          </w14:textFill>
        </w:rPr>
        <w:t>2.完善管理制度，进一步加强资产管理。</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楷体"/>
          <w:color w:val="000000" w:themeColor="text1"/>
          <w:sz w:val="32"/>
          <w:szCs w:val="32"/>
          <w:highlight w:val="none"/>
          <w14:textFill>
            <w14:solidFill>
              <w14:schemeClr w14:val="tx1"/>
            </w14:solidFill>
          </w14:textFill>
        </w:rPr>
      </w:pPr>
      <w:r>
        <w:rPr>
          <w:rFonts w:hint="eastAsia" w:eastAsia="楷体"/>
          <w:color w:val="000000" w:themeColor="text1"/>
          <w:sz w:val="32"/>
          <w:szCs w:val="32"/>
          <w:highlight w:val="none"/>
          <w14:textFill>
            <w14:solidFill>
              <w14:schemeClr w14:val="tx1"/>
            </w14:solidFill>
          </w14:textFill>
        </w:rPr>
        <w:t>进一步贯彻落实中央</w:t>
      </w:r>
      <w:r>
        <w:rPr>
          <w:rFonts w:hint="eastAsia" w:eastAsia="楷体"/>
          <w:color w:val="000000" w:themeColor="text1"/>
          <w:sz w:val="32"/>
          <w:szCs w:val="32"/>
          <w:highlight w:val="none"/>
          <w:lang w:eastAsia="zh-CN"/>
          <w14:textFill>
            <w14:solidFill>
              <w14:schemeClr w14:val="tx1"/>
            </w14:solidFill>
          </w14:textFill>
        </w:rPr>
        <w:t>八项规定</w:t>
      </w:r>
      <w:r>
        <w:rPr>
          <w:rFonts w:hint="eastAsia" w:eastAsia="楷体"/>
          <w:color w:val="000000" w:themeColor="text1"/>
          <w:sz w:val="32"/>
          <w:szCs w:val="32"/>
          <w:highlight w:val="none"/>
          <w14:textFill>
            <w14:solidFill>
              <w14:schemeClr w14:val="tx1"/>
            </w14:solidFill>
          </w14:textFill>
        </w:rPr>
        <w:t>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楷体"/>
          <w:color w:val="000000" w:themeColor="text1"/>
          <w:sz w:val="32"/>
          <w:szCs w:val="32"/>
          <w:highlight w:val="none"/>
          <w14:textFill>
            <w14:solidFill>
              <w14:schemeClr w14:val="tx1"/>
            </w14:solidFill>
          </w14:textFill>
        </w:rPr>
      </w:pPr>
      <w:r>
        <w:rPr>
          <w:rFonts w:hint="eastAsia" w:eastAsia="楷体"/>
          <w:color w:val="000000" w:themeColor="text1"/>
          <w:sz w:val="32"/>
          <w:szCs w:val="32"/>
          <w:highlight w:val="none"/>
          <w14:textFill>
            <w14:solidFill>
              <w14:schemeClr w14:val="tx1"/>
            </w14:solidFill>
          </w14:textFill>
        </w:rPr>
        <w:t>3.加强新行政单位会计制度和新预算法学习培训。</w:t>
      </w:r>
    </w:p>
    <w:p>
      <w:pPr>
        <w:pStyle w:val="17"/>
        <w:keepNext w:val="0"/>
        <w:keepLines w:val="0"/>
        <w:pageBreakBefore w:val="0"/>
        <w:widowControl/>
        <w:kinsoku/>
        <w:wordWrap/>
        <w:overflowPunct/>
        <w:topLinePunct w:val="0"/>
        <w:autoSpaceDE/>
        <w:autoSpaceDN/>
        <w:bidi w:val="0"/>
        <w:adjustRightInd/>
        <w:snapToGrid/>
        <w:spacing w:line="40" w:lineRule="atLeast"/>
        <w:ind w:firstLine="640"/>
        <w:textAlignment w:val="auto"/>
        <w:rPr>
          <w:rFonts w:eastAsia="黑体"/>
          <w:color w:val="000000" w:themeColor="text1"/>
          <w:sz w:val="32"/>
          <w:szCs w:val="32"/>
          <w:highlight w:val="none"/>
          <w14:textFill>
            <w14:solidFill>
              <w14:schemeClr w14:val="tx1"/>
            </w14:solidFill>
          </w14:textFill>
        </w:rPr>
      </w:pPr>
      <w:r>
        <w:rPr>
          <w:rFonts w:hint="eastAsia" w:eastAsia="楷体"/>
          <w:color w:val="000000" w:themeColor="text1"/>
          <w:sz w:val="32"/>
          <w:szCs w:val="32"/>
          <w:highlight w:val="none"/>
          <w14:textFill>
            <w14:solidFill>
              <w14:schemeClr w14:val="tx1"/>
            </w14:solidFill>
          </w14:textFill>
        </w:rPr>
        <w:t>加强新</w:t>
      </w:r>
      <w:r>
        <w:rPr>
          <w:rFonts w:hint="eastAsia" w:eastAsia="楷体"/>
          <w:color w:val="000000" w:themeColor="text1"/>
          <w:sz w:val="32"/>
          <w:szCs w:val="32"/>
          <w:highlight w:val="none"/>
          <w:lang w:eastAsia="zh-CN"/>
          <w14:textFill>
            <w14:solidFill>
              <w14:schemeClr w14:val="tx1"/>
            </w14:solidFill>
          </w14:textFill>
        </w:rPr>
        <w:t>《中华人民共和国预算法》</w:t>
      </w:r>
      <w:r>
        <w:rPr>
          <w:rFonts w:hint="eastAsia" w:eastAsia="楷体"/>
          <w:color w:val="000000" w:themeColor="text1"/>
          <w:sz w:val="32"/>
          <w:szCs w:val="32"/>
          <w:highlight w:val="none"/>
          <w14:textFill>
            <w14:solidFill>
              <w14:schemeClr w14:val="tx1"/>
            </w14:solidFill>
          </w14:textFill>
        </w:rPr>
        <w:t xml:space="preserve">、《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ascii="仿宋_GB2312" w:hAnsi="宋体" w:eastAsia="仿宋_GB2312"/>
          <w:color w:val="000000" w:themeColor="text1"/>
          <w:sz w:val="32"/>
          <w:szCs w:val="32"/>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九、其他需要说明的情况</w:t>
      </w:r>
    </w:p>
    <w:p>
      <w:pPr>
        <w:keepNext w:val="0"/>
        <w:keepLines w:val="0"/>
        <w:pageBreakBefore w:val="0"/>
        <w:widowControl/>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仿宋"/>
          <w:color w:val="000000" w:themeColor="text1"/>
          <w:sz w:val="32"/>
          <w:szCs w:val="32"/>
          <w:highlight w:val="none"/>
          <w14:textFill>
            <w14:solidFill>
              <w14:schemeClr w14:val="tx1"/>
            </w14:solidFill>
          </w14:textFill>
        </w:rPr>
      </w:pPr>
      <w:r>
        <w:rPr>
          <w:rFonts w:hint="eastAsia" w:ascii="Times New Roman" w:hAnsi="Times New Roman" w:eastAsia="仿宋"/>
          <w:color w:val="000000" w:themeColor="text1"/>
          <w:sz w:val="32"/>
          <w:szCs w:val="32"/>
          <w:highlight w:val="none"/>
          <w14:textFill>
            <w14:solidFill>
              <w14:schemeClr w14:val="tx1"/>
            </w14:solidFill>
          </w14:textFill>
        </w:rPr>
        <w:t>报告应包括以下附件：</w:t>
      </w:r>
    </w:p>
    <w:p>
      <w:pPr>
        <w:keepNext w:val="0"/>
        <w:keepLines w:val="0"/>
        <w:pageBreakBefore w:val="0"/>
        <w:widowControl/>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1.</w:t>
      </w:r>
      <w:r>
        <w:rPr>
          <w:rFonts w:hint="eastAsia" w:ascii="Times New Roman" w:hAnsi="Times New Roman" w:eastAsia="仿宋"/>
          <w:color w:val="000000" w:themeColor="text1"/>
          <w:sz w:val="32"/>
          <w:szCs w:val="32"/>
          <w:highlight w:val="none"/>
          <w14:textFill>
            <w14:solidFill>
              <w14:schemeClr w14:val="tx1"/>
            </w14:solidFill>
          </w14:textFill>
        </w:rPr>
        <w:t>部门整体支出绩效评价指标评分表</w:t>
      </w:r>
    </w:p>
    <w:p>
      <w:pPr>
        <w:keepNext w:val="0"/>
        <w:keepLines w:val="0"/>
        <w:pageBreakBefore w:val="0"/>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ind w:firstLine="640" w:firstLineChars="200"/>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atLeast"/>
        <w:textAlignment w:val="auto"/>
        <w:rPr>
          <w:rFonts w:ascii="Times New Roman" w:hAnsi="Times New Roman" w:eastAsia="仿宋"/>
          <w:color w:val="000000" w:themeColor="text1"/>
          <w:sz w:val="32"/>
          <w:szCs w:val="32"/>
          <w:highlight w:val="none"/>
          <w14:textFill>
            <w14:solidFill>
              <w14:schemeClr w14:val="tx1"/>
            </w14:solidFill>
          </w14:textFill>
        </w:rPr>
      </w:pP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39</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35</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100%</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583.08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398.43</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685.85</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51.41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52.65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53.10</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6.7</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4.82</w:t>
            </w:r>
          </w:p>
        </w:tc>
      </w:tr>
      <w:tr>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3.81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8.07</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13.03</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7.05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2.8</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0.5</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0.17</w:t>
            </w:r>
            <w:r>
              <w:rPr>
                <w:rFonts w:ascii="Times New Roman" w:hAnsi="Times New Roman"/>
                <w:kern w:val="0"/>
                <w:szCs w:val="21"/>
              </w:rPr>
              <w:t>　</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0.5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0.17</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267.93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490.82</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267.93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490.82</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公路养护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135.09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260.95</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val="en-US" w:eastAsia="zh-CN"/>
              </w:rPr>
            </w:pPr>
            <w:r>
              <w:rPr>
                <w:rFonts w:ascii="Times New Roman" w:hAnsi="Times New Roman"/>
                <w:kern w:val="0"/>
                <w:szCs w:val="21"/>
              </w:rPr>
              <w:t xml:space="preserve"> </w:t>
            </w:r>
            <w:r>
              <w:rPr>
                <w:rFonts w:hint="eastAsia" w:ascii="Times New Roman" w:hAnsi="Times New Roman"/>
                <w:kern w:val="0"/>
                <w:szCs w:val="21"/>
                <w:lang w:val="en-US" w:eastAsia="zh-CN"/>
              </w:rPr>
              <w:t xml:space="preserve"> 安防工程</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86.72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188.17</w:t>
            </w:r>
          </w:p>
        </w:tc>
      </w:tr>
      <w:tr>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危桥改造</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46.12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41.7</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eastAsia="zh-CN"/>
              </w:rPr>
              <w:t>节约支出，压减三公经费支出</w:t>
            </w:r>
            <w:r>
              <w:rPr>
                <w:rFonts w:hint="eastAsia" w:ascii="Times New Roman" w:hAnsi="Times New Roman"/>
                <w:kern w:val="0"/>
                <w:szCs w:val="21"/>
              </w:rPr>
              <w:t>　</w:t>
            </w:r>
            <w:r>
              <w:rPr>
                <w:rFonts w:ascii="Times New Roman" w:hAnsi="Times New Roman"/>
                <w:kern w:val="0"/>
                <w:szCs w:val="21"/>
              </w:rPr>
              <w:t>　</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hint="eastAsia" w:ascii="Times New Roman" w:hAnsi="Times New Roman" w:eastAsia="仿宋_GB2312" w:cs="Times New Roman"/>
          <w:sz w:val="24"/>
          <w:lang w:val="en-US" w:eastAsia="zh-CN"/>
        </w:rPr>
      </w:pPr>
      <w:r>
        <w:rPr>
          <w:rFonts w:ascii="Times New Roman" w:hAnsi="Times New Roman" w:eastAsia="仿宋_GB2312" w:cs="Times New Roman"/>
          <w:sz w:val="24"/>
        </w:rPr>
        <w:t>填表人：</w:t>
      </w:r>
      <w:r>
        <w:rPr>
          <w:rFonts w:hint="eastAsia" w:ascii="Times New Roman" w:hAnsi="Times New Roman" w:eastAsia="仿宋_GB2312" w:cs="Times New Roman"/>
          <w:sz w:val="24"/>
          <w:lang w:eastAsia="zh-CN"/>
        </w:rPr>
        <w:t>谢慧子</w:t>
      </w:r>
      <w:r>
        <w:rPr>
          <w:rFonts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填报日期：</w:t>
      </w:r>
      <w:r>
        <w:rPr>
          <w:rFonts w:hint="eastAsia" w:ascii="Times New Roman" w:hAnsi="Times New Roman" w:eastAsia="仿宋_GB2312" w:cs="Times New Roman"/>
          <w:sz w:val="24"/>
          <w:lang w:val="en-US" w:eastAsia="zh-CN"/>
        </w:rPr>
        <w:t>2023年3月31日</w:t>
      </w:r>
      <w:r>
        <w:rPr>
          <w:rFonts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联系电话：</w:t>
      </w:r>
      <w:r>
        <w:rPr>
          <w:rFonts w:hint="eastAsia" w:ascii="Times New Roman" w:hAnsi="Times New Roman" w:eastAsia="仿宋_GB2312" w:cs="Times New Roman"/>
          <w:sz w:val="24"/>
          <w:lang w:val="en-US" w:eastAsia="zh-CN"/>
        </w:rPr>
        <w:t>17507479664</w:t>
      </w:r>
    </w:p>
    <w:p>
      <w:pPr>
        <w:rPr>
          <w:rFonts w:hint="eastAsia" w:ascii="Times New Roman" w:hAnsi="Times New Roman" w:eastAsia="仿宋_GB2312" w:cs="Times New Roman"/>
          <w:sz w:val="24"/>
          <w:lang w:eastAsia="zh-CN"/>
        </w:rPr>
      </w:pPr>
      <w:r>
        <w:rPr>
          <w:rFonts w:ascii="Times New Roman" w:hAnsi="Times New Roman" w:eastAsia="仿宋_GB2312" w:cs="Times New Roman"/>
          <w:sz w:val="24"/>
        </w:rPr>
        <w:t>单位负责人签字：</w:t>
      </w:r>
      <w:r>
        <w:rPr>
          <w:rFonts w:hint="eastAsia" w:ascii="Times New Roman" w:hAnsi="Times New Roman" w:eastAsia="仿宋_GB2312" w:cs="Times New Roman"/>
          <w:sz w:val="24"/>
          <w:lang w:eastAsia="zh-CN"/>
        </w:rPr>
        <w:t>陈述</w:t>
      </w:r>
    </w:p>
    <w:p>
      <w:pPr>
        <w:rPr>
          <w:rFonts w:ascii="Times New Roman" w:hAnsi="Times New Roman" w:eastAsia="黑体"/>
        </w:rPr>
      </w:pPr>
      <w:r>
        <w:rPr>
          <w:rFonts w:ascii="Times New Roman" w:hAnsi="Times New Roman" w:eastAsia="黑体"/>
          <w:sz w:val="32"/>
          <w:szCs w:val="32"/>
        </w:rPr>
        <w:t>附件3</w:t>
      </w:r>
    </w:p>
    <w:tbl>
      <w:tblPr>
        <w:tblStyle w:val="7"/>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衡阳市公路建设养护中心雁峰分中心</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398.43</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398.43</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398.43</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承担辖区内国省干线公路和农村公路、桥梁的建设、养护和管理职责。2.负责编制并组织实施辖区内管养公路的发展规划和养护计划。3.负责所管养公路及附属设施的建设、日常养护、改造升级、绿化工作、公路安防工程等。4.协助所管公路、桥梁的路政管理、参与、协助公路沿线户外广告设置管理；协助查处侵占公路用地、破坏公路设施等违法、违规、违章行为，依法维护公路产权等工作。</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numPr>
                <w:ilvl w:val="0"/>
                <w:numId w:val="0"/>
              </w:numPr>
              <w:tabs>
                <w:tab w:val="left" w:pos="1107"/>
                <w:tab w:val="center" w:pos="4427"/>
              </w:tabs>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1.年末全区干线公路优良率90%，农村公路优良率达70%以上。2.全面完成年度大中修及预防性养护任务，工程质量合格率达100%。3.年内创建一条农村公路养护示范性公路。</w:t>
            </w: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完成投资国省道大中修</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覆盖率达到</w:t>
            </w: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国省道路使用性能数、工程监督抽检覆盖率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033"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政府下达工程按期完成</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2022年任务按期完成</w:t>
            </w:r>
          </w:p>
          <w:p>
            <w:pPr>
              <w:widowControl/>
              <w:jc w:val="center"/>
              <w:rPr>
                <w:rFonts w:ascii="Times New Roman" w:hAnsi="Times New Roman" w:eastAsia="仿宋_GB2312"/>
                <w:color w:val="000000"/>
                <w:kern w:val="0"/>
                <w:szCs w:val="21"/>
              </w:rPr>
            </w:pP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center"/>
              <w:rPr>
                <w:rFonts w:ascii="Times New Roman" w:hAnsi="Times New Roman" w:eastAsia="仿宋_GB2312"/>
                <w:color w:val="000000"/>
                <w:kern w:val="0"/>
                <w:szCs w:val="21"/>
              </w:rPr>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olor w:val="000000"/>
                <w:kern w:val="0"/>
                <w:szCs w:val="21"/>
              </w:rPr>
            </w:pP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2509"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国省道大中修补助标准、农村公路改善提升工程补助标准</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不超过下达的预期成本</w:t>
            </w:r>
          </w:p>
          <w:p>
            <w:pPr>
              <w:widowControl/>
              <w:jc w:val="center"/>
              <w:rPr>
                <w:rFonts w:ascii="Times New Roman" w:hAnsi="Times New Roman" w:eastAsia="仿宋_GB2312"/>
                <w:color w:val="000000"/>
                <w:kern w:val="0"/>
                <w:szCs w:val="21"/>
              </w:rPr>
            </w:pP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没有超过预期成本</w:t>
            </w:r>
          </w:p>
          <w:p>
            <w:pPr>
              <w:widowControl/>
              <w:jc w:val="center"/>
              <w:rPr>
                <w:rFonts w:ascii="Times New Roman" w:hAnsi="Times New Roman" w:eastAsia="仿宋_GB2312"/>
                <w:color w:val="000000"/>
                <w:kern w:val="0"/>
                <w:szCs w:val="21"/>
              </w:rPr>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提供就业岗位；增加群众收入</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有效促进</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p>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有效执行</w:t>
            </w:r>
          </w:p>
          <w:p>
            <w:pPr>
              <w:widowControl/>
              <w:jc w:val="center"/>
              <w:rPr>
                <w:rFonts w:ascii="Times New Roman" w:hAnsi="Times New Roman" w:eastAsia="仿宋_GB2312"/>
                <w:color w:val="000000"/>
                <w:kern w:val="0"/>
                <w:szCs w:val="21"/>
              </w:rPr>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olor w:val="000000"/>
                <w:kern w:val="0"/>
                <w:szCs w:val="21"/>
              </w:rPr>
            </w:pP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交通基础设施网络</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构建外畅内联、结构合理、安全高效公路网</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有效促进</w:t>
            </w:r>
          </w:p>
          <w:p>
            <w:pPr>
              <w:widowControl/>
              <w:jc w:val="center"/>
              <w:rPr>
                <w:rFonts w:ascii="Times New Roman" w:hAnsi="Times New Roman" w:eastAsia="仿宋_GB2312"/>
                <w:color w:val="000000"/>
                <w:kern w:val="0"/>
                <w:szCs w:val="21"/>
              </w:rPr>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绿色交通</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建设资源节约、生态环保、节能高效</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有效执行</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长期对公路养护</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长期对管辖内公路巡查</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长期执行</w:t>
            </w:r>
          </w:p>
          <w:p>
            <w:pPr>
              <w:widowControl/>
              <w:jc w:val="center"/>
              <w:rPr>
                <w:rFonts w:ascii="Times New Roman" w:hAnsi="Times New Roman" w:eastAsia="仿宋_GB2312"/>
                <w:color w:val="000000"/>
                <w:kern w:val="0"/>
                <w:szCs w:val="21"/>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p>
            <w:pPr>
              <w:widowControl/>
              <w:jc w:val="center"/>
              <w:rPr>
                <w:rFonts w:ascii="Times New Roman" w:hAnsi="Times New Roman" w:eastAsia="仿宋_GB2312"/>
                <w:color w:val="000000"/>
                <w:kern w:val="0"/>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p>
            <w:pPr>
              <w:widowControl/>
              <w:jc w:val="center"/>
              <w:rPr>
                <w:rFonts w:ascii="Times New Roman" w:hAnsi="Times New Roman" w:eastAsia="仿宋_GB2312"/>
                <w:color w:val="000000"/>
                <w:kern w:val="0"/>
                <w:szCs w:val="21"/>
              </w:rPr>
            </w:pP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公众满意度</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ind w:firstLine="420" w:firstLineChars="200"/>
              <w:jc w:val="both"/>
              <w:rPr>
                <w:rFonts w:hint="eastAsia" w:ascii="Times New Roman" w:hAnsi="Times New Roman" w:eastAsia="仿宋_GB2312"/>
                <w:color w:val="000000"/>
                <w:kern w:val="0"/>
                <w:szCs w:val="21"/>
                <w:lang w:val="en-US" w:eastAsia="zh-CN"/>
              </w:rPr>
            </w:pPr>
          </w:p>
          <w:p>
            <w:pPr>
              <w:widowControl/>
              <w:ind w:firstLine="420" w:firstLineChars="200"/>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eastAsia" w:ascii="Times New Roman" w:hAnsi="Times New Roman" w:eastAsia="仿宋_GB2312"/>
                <w:color w:val="000000"/>
                <w:kern w:val="0"/>
                <w:szCs w:val="21"/>
                <w:lang w:val="en-US" w:eastAsia="zh-CN"/>
              </w:rPr>
            </w:pPr>
          </w:p>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p>
            <w:pPr>
              <w:widowControl/>
              <w:jc w:val="center"/>
              <w:rPr>
                <w:rFonts w:ascii="Times New Roman" w:hAnsi="Times New Roman" w:eastAsia="仿宋_GB2312"/>
                <w:color w:val="000000"/>
                <w:kern w:val="0"/>
                <w:szCs w:val="21"/>
              </w:rPr>
            </w:pP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rPr>
          <w:rFonts w:ascii="Times New Roman" w:hAnsi="Times New Roman" w:eastAsia="仿宋_GB2312"/>
          <w:sz w:val="24"/>
        </w:rPr>
      </w:pPr>
    </w:p>
    <w:p>
      <w:pPr>
        <w:rPr>
          <w:rFonts w:hint="eastAsia" w:ascii="Times New Roman" w:hAnsi="Times New Roman" w:eastAsia="仿宋_GB2312" w:cs="Times New Roman"/>
          <w:sz w:val="24"/>
          <w:lang w:val="en-US" w:eastAsia="zh-CN"/>
        </w:rPr>
      </w:pPr>
      <w:r>
        <w:rPr>
          <w:rFonts w:ascii="Times New Roman" w:hAnsi="Times New Roman" w:eastAsia="仿宋_GB2312"/>
          <w:sz w:val="24"/>
        </w:rPr>
        <w:t>填表人：</w:t>
      </w:r>
      <w:r>
        <w:rPr>
          <w:rFonts w:hint="eastAsia" w:ascii="Times New Roman" w:hAnsi="Times New Roman" w:eastAsia="仿宋_GB2312"/>
          <w:sz w:val="24"/>
          <w:lang w:eastAsia="zh-CN"/>
        </w:rPr>
        <w:t>谢慧子</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2023.03.31     </w:t>
      </w:r>
      <w:r>
        <w:rPr>
          <w:rFonts w:ascii="Times New Roman" w:hAnsi="Times New Roman" w:eastAsia="仿宋_GB2312"/>
          <w:sz w:val="24"/>
        </w:rPr>
        <w:t xml:space="preserve">   联系电话：</w:t>
      </w:r>
      <w:r>
        <w:rPr>
          <w:rFonts w:hint="eastAsia" w:ascii="Times New Roman" w:hAnsi="Times New Roman" w:eastAsia="仿宋_GB2312" w:cs="Times New Roman"/>
          <w:sz w:val="24"/>
          <w:lang w:val="en-US" w:eastAsia="zh-CN"/>
        </w:rPr>
        <w:t>17507479664</w:t>
      </w:r>
    </w:p>
    <w:p>
      <w:pPr>
        <w:spacing w:beforeLines="50"/>
        <w:rPr>
          <w:rFonts w:hint="eastAsia" w:ascii="Times New Roman" w:hAnsi="Times New Roman" w:eastAsia="仿宋_GB2312"/>
          <w:sz w:val="32"/>
          <w:szCs w:val="32"/>
          <w:lang w:eastAsia="zh-CN"/>
        </w:rPr>
      </w:pPr>
      <w:r>
        <w:rPr>
          <w:rFonts w:ascii="Times New Roman" w:hAnsi="Times New Roman" w:eastAsia="仿宋_GB2312"/>
          <w:sz w:val="24"/>
        </w:rPr>
        <w:t>单位负责人签字：</w:t>
      </w:r>
      <w:r>
        <w:rPr>
          <w:rFonts w:hint="eastAsia" w:ascii="Times New Roman" w:hAnsi="Times New Roman" w:eastAsia="仿宋_GB2312"/>
          <w:sz w:val="24"/>
          <w:lang w:eastAsia="zh-CN"/>
        </w:rPr>
        <w:t>陈述</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附件4</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公路养护</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衡阳市公路建设养护中心</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衡阳市公路建设养护中心</w:t>
            </w:r>
          </w:p>
          <w:p>
            <w:pPr>
              <w:widowControl/>
              <w:ind w:firstLine="630" w:firstLineChars="3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雁峰分中心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260.95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260.95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119.76</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119.76</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141.19</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141.19</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干线公路的日常养护</w:t>
            </w:r>
          </w:p>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辖区桥梁的巡查</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公路生命防护工程的监管</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完成干线公路的日常养护</w:t>
            </w:r>
          </w:p>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辖区桥梁的巡查</w:t>
            </w:r>
          </w:p>
          <w:p>
            <w:pPr>
              <w:widowControl/>
              <w:ind w:firstLine="840" w:firstLineChars="4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公路生命防护工程的监管</w:t>
            </w:r>
          </w:p>
        </w:tc>
      </w:tr>
      <w:tr>
        <w:tblPrEx>
          <w:tblCellMar>
            <w:top w:w="0" w:type="dxa"/>
            <w:left w:w="108" w:type="dxa"/>
            <w:bottom w:w="0" w:type="dxa"/>
            <w:right w:w="108" w:type="dxa"/>
          </w:tblCellMar>
        </w:tblPrEx>
        <w:trPr>
          <w:trHeight w:val="68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1336"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完成投资公路大中修覆盖率</w:t>
            </w:r>
          </w:p>
        </w:tc>
        <w:tc>
          <w:tcPr>
            <w:tcW w:w="1230"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覆盖率达到</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15</w:t>
            </w: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28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国省道路使用性能数、工程监督抽检覆盖率</w:t>
            </w:r>
          </w:p>
        </w:tc>
        <w:tc>
          <w:tcPr>
            <w:tcW w:w="1230"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663"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政府下达工程按期完成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2022年任务按期完成</w:t>
            </w:r>
          </w:p>
          <w:p>
            <w:pPr>
              <w:widowControl/>
              <w:jc w:val="center"/>
              <w:rPr>
                <w:rFonts w:ascii="Times New Roman" w:hAnsi="Times New Roman" w:eastAsia="仿宋_GB2312" w:cs="Times New Roman"/>
                <w:color w:val="000000"/>
                <w:kern w:val="0"/>
                <w:sz w:val="21"/>
                <w:szCs w:val="21"/>
                <w:lang w:val="en-US" w:eastAsia="zh-CN" w:bidi="ar-SA"/>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2449"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国省道大中修补助标准、农村公路改善提升工程补助标准</w:t>
            </w: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不超过下达的预期成本</w:t>
            </w:r>
          </w:p>
          <w:p>
            <w:pPr>
              <w:widowControl/>
              <w:jc w:val="center"/>
              <w:rPr>
                <w:rFonts w:ascii="Times New Roman" w:hAnsi="Times New Roman" w:eastAsia="仿宋_GB2312" w:cs="Times New Roman"/>
                <w:color w:val="000000"/>
                <w:kern w:val="0"/>
                <w:sz w:val="21"/>
                <w:szCs w:val="21"/>
                <w:lang w:val="en-US" w:eastAsia="zh-CN" w:bidi="ar-SA"/>
              </w:rPr>
            </w:pP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没有超过预期成本</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89"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提供就业岗位；增加群众收入</w:t>
            </w:r>
          </w:p>
        </w:tc>
        <w:tc>
          <w:tcPr>
            <w:tcW w:w="123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有效促进</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p>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有效执行</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交通基础设施网络</w:t>
            </w:r>
          </w:p>
        </w:tc>
        <w:tc>
          <w:tcPr>
            <w:tcW w:w="1230"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构建外畅内联、结构合理、安全高效公路网</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有效促进</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right w:val="single" w:color="auto" w:sz="4" w:space="0"/>
            </w:tcBorders>
            <w:shd w:val="clear" w:color="auto" w:fill="auto"/>
            <w:noWrap/>
            <w:vAlign w:val="center"/>
          </w:tcPr>
          <w:p>
            <w:pPr>
              <w:widowControl/>
              <w:ind w:firstLine="420" w:firstLineChars="200"/>
              <w:jc w:val="center"/>
              <w:rPr>
                <w:rFonts w:hint="eastAsia" w:ascii="Times New Roman" w:hAnsi="Times New Roman" w:eastAsia="仿宋_GB2312"/>
                <w:color w:val="000000"/>
                <w:kern w:val="0"/>
                <w:szCs w:val="21"/>
                <w:lang w:val="en-US" w:eastAsia="zh-CN"/>
              </w:rPr>
            </w:pPr>
          </w:p>
          <w:p>
            <w:pPr>
              <w:widowControl/>
              <w:ind w:firstLine="210" w:firstLineChars="100"/>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绿色交通</w:t>
            </w:r>
          </w:p>
        </w:tc>
        <w:tc>
          <w:tcPr>
            <w:tcW w:w="1230" w:type="dxa"/>
            <w:vMerge w:val="restart"/>
            <w:tcBorders>
              <w:top w:val="single" w:color="auto" w:sz="4" w:space="0"/>
              <w:left w:val="single" w:color="auto" w:sz="4" w:space="0"/>
              <w:right w:val="single" w:color="auto" w:sz="4" w:space="0"/>
            </w:tcBorders>
            <w:shd w:val="clear" w:color="auto" w:fill="auto"/>
            <w:noWrap/>
            <w:vAlign w:val="center"/>
          </w:tcPr>
          <w:p>
            <w:pPr>
              <w:widowControl/>
              <w:jc w:val="both"/>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建设资源节约、生态环保、节能高效</w:t>
            </w:r>
          </w:p>
        </w:tc>
        <w:tc>
          <w:tcPr>
            <w:tcW w:w="1107" w:type="dxa"/>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有效执行</w:t>
            </w:r>
          </w:p>
        </w:tc>
        <w:tc>
          <w:tcPr>
            <w:tcW w:w="993" w:type="dxa"/>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长期对公路养护</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长期对管辖内公路巡查</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长期执行</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both"/>
              <w:rPr>
                <w:rFonts w:hint="eastAsia" w:ascii="Times New Roman" w:hAnsi="Times New Roman" w:eastAsia="仿宋_GB2312"/>
                <w:color w:val="000000"/>
                <w:kern w:val="0"/>
                <w:szCs w:val="21"/>
                <w:lang w:val="en-US" w:eastAsia="zh-CN"/>
              </w:rPr>
            </w:pPr>
          </w:p>
          <w:p>
            <w:pPr>
              <w:widowControl/>
              <w:ind w:firstLine="420" w:firstLineChars="200"/>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ind w:firstLine="210" w:firstLineChars="100"/>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4"/>
        </w:rPr>
      </w:pPr>
    </w:p>
    <w:p>
      <w:pPr>
        <w:jc w:val="left"/>
        <w:rPr>
          <w:rFonts w:hint="eastAsia" w:ascii="Times New Roman" w:hAnsi="Times New Roman" w:eastAsia="仿宋_GB2312" w:cs="Times New Roman"/>
          <w:sz w:val="24"/>
          <w:lang w:val="en-US" w:eastAsia="zh-CN"/>
        </w:rPr>
      </w:pPr>
      <w:r>
        <w:rPr>
          <w:rFonts w:ascii="Times New Roman" w:hAnsi="Times New Roman" w:eastAsia="仿宋_GB2312"/>
          <w:sz w:val="24"/>
        </w:rPr>
        <w:t>填表人：</w:t>
      </w:r>
      <w:r>
        <w:rPr>
          <w:rFonts w:hint="eastAsia" w:ascii="Times New Roman" w:hAnsi="Times New Roman" w:eastAsia="仿宋_GB2312"/>
          <w:sz w:val="24"/>
          <w:lang w:eastAsia="zh-CN"/>
        </w:rPr>
        <w:t>谢慧子</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2023.03.31</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cs="Times New Roman"/>
          <w:sz w:val="24"/>
          <w:lang w:val="en-US" w:eastAsia="zh-CN"/>
        </w:rPr>
        <w:t>17507479664</w:t>
      </w:r>
    </w:p>
    <w:p>
      <w:pPr>
        <w:jc w:val="left"/>
        <w:rPr>
          <w:rFonts w:hint="eastAsia" w:ascii="Times New Roman" w:hAnsi="Times New Roman" w:eastAsia="仿宋_GB2312" w:cs="Times New Roman"/>
          <w:sz w:val="24"/>
          <w:lang w:val="en-US" w:eastAsia="zh-CN"/>
        </w:rPr>
      </w:pPr>
    </w:p>
    <w:p>
      <w:pPr>
        <w:jc w:val="left"/>
        <w:rPr>
          <w:rFonts w:hint="eastAsia" w:ascii="Times New Roman" w:hAnsi="Times New Roman" w:eastAsia="仿宋_GB2312"/>
          <w:sz w:val="32"/>
          <w:szCs w:val="32"/>
          <w:lang w:eastAsia="zh-CN"/>
        </w:rPr>
      </w:pPr>
      <w:r>
        <w:rPr>
          <w:rFonts w:ascii="Times New Roman" w:hAnsi="Times New Roman" w:eastAsia="仿宋_GB2312"/>
          <w:sz w:val="24"/>
        </w:rPr>
        <w:t>单位负责人签字：</w:t>
      </w:r>
      <w:r>
        <w:rPr>
          <w:rFonts w:hint="eastAsia" w:ascii="Times New Roman" w:hAnsi="Times New Roman" w:eastAsia="仿宋_GB2312"/>
          <w:sz w:val="24"/>
          <w:lang w:eastAsia="zh-CN"/>
        </w:rPr>
        <w:t>陈述</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农村公路生命安全防护工程</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衡阳市公路建设养护中心</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衡阳市公路建设养护中心</w:t>
            </w:r>
          </w:p>
          <w:p>
            <w:pPr>
              <w:widowControl/>
              <w:ind w:firstLine="1050" w:firstLineChars="5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雁峰分中心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188.17</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188.17</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81.76</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81.76</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106.41</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106.41</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完成全年内安防工程</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完成目标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156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完成投资农村公路大中修覆盖率</w:t>
            </w:r>
          </w:p>
        </w:tc>
        <w:tc>
          <w:tcPr>
            <w:tcW w:w="1230"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覆盖率达到</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p>
          <w:p>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国省道路使用性能数、工程监督抽检覆盖率</w:t>
            </w:r>
          </w:p>
        </w:tc>
        <w:tc>
          <w:tcPr>
            <w:tcW w:w="1230"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408"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政府下达工程按期完成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2022年任务按期完成</w:t>
            </w:r>
          </w:p>
          <w:p>
            <w:pPr>
              <w:widowControl/>
              <w:jc w:val="center"/>
              <w:rPr>
                <w:rFonts w:ascii="Times New Roman" w:hAnsi="Times New Roman" w:eastAsia="仿宋_GB2312" w:cs="Times New Roman"/>
                <w:color w:val="000000"/>
                <w:kern w:val="0"/>
                <w:sz w:val="21"/>
                <w:szCs w:val="21"/>
                <w:lang w:val="en-US" w:eastAsia="zh-CN" w:bidi="ar-SA"/>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2734"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国省道大中修补助标准、农村公路改善提升工程补助标准</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不超过下达的预期成本</w:t>
            </w:r>
          </w:p>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没有超过预期成本</w:t>
            </w:r>
          </w:p>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提供就业岗位；增加群众收入</w:t>
            </w: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有效促进</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p>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有效执行</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交通基础设施网络</w:t>
            </w:r>
          </w:p>
        </w:tc>
        <w:tc>
          <w:tcPr>
            <w:tcW w:w="1230"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构建外畅内联、结构合理、安全高效公路网</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有效促进</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right w:val="single" w:color="auto" w:sz="4" w:space="0"/>
            </w:tcBorders>
            <w:shd w:val="clear" w:color="auto" w:fill="auto"/>
            <w:noWrap/>
            <w:vAlign w:val="center"/>
          </w:tcPr>
          <w:p>
            <w:pPr>
              <w:widowControl/>
              <w:ind w:firstLine="420" w:firstLineChars="200"/>
              <w:jc w:val="center"/>
              <w:rPr>
                <w:rFonts w:hint="eastAsia" w:ascii="Times New Roman" w:hAnsi="Times New Roman" w:eastAsia="仿宋_GB2312"/>
                <w:color w:val="000000"/>
                <w:kern w:val="0"/>
                <w:szCs w:val="21"/>
                <w:lang w:val="en-US" w:eastAsia="zh-CN"/>
              </w:rPr>
            </w:pPr>
          </w:p>
          <w:p>
            <w:pPr>
              <w:widowControl/>
              <w:ind w:firstLine="210" w:firstLineChars="100"/>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绿色交通</w:t>
            </w:r>
          </w:p>
        </w:tc>
        <w:tc>
          <w:tcPr>
            <w:tcW w:w="1230" w:type="dxa"/>
            <w:vMerge w:val="restart"/>
            <w:tcBorders>
              <w:top w:val="single" w:color="auto" w:sz="4" w:space="0"/>
              <w:left w:val="single" w:color="auto" w:sz="4" w:space="0"/>
              <w:right w:val="single" w:color="auto" w:sz="4" w:space="0"/>
            </w:tcBorders>
            <w:shd w:val="clear" w:color="auto" w:fill="auto"/>
            <w:noWrap/>
            <w:vAlign w:val="center"/>
          </w:tcPr>
          <w:p>
            <w:pPr>
              <w:widowControl/>
              <w:jc w:val="both"/>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建设资源节约、生态环保、节能高效</w:t>
            </w:r>
          </w:p>
        </w:tc>
        <w:tc>
          <w:tcPr>
            <w:tcW w:w="1107" w:type="dxa"/>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有效执行</w:t>
            </w:r>
          </w:p>
        </w:tc>
        <w:tc>
          <w:tcPr>
            <w:tcW w:w="993" w:type="dxa"/>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长期对公路养护</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长期对管辖内公路巡查</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长期执行</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both"/>
              <w:rPr>
                <w:rFonts w:hint="eastAsia" w:ascii="Times New Roman" w:hAnsi="Times New Roman" w:eastAsia="仿宋_GB2312"/>
                <w:color w:val="000000"/>
                <w:kern w:val="0"/>
                <w:szCs w:val="21"/>
                <w:lang w:val="en-US" w:eastAsia="zh-CN"/>
              </w:rPr>
            </w:pPr>
          </w:p>
          <w:p>
            <w:pPr>
              <w:widowControl/>
              <w:ind w:firstLine="420" w:firstLineChars="200"/>
              <w:jc w:val="both"/>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ind w:firstLine="210" w:firstLineChars="100"/>
              <w:jc w:val="both"/>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jc w:val="left"/>
        <w:rPr>
          <w:rFonts w:hint="eastAsia" w:ascii="Times New Roman" w:hAnsi="Times New Roman" w:eastAsia="仿宋_GB2312" w:cs="Times New Roman"/>
          <w:sz w:val="24"/>
          <w:lang w:val="en-US" w:eastAsia="zh-CN"/>
        </w:rPr>
      </w:pPr>
      <w:r>
        <w:rPr>
          <w:rFonts w:ascii="Times New Roman" w:hAnsi="Times New Roman" w:eastAsia="仿宋_GB2312"/>
          <w:sz w:val="24"/>
        </w:rPr>
        <w:t>填表人：</w:t>
      </w:r>
      <w:r>
        <w:rPr>
          <w:rFonts w:hint="eastAsia" w:ascii="Times New Roman" w:hAnsi="Times New Roman" w:eastAsia="仿宋_GB2312"/>
          <w:sz w:val="24"/>
          <w:lang w:eastAsia="zh-CN"/>
        </w:rPr>
        <w:t>谢慧子</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2023.03.31</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cs="Times New Roman"/>
          <w:sz w:val="24"/>
          <w:lang w:val="en-US" w:eastAsia="zh-CN"/>
        </w:rPr>
        <w:t>17507479664</w:t>
      </w:r>
    </w:p>
    <w:p>
      <w:pPr>
        <w:jc w:val="left"/>
        <w:rPr>
          <w:rFonts w:hint="eastAsia" w:ascii="Times New Roman" w:hAnsi="Times New Roman" w:eastAsia="仿宋_GB2312" w:cs="Times New Roman"/>
          <w:sz w:val="24"/>
          <w:lang w:val="en-US" w:eastAsia="zh-CN"/>
        </w:rPr>
      </w:pPr>
    </w:p>
    <w:p>
      <w:pPr>
        <w:jc w:val="left"/>
        <w:rPr>
          <w:rFonts w:hint="eastAsia" w:ascii="Times New Roman" w:hAnsi="Times New Roman" w:eastAsia="仿宋_GB2312"/>
          <w:sz w:val="32"/>
          <w:szCs w:val="32"/>
          <w:lang w:eastAsia="zh-CN"/>
        </w:rPr>
      </w:pPr>
      <w:r>
        <w:rPr>
          <w:rFonts w:ascii="Times New Roman" w:hAnsi="Times New Roman" w:eastAsia="仿宋_GB2312"/>
          <w:sz w:val="24"/>
        </w:rPr>
        <w:t>单位负责人签字：</w:t>
      </w:r>
      <w:r>
        <w:rPr>
          <w:rFonts w:hint="eastAsia" w:ascii="Times New Roman" w:hAnsi="Times New Roman" w:eastAsia="仿宋_GB2312"/>
          <w:sz w:val="24"/>
          <w:lang w:eastAsia="zh-CN"/>
        </w:rPr>
        <w:t>陈述</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危桥改造</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衡阳市公路建设养护中心</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衡阳市公路建设养护中心</w:t>
            </w:r>
          </w:p>
          <w:p>
            <w:pPr>
              <w:widowControl/>
              <w:ind w:firstLine="840" w:firstLineChars="4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雁峰分中心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41.70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41.70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41.70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41.70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both"/>
              <w:rPr>
                <w:rFonts w:hint="eastAsia" w:ascii="Times New Roman" w:hAnsi="Times New Roman" w:eastAsia="仿宋_GB2312"/>
                <w:color w:val="000000"/>
                <w:kern w:val="0"/>
                <w:szCs w:val="21"/>
                <w:lang w:eastAsia="zh-CN"/>
              </w:rPr>
            </w:pPr>
          </w:p>
          <w:p>
            <w:pPr>
              <w:widowControl/>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辖区桥梁的巡查</w:t>
            </w:r>
          </w:p>
          <w:p>
            <w:pPr>
              <w:widowControl/>
              <w:jc w:val="center"/>
              <w:rPr>
                <w:rFonts w:ascii="Times New Roman" w:hAnsi="Times New Roman" w:eastAsia="仿宋_GB2312"/>
                <w:color w:val="000000"/>
                <w:kern w:val="0"/>
                <w:szCs w:val="21"/>
              </w:rPr>
            </w:pPr>
            <w:r>
              <w:rPr>
                <w:rFonts w:hint="eastAsia" w:ascii="仿宋" w:hAnsi="仿宋" w:eastAsia="仿宋" w:cs="仿宋"/>
                <w:color w:val="000000"/>
                <w:kern w:val="0"/>
                <w:szCs w:val="21"/>
              </w:rPr>
              <w:t>完成危桥改造工程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完成目标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196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完成投资国省道大中修</w:t>
            </w:r>
          </w:p>
        </w:tc>
        <w:tc>
          <w:tcPr>
            <w:tcW w:w="1230"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覆盖率达到</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国省道路使用性能数、工程监督抽检覆盖率</w:t>
            </w:r>
          </w:p>
        </w:tc>
        <w:tc>
          <w:tcPr>
            <w:tcW w:w="1230"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025"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政府下达工程按期完成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2022年任务按期完成</w:t>
            </w:r>
          </w:p>
          <w:p>
            <w:pPr>
              <w:widowControl/>
              <w:jc w:val="center"/>
              <w:rPr>
                <w:rFonts w:ascii="Times New Roman" w:hAnsi="Times New Roman" w:eastAsia="仿宋_GB2312" w:cs="Times New Roman"/>
                <w:color w:val="000000"/>
                <w:kern w:val="0"/>
                <w:sz w:val="21"/>
                <w:szCs w:val="21"/>
                <w:lang w:val="en-US" w:eastAsia="zh-CN" w:bidi="ar-SA"/>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国省道大中修补助标准、农村公路改善提升工程补助标准</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不超过下达的预期成本</w:t>
            </w:r>
          </w:p>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没有超过预期成本</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提供就业岗位；增加群众收入</w:t>
            </w: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有效促进</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p>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有效执行</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p>
            <w:pPr>
              <w:widowControl/>
              <w:jc w:val="center"/>
              <w:rPr>
                <w:rFonts w:ascii="Times New Roman" w:hAnsi="Times New Roman" w:eastAsia="仿宋_GB2312" w:cs="Times New Roman"/>
                <w:color w:val="000000"/>
                <w:kern w:val="0"/>
                <w:sz w:val="21"/>
                <w:szCs w:val="21"/>
                <w:lang w:val="en-US" w:eastAsia="zh-CN" w:bidi="ar-SA"/>
              </w:rPr>
            </w:pPr>
          </w:p>
        </w:tc>
        <w:tc>
          <w:tcPr>
            <w:tcW w:w="127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交通基础设施网络</w:t>
            </w:r>
          </w:p>
        </w:tc>
        <w:tc>
          <w:tcPr>
            <w:tcW w:w="1230"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构建外畅内联、结构合理、安全高效公路网</w:t>
            </w:r>
          </w:p>
        </w:tc>
        <w:tc>
          <w:tcPr>
            <w:tcW w:w="1107"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有效促进</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nil"/>
              <w:right w:val="single" w:color="auto" w:sz="4" w:space="0"/>
            </w:tcBorders>
            <w:shd w:val="clear" w:color="auto" w:fill="auto"/>
            <w:noWrap/>
            <w:vAlign w:val="center"/>
          </w:tcPr>
          <w:p>
            <w:pPr>
              <w:widowControl/>
              <w:ind w:firstLine="420" w:firstLineChars="200"/>
              <w:jc w:val="center"/>
              <w:rPr>
                <w:rFonts w:hint="eastAsia" w:ascii="Times New Roman" w:hAnsi="Times New Roman" w:eastAsia="仿宋_GB2312"/>
                <w:color w:val="000000"/>
                <w:kern w:val="0"/>
                <w:szCs w:val="21"/>
                <w:lang w:val="en-US" w:eastAsia="zh-CN"/>
              </w:rPr>
            </w:pPr>
          </w:p>
          <w:p>
            <w:pPr>
              <w:widowControl/>
              <w:ind w:firstLine="210" w:firstLineChars="100"/>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绿色交通</w:t>
            </w:r>
          </w:p>
        </w:tc>
        <w:tc>
          <w:tcPr>
            <w:tcW w:w="1230" w:type="dxa"/>
            <w:vMerge w:val="restart"/>
            <w:tcBorders>
              <w:top w:val="single" w:color="auto" w:sz="4" w:space="0"/>
              <w:left w:val="single" w:color="auto" w:sz="4" w:space="0"/>
              <w:right w:val="single" w:color="auto" w:sz="4" w:space="0"/>
            </w:tcBorders>
            <w:shd w:val="clear" w:color="auto" w:fill="auto"/>
            <w:noWrap/>
            <w:vAlign w:val="center"/>
          </w:tcPr>
          <w:p>
            <w:pPr>
              <w:widowControl/>
              <w:jc w:val="both"/>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建设资源节约、生态环保、节能高效</w:t>
            </w:r>
          </w:p>
        </w:tc>
        <w:tc>
          <w:tcPr>
            <w:tcW w:w="1107" w:type="dxa"/>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有效执行</w:t>
            </w:r>
          </w:p>
        </w:tc>
        <w:tc>
          <w:tcPr>
            <w:tcW w:w="993" w:type="dxa"/>
            <w:tcBorders>
              <w:top w:val="single" w:color="auto" w:sz="4" w:space="0"/>
              <w:left w:val="single" w:color="auto" w:sz="4" w:space="0"/>
              <w:right w:val="single" w:color="auto" w:sz="4" w:space="0"/>
            </w:tcBorders>
            <w:shd w:val="clear" w:color="auto" w:fill="auto"/>
            <w:noWrap/>
            <w:vAlign w:val="center"/>
          </w:tcPr>
          <w:p>
            <w:pPr>
              <w:widowControl/>
              <w:ind w:firstLine="420" w:firstLineChars="200"/>
              <w:jc w:val="center"/>
              <w:rPr>
                <w:rFonts w:hint="eastAsia" w:ascii="Times New Roman" w:hAnsi="Times New Roman" w:eastAsia="仿宋_GB2312"/>
                <w:color w:val="000000"/>
                <w:kern w:val="0"/>
                <w:szCs w:val="21"/>
                <w:lang w:val="en-US" w:eastAsia="zh-CN"/>
              </w:rPr>
            </w:pPr>
          </w:p>
          <w:p>
            <w:pPr>
              <w:widowControl/>
              <w:ind w:firstLine="210" w:firstLineChars="100"/>
              <w:jc w:val="both"/>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nil"/>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长期对公路养护</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长期对管辖内公路巡查</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长期执行</w:t>
            </w:r>
          </w:p>
          <w:p>
            <w:pPr>
              <w:widowControl/>
              <w:jc w:val="center"/>
              <w:rPr>
                <w:rFonts w:ascii="Times New Roman" w:hAnsi="Times New Roman" w:eastAsia="仿宋_GB2312" w:cs="Times New Roman"/>
                <w:color w:val="000000"/>
                <w:kern w:val="0"/>
                <w:sz w:val="21"/>
                <w:szCs w:val="21"/>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p>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jc w:val="left"/>
        <w:rPr>
          <w:rFonts w:ascii="Times New Roman" w:hAnsi="Times New Roman" w:eastAsia="仿宋_GB2312"/>
          <w:sz w:val="24"/>
        </w:rPr>
      </w:pPr>
    </w:p>
    <w:p>
      <w:pPr>
        <w:jc w:val="left"/>
        <w:rPr>
          <w:rFonts w:hint="eastAsia" w:ascii="Times New Roman" w:hAnsi="Times New Roman" w:eastAsia="仿宋_GB2312" w:cs="Times New Roman"/>
          <w:sz w:val="24"/>
          <w:lang w:val="en-US" w:eastAsia="zh-CN"/>
        </w:rPr>
      </w:pPr>
      <w:r>
        <w:rPr>
          <w:rFonts w:ascii="Times New Roman" w:hAnsi="Times New Roman" w:eastAsia="仿宋_GB2312"/>
          <w:sz w:val="24"/>
        </w:rPr>
        <w:t>填表人：</w:t>
      </w:r>
      <w:r>
        <w:rPr>
          <w:rFonts w:hint="eastAsia" w:ascii="Times New Roman" w:hAnsi="Times New Roman" w:eastAsia="仿宋_GB2312"/>
          <w:sz w:val="24"/>
          <w:lang w:eastAsia="zh-CN"/>
        </w:rPr>
        <w:t>谢慧子</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2023.03.31</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cs="Times New Roman"/>
          <w:sz w:val="24"/>
          <w:lang w:val="en-US" w:eastAsia="zh-CN"/>
        </w:rPr>
        <w:t>17507479664</w:t>
      </w:r>
    </w:p>
    <w:p>
      <w:pPr>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w:t>
      </w:r>
    </w:p>
    <w:p>
      <w:pPr>
        <w:jc w:val="left"/>
        <w:rPr>
          <w:rFonts w:hint="eastAsia" w:ascii="Times New Roman" w:hAnsi="Times New Roman" w:eastAsia="仿宋_GB2312"/>
          <w:sz w:val="32"/>
          <w:szCs w:val="32"/>
          <w:lang w:eastAsia="zh-CN"/>
        </w:rPr>
      </w:pPr>
      <w:r>
        <w:rPr>
          <w:rFonts w:ascii="Times New Roman" w:hAnsi="Times New Roman" w:eastAsia="仿宋_GB2312"/>
          <w:sz w:val="24"/>
        </w:rPr>
        <w:t>单位负责人签字：</w:t>
      </w:r>
      <w:r>
        <w:rPr>
          <w:rFonts w:hint="eastAsia" w:ascii="Times New Roman" w:hAnsi="Times New Roman" w:eastAsia="仿宋_GB2312"/>
          <w:sz w:val="24"/>
          <w:lang w:eastAsia="zh-CN"/>
        </w:rPr>
        <w:t>陈述</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spacing w:line="600" w:lineRule="exact"/>
        <w:jc w:val="center"/>
        <w:rPr>
          <w:rFonts w:ascii="Times New Roman" w:hAnsi="Times New Roman" w:eastAsia="仿宋_GB2312"/>
          <w:sz w:val="32"/>
          <w:szCs w:val="32"/>
        </w:rPr>
      </w:pPr>
      <w:r>
        <w:rPr>
          <w:rFonts w:hint="eastAsia" w:ascii="方正小标宋简体" w:hAnsi="方正小标宋简体" w:eastAsia="方正小标宋简体" w:cs="方正小标宋简体"/>
          <w:sz w:val="44"/>
          <w:szCs w:val="44"/>
        </w:rPr>
        <w:t>项目支出绩效自评报告</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pPr>
        <w:spacing w:line="520" w:lineRule="exact"/>
        <w:ind w:firstLine="560"/>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rPr>
        <w:t>项目支出：公路养护</w:t>
      </w:r>
      <w:r>
        <w:rPr>
          <w:rFonts w:hint="eastAsia" w:ascii="仿宋" w:hAnsi="仿宋" w:eastAsia="仿宋" w:cs="仿宋_GB2312"/>
          <w:kern w:val="1"/>
          <w:sz w:val="32"/>
          <w:szCs w:val="32"/>
          <w:lang w:val="en-US" w:eastAsia="zh-CN"/>
        </w:rPr>
        <w:t>260.95万元,</w:t>
      </w:r>
      <w:r>
        <w:rPr>
          <w:rFonts w:hint="eastAsia" w:ascii="仿宋" w:hAnsi="仿宋" w:eastAsia="仿宋" w:cs="仿宋_GB2312"/>
          <w:kern w:val="1"/>
          <w:sz w:val="32"/>
          <w:szCs w:val="32"/>
          <w:lang w:eastAsia="zh-CN"/>
        </w:rPr>
        <w:t>农村公路生命安全防护工程</w:t>
      </w:r>
      <w:r>
        <w:rPr>
          <w:rFonts w:hint="eastAsia" w:ascii="仿宋" w:hAnsi="仿宋" w:eastAsia="仿宋" w:cs="仿宋_GB2312"/>
          <w:kern w:val="1"/>
          <w:sz w:val="32"/>
          <w:szCs w:val="32"/>
          <w:lang w:val="en-US" w:eastAsia="zh-CN"/>
        </w:rPr>
        <w:t>188.17万元，危桥改造41.70万元。</w:t>
      </w:r>
    </w:p>
    <w:p>
      <w:pPr>
        <w:numPr>
          <w:ilvl w:val="0"/>
          <w:numId w:val="0"/>
        </w:numPr>
        <w:adjustRightInd w:val="0"/>
        <w:snapToGrid w:val="0"/>
        <w:spacing w:line="600" w:lineRule="exact"/>
        <w:ind w:leftChars="200" w:firstLine="320" w:firstLineChars="100"/>
        <w:rPr>
          <w:rFonts w:ascii="Times New Roman" w:hAnsi="Times New Roman" w:eastAsia="黑体"/>
          <w:sz w:val="32"/>
          <w:szCs w:val="32"/>
        </w:rPr>
      </w:pPr>
      <w:r>
        <w:rPr>
          <w:rFonts w:hint="eastAsia" w:ascii="Times New Roman" w:hAnsi="Times New Roman" w:eastAsia="黑体"/>
          <w:sz w:val="32"/>
          <w:szCs w:val="32"/>
          <w:lang w:eastAsia="zh-CN"/>
        </w:rPr>
        <w:t>二、</w:t>
      </w:r>
      <w:r>
        <w:rPr>
          <w:rFonts w:ascii="Times New Roman" w:hAnsi="Times New Roman" w:eastAsia="黑体"/>
          <w:sz w:val="32"/>
          <w:szCs w:val="32"/>
        </w:rPr>
        <w:t>项目资金使用及管理情况</w:t>
      </w:r>
    </w:p>
    <w:p>
      <w:pPr>
        <w:numPr>
          <w:ilvl w:val="0"/>
          <w:numId w:val="0"/>
        </w:numPr>
        <w:adjustRightInd w:val="0"/>
        <w:snapToGrid w:val="0"/>
        <w:spacing w:line="600" w:lineRule="exact"/>
        <w:ind w:firstLine="960" w:firstLineChars="300"/>
        <w:rPr>
          <w:rFonts w:hint="eastAsia" w:ascii="宋体" w:hAnsi="宋体" w:cs="宋体"/>
          <w:sz w:val="32"/>
          <w:szCs w:val="32"/>
          <w:lang w:val="en-US" w:eastAsia="zh-CN"/>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项目资金的安排落实、总投入等情况。</w:t>
      </w:r>
    </w:p>
    <w:p>
      <w:pPr>
        <w:numPr>
          <w:ilvl w:val="0"/>
          <w:numId w:val="0"/>
        </w:num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
          <w:sz w:val="32"/>
          <w:szCs w:val="32"/>
          <w:lang w:val="en-US" w:eastAsia="zh-CN"/>
        </w:rPr>
        <w:t>1.公</w:t>
      </w:r>
      <w:r>
        <w:rPr>
          <w:rFonts w:hint="eastAsia" w:ascii="仿宋" w:hAnsi="仿宋" w:eastAsia="仿宋" w:cs="仿宋_GB2312"/>
          <w:kern w:val="1"/>
          <w:sz w:val="32"/>
          <w:szCs w:val="32"/>
          <w:lang w:val="en-US" w:eastAsia="zh-CN"/>
        </w:rPr>
        <w:t>路养护2022年</w:t>
      </w:r>
      <w:r>
        <w:rPr>
          <w:rFonts w:hint="eastAsia" w:ascii="仿宋" w:hAnsi="仿宋" w:eastAsia="仿宋" w:cs="仿宋_GB2312"/>
          <w:kern w:val="1"/>
          <w:sz w:val="32"/>
          <w:szCs w:val="32"/>
          <w:lang w:eastAsia="zh-CN"/>
        </w:rPr>
        <w:t>计划总投资</w:t>
      </w:r>
      <w:r>
        <w:rPr>
          <w:rFonts w:hint="eastAsia" w:ascii="仿宋" w:hAnsi="仿宋" w:eastAsia="仿宋" w:cs="仿宋_GB2312"/>
          <w:kern w:val="1"/>
          <w:sz w:val="32"/>
          <w:szCs w:val="32"/>
          <w:lang w:val="en-US" w:eastAsia="zh-CN"/>
        </w:rPr>
        <w:t>260.95万元，项目资金到位260.95万元，已支付使用260.95万元，其中上年结转资金支付了141.19万元；当年市财政支付了119.76万元。</w:t>
      </w:r>
    </w:p>
    <w:p>
      <w:pPr>
        <w:numPr>
          <w:ilvl w:val="0"/>
          <w:numId w:val="0"/>
        </w:num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_GB2312"/>
          <w:kern w:val="1"/>
          <w:sz w:val="32"/>
          <w:szCs w:val="32"/>
          <w:lang w:eastAsia="zh-CN"/>
        </w:rPr>
        <w:t>农村公路生命安全防护工程</w:t>
      </w:r>
      <w:r>
        <w:rPr>
          <w:rFonts w:hint="eastAsia" w:ascii="仿宋" w:hAnsi="仿宋" w:eastAsia="仿宋" w:cs="仿宋"/>
          <w:sz w:val="32"/>
          <w:szCs w:val="32"/>
          <w:lang w:val="en-US" w:eastAsia="zh-CN"/>
        </w:rPr>
        <w:t>2022</w:t>
      </w:r>
      <w:r>
        <w:rPr>
          <w:rFonts w:hint="eastAsia" w:ascii="仿宋" w:hAnsi="仿宋" w:eastAsia="仿宋" w:cs="仿宋_GB2312"/>
          <w:kern w:val="1"/>
          <w:sz w:val="32"/>
          <w:szCs w:val="32"/>
          <w:lang w:val="en-US" w:eastAsia="zh-CN"/>
        </w:rPr>
        <w:t>年</w:t>
      </w:r>
      <w:r>
        <w:rPr>
          <w:rFonts w:hint="eastAsia" w:ascii="仿宋" w:hAnsi="仿宋" w:eastAsia="仿宋" w:cs="仿宋_GB2312"/>
          <w:kern w:val="1"/>
          <w:sz w:val="32"/>
          <w:szCs w:val="32"/>
          <w:lang w:eastAsia="zh-CN"/>
        </w:rPr>
        <w:t>计划总投资</w:t>
      </w:r>
      <w:r>
        <w:rPr>
          <w:rFonts w:hint="eastAsia" w:ascii="仿宋" w:hAnsi="仿宋" w:eastAsia="仿宋" w:cs="仿宋_GB2312"/>
          <w:kern w:val="1"/>
          <w:sz w:val="32"/>
          <w:szCs w:val="32"/>
          <w:lang w:val="en-US" w:eastAsia="zh-CN"/>
        </w:rPr>
        <w:t>188.17万元，项目资金到位188.17万元，已支付使用188.17万元，其中上年结转资金支付了106.41万元；当年市财政支付了81.76万元。</w:t>
      </w:r>
    </w:p>
    <w:p>
      <w:pPr>
        <w:numPr>
          <w:ilvl w:val="0"/>
          <w:numId w:val="0"/>
        </w:num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_GB2312"/>
          <w:kern w:val="1"/>
          <w:sz w:val="32"/>
          <w:szCs w:val="32"/>
          <w:lang w:val="en-US" w:eastAsia="zh-CN"/>
        </w:rPr>
        <w:t>危桥改造2022年</w:t>
      </w:r>
      <w:r>
        <w:rPr>
          <w:rFonts w:hint="eastAsia" w:ascii="仿宋" w:hAnsi="仿宋" w:eastAsia="仿宋" w:cs="仿宋_GB2312"/>
          <w:kern w:val="1"/>
          <w:sz w:val="32"/>
          <w:szCs w:val="32"/>
          <w:lang w:eastAsia="zh-CN"/>
        </w:rPr>
        <w:t>计划总投资</w:t>
      </w:r>
      <w:r>
        <w:rPr>
          <w:rFonts w:hint="eastAsia" w:ascii="仿宋" w:hAnsi="仿宋" w:eastAsia="仿宋" w:cs="仿宋_GB2312"/>
          <w:kern w:val="1"/>
          <w:sz w:val="32"/>
          <w:szCs w:val="32"/>
          <w:lang w:val="en-US" w:eastAsia="zh-CN"/>
        </w:rPr>
        <w:t>41.70万元，项目资金到位41.70万元，已支付使用41.70万元，全部来源于当年市财政拨款。</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（二）项目资金实际使用情况。</w:t>
      </w:r>
    </w:p>
    <w:p>
      <w:pPr>
        <w:adjustRightInd w:val="0"/>
        <w:snapToGrid w:val="0"/>
        <w:spacing w:line="600" w:lineRule="exact"/>
        <w:ind w:firstLine="640" w:firstLineChars="200"/>
        <w:rPr>
          <w:rFonts w:hint="eastAsia" w:ascii="仿宋" w:hAnsi="仿宋" w:eastAsia="仿宋" w:cs="仿宋_GB2312"/>
          <w:kern w:val="1"/>
          <w:sz w:val="32"/>
          <w:szCs w:val="32"/>
          <w:lang w:val="en-US" w:eastAsia="zh-CN"/>
        </w:rPr>
      </w:pPr>
      <w:r>
        <w:rPr>
          <w:rFonts w:hint="eastAsia" w:ascii="Times New Roman" w:hAnsi="Times New Roman" w:eastAsia="仿宋_GB2312"/>
          <w:sz w:val="32"/>
          <w:szCs w:val="32"/>
          <w:lang w:val="en-US" w:eastAsia="zh-CN"/>
        </w:rPr>
        <w:t>1.公路养护：项目全年预算数</w:t>
      </w:r>
      <w:r>
        <w:rPr>
          <w:rFonts w:hint="eastAsia" w:ascii="仿宋" w:hAnsi="仿宋" w:eastAsia="仿宋" w:cs="仿宋_GB2312"/>
          <w:kern w:val="1"/>
          <w:sz w:val="32"/>
          <w:szCs w:val="32"/>
          <w:lang w:val="en-US" w:eastAsia="zh-CN"/>
        </w:rPr>
        <w:t>260.95万元，执行数260.95万元，执行率100%。</w:t>
      </w:r>
    </w:p>
    <w:p>
      <w:pPr>
        <w:adjustRightInd w:val="0"/>
        <w:snapToGrid w:val="0"/>
        <w:spacing w:line="600" w:lineRule="exact"/>
        <w:ind w:firstLine="640" w:firstLineChars="200"/>
        <w:rPr>
          <w:rFonts w:hint="eastAsia" w:ascii="仿宋" w:hAnsi="仿宋" w:eastAsia="仿宋" w:cs="仿宋_GB2312"/>
          <w:kern w:val="1"/>
          <w:sz w:val="32"/>
          <w:szCs w:val="32"/>
          <w:lang w:val="en-US" w:eastAsia="zh-CN"/>
        </w:rPr>
      </w:pPr>
      <w:r>
        <w:rPr>
          <w:rFonts w:hint="eastAsia" w:ascii="Times New Roman" w:hAnsi="Times New Roman" w:eastAsia="仿宋_GB2312"/>
          <w:sz w:val="32"/>
          <w:szCs w:val="32"/>
          <w:lang w:val="en-US" w:eastAsia="zh-CN"/>
        </w:rPr>
        <w:t>2.</w:t>
      </w:r>
      <w:r>
        <w:rPr>
          <w:rFonts w:hint="eastAsia" w:ascii="仿宋" w:hAnsi="仿宋" w:eastAsia="仿宋" w:cs="仿宋_GB2312"/>
          <w:kern w:val="1"/>
          <w:sz w:val="32"/>
          <w:szCs w:val="32"/>
          <w:lang w:eastAsia="zh-CN"/>
        </w:rPr>
        <w:t>农村公路生命安全防护工程</w:t>
      </w:r>
      <w:r>
        <w:rPr>
          <w:rFonts w:hint="eastAsia" w:ascii="Times New Roman" w:hAnsi="Times New Roman" w:eastAsia="仿宋_GB2312"/>
          <w:sz w:val="32"/>
          <w:szCs w:val="32"/>
          <w:lang w:val="en-US" w:eastAsia="zh-CN"/>
        </w:rPr>
        <w:t>：项目全年预算数</w:t>
      </w:r>
      <w:r>
        <w:rPr>
          <w:rFonts w:hint="eastAsia" w:ascii="仿宋" w:hAnsi="仿宋" w:eastAsia="仿宋" w:cs="仿宋_GB2312"/>
          <w:kern w:val="1"/>
          <w:sz w:val="32"/>
          <w:szCs w:val="32"/>
          <w:lang w:val="en-US" w:eastAsia="zh-CN"/>
        </w:rPr>
        <w:t>188.17万元，执行数188.17万元，执行率100%。</w:t>
      </w:r>
    </w:p>
    <w:p>
      <w:pPr>
        <w:numPr>
          <w:ilvl w:val="0"/>
          <w:numId w:val="0"/>
        </w:numPr>
        <w:adjustRightInd w:val="0"/>
        <w:snapToGrid w:val="0"/>
        <w:spacing w:line="600" w:lineRule="exact"/>
        <w:rPr>
          <w:rFonts w:hint="default" w:ascii="仿宋" w:hAnsi="仿宋" w:eastAsia="仿宋" w:cs="仿宋_GB2312"/>
          <w:kern w:val="1"/>
          <w:sz w:val="32"/>
          <w:szCs w:val="32"/>
          <w:lang w:val="en-US" w:eastAsia="zh-CN"/>
        </w:rPr>
      </w:pPr>
      <w:r>
        <w:rPr>
          <w:rFonts w:hint="eastAsia" w:ascii="宋体" w:hAnsi="宋体" w:cs="宋体"/>
          <w:kern w:val="0"/>
          <w:sz w:val="32"/>
          <w:szCs w:val="32"/>
          <w:lang w:val="en-US" w:eastAsia="zh-CN"/>
        </w:rPr>
        <w:t xml:space="preserve">    3</w:t>
      </w:r>
      <w:r>
        <w:rPr>
          <w:rFonts w:hint="eastAsia" w:ascii="Times New Roman" w:hAnsi="Times New Roman" w:eastAsia="仿宋_GB2312"/>
          <w:sz w:val="32"/>
          <w:szCs w:val="32"/>
          <w:lang w:val="en-US" w:eastAsia="zh-CN"/>
        </w:rPr>
        <w:t>.危桥改造：项目全年预算数</w:t>
      </w:r>
      <w:r>
        <w:rPr>
          <w:rFonts w:hint="eastAsia" w:ascii="仿宋" w:hAnsi="仿宋" w:eastAsia="仿宋" w:cs="仿宋_GB2312"/>
          <w:kern w:val="1"/>
          <w:sz w:val="32"/>
          <w:szCs w:val="32"/>
          <w:lang w:val="en-US" w:eastAsia="zh-CN"/>
        </w:rPr>
        <w:t>41.70万元，执行数41.70万元，执行率100%。</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（三）项目资金管理情况分析。</w:t>
      </w:r>
    </w:p>
    <w:p>
      <w:pPr>
        <w:spacing w:line="520" w:lineRule="exact"/>
        <w:ind w:firstLine="560"/>
        <w:rPr>
          <w:rFonts w:hint="eastAsia" w:ascii="仿宋" w:hAnsi="仿宋" w:eastAsia="仿宋" w:cs="仿宋_GB2312"/>
          <w:kern w:val="1"/>
          <w:sz w:val="32"/>
          <w:szCs w:val="32"/>
          <w:lang w:eastAsia="zh-CN"/>
        </w:rPr>
      </w:pPr>
      <w:r>
        <w:rPr>
          <w:rFonts w:hint="eastAsia" w:ascii="仿宋" w:hAnsi="仿宋" w:eastAsia="仿宋" w:cs="仿宋_GB2312"/>
          <w:kern w:val="1"/>
          <w:sz w:val="32"/>
          <w:szCs w:val="32"/>
        </w:rPr>
        <w:t>项目资金管理由</w:t>
      </w:r>
      <w:r>
        <w:rPr>
          <w:rFonts w:hint="eastAsia" w:ascii="仿宋" w:hAnsi="仿宋" w:eastAsia="仿宋" w:cs="仿宋_GB2312"/>
          <w:kern w:val="1"/>
          <w:sz w:val="32"/>
          <w:szCs w:val="32"/>
          <w:lang w:eastAsia="zh-CN"/>
        </w:rPr>
        <w:t>衡阳市公路建设养护中心</w:t>
      </w:r>
      <w:r>
        <w:rPr>
          <w:rFonts w:hint="eastAsia" w:ascii="仿宋" w:hAnsi="仿宋" w:eastAsia="仿宋" w:cs="仿宋_GB2312"/>
          <w:kern w:val="1"/>
          <w:sz w:val="32"/>
          <w:szCs w:val="32"/>
        </w:rPr>
        <w:t>雁峰分中心负责，项目预期目标已完成</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rPr>
        <w:t>严格执行财政预算安排，采取项目合同管理和专款专用管理，不存在挤占挪用等违法违规行为</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rPr>
        <w:t>严格按照工程量对公支付</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rPr>
        <w:t>不存在超范围超标准支出、转移资金、挤占挪用等违法违规问题</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rPr>
        <w:t>接受上级主管单位财政审计。</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一）公路养护：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kern w:val="1"/>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_GB2312"/>
          <w:kern w:val="1"/>
          <w:sz w:val="32"/>
          <w:szCs w:val="32"/>
          <w:lang w:val="en-US" w:eastAsia="zh-CN"/>
        </w:rPr>
        <w:t>日常养护：</w:t>
      </w:r>
      <w:r>
        <w:rPr>
          <w:rFonts w:hint="eastAsia" w:ascii="仿宋" w:hAnsi="仿宋" w:eastAsia="仿宋" w:cs="仿宋_GB2312"/>
          <w:kern w:val="1"/>
          <w:sz w:val="32"/>
          <w:szCs w:val="32"/>
        </w:rPr>
        <w:t>完成国省干线及农村公路路面清扫、行道树修枝及刷白、水沟清理、清理路肩反坡</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lang w:val="en-US" w:eastAsia="zh-CN"/>
        </w:rPr>
        <w:t>项目完工率100%，已</w:t>
      </w:r>
      <w:r>
        <w:rPr>
          <w:rFonts w:hint="eastAsia" w:ascii="仿宋" w:hAnsi="仿宋" w:eastAsia="仿宋" w:cs="仿宋_GB2312"/>
          <w:kern w:val="1"/>
          <w:sz w:val="32"/>
          <w:szCs w:val="32"/>
          <w:lang w:eastAsia="zh-CN"/>
        </w:rPr>
        <w:t>按时完成。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sz w:val="32"/>
          <w:szCs w:val="32"/>
          <w:lang w:val="en-US" w:eastAsia="zh-CN"/>
        </w:rPr>
        <w:t>2.</w:t>
      </w:r>
      <w:r>
        <w:rPr>
          <w:rFonts w:hint="eastAsia" w:ascii="仿宋" w:hAnsi="仿宋" w:eastAsia="仿宋" w:cs="仿宋_GB2312"/>
          <w:kern w:val="1"/>
          <w:sz w:val="32"/>
          <w:szCs w:val="32"/>
          <w:lang w:val="en-US" w:eastAsia="zh-CN"/>
        </w:rPr>
        <w:t>养护工程：完成</w:t>
      </w:r>
      <w:r>
        <w:rPr>
          <w:rFonts w:hint="eastAsia" w:ascii="仿宋" w:hAnsi="仿宋" w:eastAsia="仿宋" w:cs="仿宋_GB2312"/>
          <w:kern w:val="1"/>
          <w:sz w:val="32"/>
          <w:szCs w:val="32"/>
        </w:rPr>
        <w:t>202</w:t>
      </w:r>
      <w:r>
        <w:rPr>
          <w:rFonts w:hint="eastAsia" w:ascii="仿宋" w:hAnsi="仿宋" w:eastAsia="仿宋" w:cs="仿宋_GB2312"/>
          <w:kern w:val="1"/>
          <w:sz w:val="32"/>
          <w:szCs w:val="32"/>
          <w:lang w:val="en-US" w:eastAsia="zh-CN"/>
        </w:rPr>
        <w:t>2</w:t>
      </w:r>
      <w:r>
        <w:rPr>
          <w:rFonts w:hint="eastAsia" w:ascii="仿宋" w:hAnsi="仿宋" w:eastAsia="仿宋" w:cs="仿宋_GB2312"/>
          <w:kern w:val="1"/>
          <w:sz w:val="32"/>
          <w:szCs w:val="32"/>
        </w:rPr>
        <w:t>年</w:t>
      </w:r>
      <w:r>
        <w:rPr>
          <w:rFonts w:hint="eastAsia" w:ascii="仿宋" w:hAnsi="仿宋" w:eastAsia="仿宋" w:cs="仿宋_GB2312"/>
          <w:kern w:val="1"/>
          <w:sz w:val="32"/>
          <w:szCs w:val="32"/>
          <w:lang w:val="en-US" w:eastAsia="zh-CN"/>
        </w:rPr>
        <w:t>农村公路养护工程</w:t>
      </w:r>
      <w:r>
        <w:rPr>
          <w:rFonts w:hint="eastAsia" w:ascii="仿宋" w:hAnsi="仿宋" w:eastAsia="仿宋" w:cs="仿宋_GB2312"/>
          <w:kern w:val="1"/>
          <w:sz w:val="32"/>
          <w:szCs w:val="32"/>
          <w:lang w:eastAsia="zh-CN"/>
        </w:rPr>
        <w:t>包括</w:t>
      </w:r>
      <w:r>
        <w:rPr>
          <w:rFonts w:hint="eastAsia" w:ascii="仿宋" w:hAnsi="仿宋" w:eastAsia="仿宋" w:cs="仿宋_GB2312"/>
          <w:kern w:val="1"/>
          <w:sz w:val="32"/>
          <w:szCs w:val="32"/>
          <w:lang w:val="en-US" w:eastAsia="zh-CN"/>
        </w:rPr>
        <w:t>CX56线、C19A线、CY05线、Y100线、C034线、CJJ3线、C21A线、XOO2线等。</w:t>
      </w:r>
      <w:r>
        <w:rPr>
          <w:rFonts w:hint="eastAsia" w:ascii="仿宋" w:hAnsi="仿宋" w:eastAsia="仿宋" w:cs="仿宋_GB2312"/>
          <w:kern w:val="1"/>
          <w:sz w:val="32"/>
          <w:szCs w:val="32"/>
        </w:rPr>
        <w:t>主要</w:t>
      </w:r>
      <w:r>
        <w:rPr>
          <w:rFonts w:hint="eastAsia" w:ascii="仿宋" w:hAnsi="仿宋" w:eastAsia="仿宋" w:cs="仿宋_GB2312"/>
          <w:kern w:val="1"/>
          <w:sz w:val="32"/>
          <w:szCs w:val="32"/>
          <w:lang w:eastAsia="zh-CN"/>
        </w:rPr>
        <w:t>工程内容</w:t>
      </w:r>
      <w:r>
        <w:rPr>
          <w:rFonts w:hint="eastAsia" w:ascii="仿宋" w:hAnsi="仿宋" w:eastAsia="仿宋" w:cs="仿宋_GB2312"/>
          <w:kern w:val="1"/>
          <w:sz w:val="32"/>
          <w:szCs w:val="32"/>
        </w:rPr>
        <w:t>为</w:t>
      </w:r>
      <w:r>
        <w:rPr>
          <w:rFonts w:hint="eastAsia" w:ascii="仿宋" w:hAnsi="仿宋" w:eastAsia="仿宋" w:cs="仿宋_GB2312"/>
          <w:kern w:val="1"/>
          <w:sz w:val="32"/>
          <w:szCs w:val="32"/>
          <w:lang w:eastAsia="zh-CN"/>
        </w:rPr>
        <w:t>修复养护中修白加黑项目以及大修白改黑项目，</w:t>
      </w:r>
      <w:r>
        <w:rPr>
          <w:rFonts w:hint="eastAsia" w:ascii="仿宋" w:hAnsi="仿宋" w:eastAsia="仿宋" w:cs="仿宋_GB2312"/>
          <w:kern w:val="1"/>
          <w:sz w:val="32"/>
          <w:szCs w:val="32"/>
          <w:lang w:val="en-US" w:eastAsia="zh-CN"/>
        </w:rPr>
        <w:t>项目完工率100%，已</w:t>
      </w:r>
      <w:r>
        <w:rPr>
          <w:rFonts w:hint="eastAsia" w:ascii="仿宋" w:hAnsi="仿宋" w:eastAsia="仿宋" w:cs="仿宋_GB2312"/>
          <w:kern w:val="1"/>
          <w:sz w:val="32"/>
          <w:szCs w:val="32"/>
          <w:lang w:eastAsia="zh-CN"/>
        </w:rPr>
        <w:t>按时完成。</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（二）农村公路生命安全防护工程：</w:t>
      </w:r>
    </w:p>
    <w:p>
      <w:pPr>
        <w:spacing w:line="520" w:lineRule="exact"/>
        <w:ind w:firstLine="560"/>
        <w:rPr>
          <w:rFonts w:hint="eastAsia" w:ascii="仿宋" w:hAnsi="仿宋" w:eastAsia="仿宋" w:cs="仿宋_GB2312"/>
          <w:kern w:val="1"/>
          <w:sz w:val="32"/>
          <w:szCs w:val="32"/>
          <w:lang w:eastAsia="zh-CN"/>
        </w:rPr>
      </w:pPr>
      <w:r>
        <w:rPr>
          <w:rFonts w:hint="eastAsia" w:ascii="仿宋" w:hAnsi="仿宋" w:eastAsia="仿宋" w:cs="仿宋_GB2312"/>
          <w:kern w:val="1"/>
          <w:sz w:val="32"/>
          <w:szCs w:val="32"/>
          <w:lang w:val="en-US" w:eastAsia="zh-CN"/>
        </w:rPr>
        <w:t>雁峰区农村公路生命安全防护工程项目为处治雁峰区C08A</w:t>
      </w:r>
      <w:r>
        <w:rPr>
          <w:rFonts w:hint="eastAsia" w:ascii="仿宋" w:hAnsi="仿宋" w:eastAsia="仿宋" w:cs="仿宋_GB2312"/>
          <w:kern w:val="1"/>
          <w:sz w:val="32"/>
          <w:szCs w:val="32"/>
          <w:lang w:eastAsia="zh-CN"/>
        </w:rPr>
        <w:t>等农村公路安全隐患，主要施工内容为：钢护栏、标志牌、减速带、反光镜等交通防护设施安装。</w:t>
      </w:r>
      <w:r>
        <w:rPr>
          <w:rFonts w:hint="eastAsia" w:ascii="仿宋" w:hAnsi="仿宋" w:eastAsia="仿宋" w:cs="仿宋_GB2312"/>
          <w:kern w:val="1"/>
          <w:sz w:val="32"/>
          <w:szCs w:val="32"/>
          <w:lang w:val="en-US" w:eastAsia="zh-CN"/>
        </w:rPr>
        <w:t>项目完工率均为100%，已</w:t>
      </w:r>
      <w:r>
        <w:rPr>
          <w:rFonts w:hint="eastAsia" w:ascii="仿宋" w:hAnsi="仿宋" w:eastAsia="仿宋" w:cs="仿宋_GB2312"/>
          <w:kern w:val="1"/>
          <w:sz w:val="32"/>
          <w:szCs w:val="32"/>
          <w:lang w:eastAsia="zh-CN"/>
        </w:rPr>
        <w:t>按时完成。</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（三）危桥改造：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eastAsia="zh-CN"/>
        </w:rPr>
      </w:pPr>
      <w:r>
        <w:rPr>
          <w:rFonts w:hint="eastAsia" w:ascii="仿宋" w:hAnsi="仿宋" w:eastAsia="仿宋" w:cs="仿宋_GB2312"/>
          <w:kern w:val="1"/>
          <w:sz w:val="32"/>
          <w:szCs w:val="32"/>
        </w:rPr>
        <w:t>202</w:t>
      </w:r>
      <w:r>
        <w:rPr>
          <w:rFonts w:hint="eastAsia" w:ascii="仿宋" w:hAnsi="仿宋" w:eastAsia="仿宋" w:cs="仿宋_GB2312"/>
          <w:kern w:val="1"/>
          <w:sz w:val="32"/>
          <w:szCs w:val="32"/>
          <w:lang w:val="en-US" w:eastAsia="zh-CN"/>
        </w:rPr>
        <w:t>2</w:t>
      </w:r>
      <w:r>
        <w:rPr>
          <w:rFonts w:hint="eastAsia" w:ascii="仿宋" w:hAnsi="仿宋" w:eastAsia="仿宋" w:cs="仿宋_GB2312"/>
          <w:kern w:val="1"/>
          <w:sz w:val="32"/>
          <w:szCs w:val="32"/>
        </w:rPr>
        <w:t>年雁峰区</w:t>
      </w:r>
      <w:r>
        <w:rPr>
          <w:rFonts w:hint="eastAsia" w:ascii="仿宋" w:hAnsi="仿宋" w:eastAsia="仿宋" w:cs="仿宋_GB2312"/>
          <w:kern w:val="1"/>
          <w:sz w:val="32"/>
          <w:szCs w:val="32"/>
          <w:lang w:eastAsia="zh-CN"/>
        </w:rPr>
        <w:t>茶园桥桥梁全长</w:t>
      </w:r>
      <w:r>
        <w:rPr>
          <w:rFonts w:hint="eastAsia" w:ascii="仿宋" w:hAnsi="仿宋" w:eastAsia="仿宋" w:cs="仿宋_GB2312"/>
          <w:kern w:val="1"/>
          <w:sz w:val="32"/>
          <w:szCs w:val="32"/>
          <w:lang w:val="en-US" w:eastAsia="zh-CN"/>
        </w:rPr>
        <w:t>43.9m,桥梁全宽为18.5m,由于桥梁承载力不足，已对桥梁进行维修加固，项目完工率100%，已</w:t>
      </w:r>
      <w:r>
        <w:rPr>
          <w:rFonts w:hint="eastAsia" w:ascii="仿宋" w:hAnsi="仿宋" w:eastAsia="仿宋" w:cs="仿宋_GB2312"/>
          <w:kern w:val="1"/>
          <w:sz w:val="32"/>
          <w:szCs w:val="32"/>
          <w:lang w:eastAsia="zh-CN"/>
        </w:rPr>
        <w:t>按时完成。</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sz w:val="32"/>
          <w:szCs w:val="32"/>
          <w:lang w:eastAsia="zh-CN"/>
        </w:rPr>
        <w:t>雁峰分中心</w:t>
      </w:r>
      <w:r>
        <w:rPr>
          <w:rFonts w:hint="eastAsia" w:ascii="仿宋" w:hAnsi="仿宋" w:eastAsia="仿宋"/>
          <w:sz w:val="32"/>
          <w:szCs w:val="32"/>
        </w:rPr>
        <w:t>认真贯彻落实全市公路工作会议精神和区委经济工作会议精神，立足实际、主动作为、建章立制、规范管理、重在强基，各项工作稳步推进，圆满完成了全年各项目标任务，实现了良好开局</w:t>
      </w:r>
      <w:r>
        <w:rPr>
          <w:rFonts w:hint="eastAsia" w:ascii="仿宋" w:hAnsi="仿宋" w:eastAsia="仿宋"/>
          <w:sz w:val="32"/>
          <w:szCs w:val="32"/>
          <w:lang w:eastAsia="zh-CN"/>
        </w:rPr>
        <w:t>，</w:t>
      </w:r>
      <w:r>
        <w:rPr>
          <w:rFonts w:hint="eastAsia" w:ascii="仿宋" w:hAnsi="仿宋" w:eastAsia="仿宋"/>
          <w:sz w:val="32"/>
          <w:szCs w:val="32"/>
          <w:lang w:val="en-US" w:eastAsia="zh-CN"/>
        </w:rPr>
        <w:t>2022年各项目</w:t>
      </w:r>
      <w:r>
        <w:rPr>
          <w:rFonts w:hint="eastAsia" w:ascii="仿宋" w:hAnsi="仿宋" w:eastAsia="仿宋"/>
          <w:sz w:val="32"/>
          <w:szCs w:val="32"/>
          <w:lang w:eastAsia="zh-CN"/>
        </w:rPr>
        <w:t>增强了</w:t>
      </w:r>
      <w:r>
        <w:rPr>
          <w:rFonts w:hint="eastAsia" w:ascii="仿宋" w:hAnsi="仿宋" w:eastAsia="仿宋"/>
          <w:sz w:val="32"/>
          <w:szCs w:val="32"/>
          <w:lang w:val="en-US" w:eastAsia="zh-CN"/>
        </w:rPr>
        <w:t>雁峰路段的养护能力，</w:t>
      </w:r>
      <w:r>
        <w:rPr>
          <w:rFonts w:hint="eastAsia" w:ascii="仿宋" w:hAnsi="仿宋" w:eastAsia="仿宋"/>
          <w:sz w:val="32"/>
          <w:szCs w:val="32"/>
          <w:lang w:eastAsia="zh-CN"/>
        </w:rPr>
        <w:t>提高了公路养护标准，促进</w:t>
      </w:r>
      <w:r>
        <w:rPr>
          <w:rFonts w:hint="eastAsia" w:ascii="仿宋" w:hAnsi="仿宋" w:eastAsia="仿宋"/>
          <w:sz w:val="32"/>
          <w:szCs w:val="32"/>
        </w:rPr>
        <w:t>了</w:t>
      </w:r>
      <w:r>
        <w:rPr>
          <w:rFonts w:hint="eastAsia" w:ascii="仿宋" w:hAnsi="仿宋" w:eastAsia="仿宋"/>
          <w:sz w:val="32"/>
          <w:szCs w:val="32"/>
          <w:lang w:val="en-US" w:eastAsia="zh-CN"/>
        </w:rPr>
        <w:t>雁峰区公路路况</w:t>
      </w:r>
      <w:r>
        <w:rPr>
          <w:rFonts w:hint="eastAsia" w:ascii="仿宋" w:hAnsi="仿宋" w:eastAsia="仿宋"/>
          <w:sz w:val="32"/>
          <w:szCs w:val="32"/>
        </w:rPr>
        <w:t>可持续发展。项目绩效自评结果为良好，已向社会公示，社会公众及周边群众满意度较高</w:t>
      </w:r>
      <w:r>
        <w:rPr>
          <w:rFonts w:hint="eastAsia" w:ascii="仿宋" w:hAnsi="仿宋" w:eastAsia="仿宋"/>
          <w:sz w:val="32"/>
          <w:szCs w:val="32"/>
          <w:lang w:eastAsia="zh-CN"/>
        </w:rPr>
        <w:t>。</w:t>
      </w:r>
    </w:p>
    <w:p>
      <w:pPr>
        <w:numPr>
          <w:ilvl w:val="0"/>
          <w:numId w:val="2"/>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Times New Roman" w:hAnsi="Times New Roman" w:eastAsia="仿宋_GB2312"/>
          <w:sz w:val="32"/>
          <w:szCs w:val="32"/>
          <w:lang w:val="en-US" w:eastAsia="zh-CN"/>
        </w:rPr>
        <w:t>公路建设养护资金投入不足，与公路实际建养需求有差距。</w:t>
      </w:r>
    </w:p>
    <w:p>
      <w:pPr>
        <w:numPr>
          <w:ilvl w:val="0"/>
          <w:numId w:val="2"/>
        </w:numPr>
        <w:adjustRightInd w:val="0"/>
        <w:snapToGrid w:val="0"/>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有关建议</w:t>
      </w:r>
    </w:p>
    <w:p>
      <w:pPr>
        <w:spacing w:line="520" w:lineRule="exact"/>
        <w:ind w:firstLine="560"/>
        <w:rPr>
          <w:rFonts w:hint="eastAsia" w:ascii="仿宋" w:hAnsi="仿宋" w:eastAsia="仿宋" w:cs="仿宋"/>
          <w:sz w:val="32"/>
          <w:szCs w:val="32"/>
          <w:lang w:eastAsia="zh-CN"/>
        </w:rPr>
      </w:pPr>
      <w:r>
        <w:rPr>
          <w:rFonts w:hint="eastAsia" w:ascii="仿宋" w:hAnsi="仿宋" w:eastAsia="仿宋" w:cs="仿宋_GB2312"/>
          <w:kern w:val="1"/>
          <w:sz w:val="32"/>
          <w:szCs w:val="32"/>
        </w:rPr>
        <w:t>建议财政部门解决公路养护经费；按中央、省里要求安排专项经费，加大公路养护费的投入；采取“一事一议”的形式安排大中修计划，便于及时、更好、更大范围进行公路、桥梁的养护，使道路设施得到长效管理，持续发展。</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imes New Roman" w:hAnsi="Times New Roman"/>
          <w:kern w:val="0"/>
          <w:sz w:val="2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- 10 -</w:t>
    </w:r>
    <w:r>
      <w:rPr>
        <w:rStyle w:val="10"/>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EA21F"/>
    <w:multiLevelType w:val="singleLevel"/>
    <w:tmpl w:val="BAFEA21F"/>
    <w:lvl w:ilvl="0" w:tentative="0">
      <w:start w:val="5"/>
      <w:numFmt w:val="chineseCounting"/>
      <w:suff w:val="nothing"/>
      <w:lvlText w:val="%1、"/>
      <w:lvlJc w:val="left"/>
      <w:rPr>
        <w:rFonts w:hint="eastAsia"/>
      </w:rPr>
    </w:lvl>
  </w:abstractNum>
  <w:abstractNum w:abstractNumId="1">
    <w:nsid w:val="02EB05C7"/>
    <w:multiLevelType w:val="singleLevel"/>
    <w:tmpl w:val="02EB05C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C553EF"/>
    <w:rsid w:val="000003CE"/>
    <w:rsid w:val="00012C93"/>
    <w:rsid w:val="00047F84"/>
    <w:rsid w:val="000576D3"/>
    <w:rsid w:val="000734E3"/>
    <w:rsid w:val="00075A0A"/>
    <w:rsid w:val="000773D5"/>
    <w:rsid w:val="00080625"/>
    <w:rsid w:val="00093B9D"/>
    <w:rsid w:val="00094646"/>
    <w:rsid w:val="0009693E"/>
    <w:rsid w:val="000B198C"/>
    <w:rsid w:val="000D2C41"/>
    <w:rsid w:val="000F775C"/>
    <w:rsid w:val="001202E2"/>
    <w:rsid w:val="00125025"/>
    <w:rsid w:val="00135395"/>
    <w:rsid w:val="00156241"/>
    <w:rsid w:val="00161E3C"/>
    <w:rsid w:val="00184AF2"/>
    <w:rsid w:val="00184FD6"/>
    <w:rsid w:val="00187925"/>
    <w:rsid w:val="00192C8B"/>
    <w:rsid w:val="00193BE4"/>
    <w:rsid w:val="001B56F4"/>
    <w:rsid w:val="001B69B6"/>
    <w:rsid w:val="001B772F"/>
    <w:rsid w:val="001D51B4"/>
    <w:rsid w:val="001E72C3"/>
    <w:rsid w:val="001F7E2A"/>
    <w:rsid w:val="001F7E8F"/>
    <w:rsid w:val="0020617B"/>
    <w:rsid w:val="002175AB"/>
    <w:rsid w:val="002238BB"/>
    <w:rsid w:val="002320EB"/>
    <w:rsid w:val="00245E69"/>
    <w:rsid w:val="00261A26"/>
    <w:rsid w:val="00264F99"/>
    <w:rsid w:val="0027341E"/>
    <w:rsid w:val="002734F8"/>
    <w:rsid w:val="002A1848"/>
    <w:rsid w:val="002E75D6"/>
    <w:rsid w:val="002F028F"/>
    <w:rsid w:val="002F05A3"/>
    <w:rsid w:val="002F703C"/>
    <w:rsid w:val="003115C2"/>
    <w:rsid w:val="003126FC"/>
    <w:rsid w:val="0032265F"/>
    <w:rsid w:val="00323CF3"/>
    <w:rsid w:val="0032533F"/>
    <w:rsid w:val="00327792"/>
    <w:rsid w:val="00331CB2"/>
    <w:rsid w:val="00336605"/>
    <w:rsid w:val="0034484C"/>
    <w:rsid w:val="003655C9"/>
    <w:rsid w:val="003677D3"/>
    <w:rsid w:val="00371658"/>
    <w:rsid w:val="00374B44"/>
    <w:rsid w:val="00384BCE"/>
    <w:rsid w:val="00386D93"/>
    <w:rsid w:val="00395AA2"/>
    <w:rsid w:val="003B6814"/>
    <w:rsid w:val="003B7F5C"/>
    <w:rsid w:val="003C77D0"/>
    <w:rsid w:val="003E1FD6"/>
    <w:rsid w:val="003F7EAF"/>
    <w:rsid w:val="00404B02"/>
    <w:rsid w:val="004148E0"/>
    <w:rsid w:val="00417CBA"/>
    <w:rsid w:val="004217FE"/>
    <w:rsid w:val="00430997"/>
    <w:rsid w:val="00474A27"/>
    <w:rsid w:val="00474AD0"/>
    <w:rsid w:val="00481E94"/>
    <w:rsid w:val="00487AC5"/>
    <w:rsid w:val="00496F05"/>
    <w:rsid w:val="004A6D5D"/>
    <w:rsid w:val="004C0C59"/>
    <w:rsid w:val="004E57B7"/>
    <w:rsid w:val="004F4295"/>
    <w:rsid w:val="005010B5"/>
    <w:rsid w:val="00541A59"/>
    <w:rsid w:val="00551D43"/>
    <w:rsid w:val="00562EEB"/>
    <w:rsid w:val="00564823"/>
    <w:rsid w:val="0056660C"/>
    <w:rsid w:val="005851E9"/>
    <w:rsid w:val="00586559"/>
    <w:rsid w:val="00594AEE"/>
    <w:rsid w:val="005C60D5"/>
    <w:rsid w:val="005C7F17"/>
    <w:rsid w:val="00637CE2"/>
    <w:rsid w:val="00661738"/>
    <w:rsid w:val="006906AF"/>
    <w:rsid w:val="006964D9"/>
    <w:rsid w:val="00697D4B"/>
    <w:rsid w:val="006D1F1C"/>
    <w:rsid w:val="006F37DA"/>
    <w:rsid w:val="00704941"/>
    <w:rsid w:val="00705365"/>
    <w:rsid w:val="0071000B"/>
    <w:rsid w:val="007119B1"/>
    <w:rsid w:val="007123D7"/>
    <w:rsid w:val="00751BF0"/>
    <w:rsid w:val="00753AFA"/>
    <w:rsid w:val="00757006"/>
    <w:rsid w:val="00771B0E"/>
    <w:rsid w:val="007809D2"/>
    <w:rsid w:val="00781959"/>
    <w:rsid w:val="00787BDD"/>
    <w:rsid w:val="0079174B"/>
    <w:rsid w:val="0079586D"/>
    <w:rsid w:val="00795B22"/>
    <w:rsid w:val="007A3E06"/>
    <w:rsid w:val="007A6F2C"/>
    <w:rsid w:val="007C0F8E"/>
    <w:rsid w:val="007E090D"/>
    <w:rsid w:val="007E2C17"/>
    <w:rsid w:val="007E2D1B"/>
    <w:rsid w:val="007E3E71"/>
    <w:rsid w:val="007E7433"/>
    <w:rsid w:val="007F1EAF"/>
    <w:rsid w:val="00820EEF"/>
    <w:rsid w:val="00821009"/>
    <w:rsid w:val="008242F9"/>
    <w:rsid w:val="00847A3C"/>
    <w:rsid w:val="00861BEC"/>
    <w:rsid w:val="00875CA8"/>
    <w:rsid w:val="00893AEC"/>
    <w:rsid w:val="008A04C6"/>
    <w:rsid w:val="008D0E22"/>
    <w:rsid w:val="008D67F1"/>
    <w:rsid w:val="009377FB"/>
    <w:rsid w:val="009477D1"/>
    <w:rsid w:val="00963B0B"/>
    <w:rsid w:val="00972566"/>
    <w:rsid w:val="0099481A"/>
    <w:rsid w:val="009B2A62"/>
    <w:rsid w:val="009C291F"/>
    <w:rsid w:val="009C4723"/>
    <w:rsid w:val="009D11D2"/>
    <w:rsid w:val="009D4B7E"/>
    <w:rsid w:val="009E418E"/>
    <w:rsid w:val="00A01263"/>
    <w:rsid w:val="00A148B9"/>
    <w:rsid w:val="00A207ED"/>
    <w:rsid w:val="00A27AB1"/>
    <w:rsid w:val="00A35224"/>
    <w:rsid w:val="00A3605E"/>
    <w:rsid w:val="00A43A8E"/>
    <w:rsid w:val="00A52A9A"/>
    <w:rsid w:val="00A55C61"/>
    <w:rsid w:val="00AB363C"/>
    <w:rsid w:val="00AC12C1"/>
    <w:rsid w:val="00AD4A25"/>
    <w:rsid w:val="00AF0245"/>
    <w:rsid w:val="00AF15ED"/>
    <w:rsid w:val="00AF1AD7"/>
    <w:rsid w:val="00B215FA"/>
    <w:rsid w:val="00B304A1"/>
    <w:rsid w:val="00B702EE"/>
    <w:rsid w:val="00B76FF3"/>
    <w:rsid w:val="00B834A3"/>
    <w:rsid w:val="00B8758E"/>
    <w:rsid w:val="00B910F1"/>
    <w:rsid w:val="00BC671F"/>
    <w:rsid w:val="00BD4955"/>
    <w:rsid w:val="00BD7F24"/>
    <w:rsid w:val="00BE3C11"/>
    <w:rsid w:val="00C02A71"/>
    <w:rsid w:val="00C03525"/>
    <w:rsid w:val="00C23636"/>
    <w:rsid w:val="00C338B7"/>
    <w:rsid w:val="00C37587"/>
    <w:rsid w:val="00C553EF"/>
    <w:rsid w:val="00C641BD"/>
    <w:rsid w:val="00C64651"/>
    <w:rsid w:val="00C67D46"/>
    <w:rsid w:val="00C71D0A"/>
    <w:rsid w:val="00C737E3"/>
    <w:rsid w:val="00C7485F"/>
    <w:rsid w:val="00CB5751"/>
    <w:rsid w:val="00CC4373"/>
    <w:rsid w:val="00CD207D"/>
    <w:rsid w:val="00CD7E4E"/>
    <w:rsid w:val="00D34C90"/>
    <w:rsid w:val="00D75793"/>
    <w:rsid w:val="00D8620A"/>
    <w:rsid w:val="00D95FAF"/>
    <w:rsid w:val="00DC38FA"/>
    <w:rsid w:val="00DD4AA2"/>
    <w:rsid w:val="00DD58E9"/>
    <w:rsid w:val="00DD5A15"/>
    <w:rsid w:val="00DD5F47"/>
    <w:rsid w:val="00DF0B7A"/>
    <w:rsid w:val="00DF732C"/>
    <w:rsid w:val="00E114F9"/>
    <w:rsid w:val="00E15DDC"/>
    <w:rsid w:val="00E25A7B"/>
    <w:rsid w:val="00E323CD"/>
    <w:rsid w:val="00E4161A"/>
    <w:rsid w:val="00E567D4"/>
    <w:rsid w:val="00E568EB"/>
    <w:rsid w:val="00E63866"/>
    <w:rsid w:val="00E8571A"/>
    <w:rsid w:val="00E94B12"/>
    <w:rsid w:val="00EA2242"/>
    <w:rsid w:val="00EB2368"/>
    <w:rsid w:val="00EB5376"/>
    <w:rsid w:val="00F10B3D"/>
    <w:rsid w:val="00F31255"/>
    <w:rsid w:val="00F43730"/>
    <w:rsid w:val="00F43C63"/>
    <w:rsid w:val="00F55DE1"/>
    <w:rsid w:val="00F578D5"/>
    <w:rsid w:val="00F870A7"/>
    <w:rsid w:val="00FA2BB2"/>
    <w:rsid w:val="00FB36C0"/>
    <w:rsid w:val="00FC450D"/>
    <w:rsid w:val="00FD081E"/>
    <w:rsid w:val="00FD3E57"/>
    <w:rsid w:val="00FE4826"/>
    <w:rsid w:val="0F262ACD"/>
    <w:rsid w:val="10A34BB6"/>
    <w:rsid w:val="15DA6FC6"/>
    <w:rsid w:val="1B5C4B39"/>
    <w:rsid w:val="282E5980"/>
    <w:rsid w:val="2C273FAD"/>
    <w:rsid w:val="2D1451D4"/>
    <w:rsid w:val="2E660FDE"/>
    <w:rsid w:val="32937C3D"/>
    <w:rsid w:val="38AC40E6"/>
    <w:rsid w:val="3E4B6833"/>
    <w:rsid w:val="40411713"/>
    <w:rsid w:val="45572DBC"/>
    <w:rsid w:val="46184EB1"/>
    <w:rsid w:val="48324E84"/>
    <w:rsid w:val="49635DB3"/>
    <w:rsid w:val="4DC449AF"/>
    <w:rsid w:val="58426293"/>
    <w:rsid w:val="5A174660"/>
    <w:rsid w:val="5DC13E70"/>
    <w:rsid w:val="5DE24648"/>
    <w:rsid w:val="60D57558"/>
    <w:rsid w:val="623D0FA8"/>
    <w:rsid w:val="62645CF0"/>
    <w:rsid w:val="6A356A3B"/>
    <w:rsid w:val="6E60454E"/>
    <w:rsid w:val="70CC1557"/>
    <w:rsid w:val="73194153"/>
    <w:rsid w:val="76067942"/>
    <w:rsid w:val="7E5330D4"/>
    <w:rsid w:val="7EFF65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alloon Text"/>
    <w:basedOn w:val="1"/>
    <w:link w:val="13"/>
    <w:qFormat/>
    <w:uiPriority w:val="99"/>
    <w:rPr>
      <w:rFonts w:ascii="Times New Roman" w:hAnsi="Times New Roman"/>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22"/>
    <w:rPr>
      <w:b/>
      <w:bCs/>
    </w:rPr>
  </w:style>
  <w:style w:type="character" w:styleId="10">
    <w:name w:val="page number"/>
    <w:basedOn w:val="8"/>
    <w:qFormat/>
    <w:uiPriority w:val="99"/>
    <w:rPr>
      <w:rFonts w:cs="Times New Roman"/>
    </w:rPr>
  </w:style>
  <w:style w:type="character" w:styleId="11">
    <w:name w:val="annotation reference"/>
    <w:basedOn w:val="8"/>
    <w:qFormat/>
    <w:uiPriority w:val="99"/>
    <w:rPr>
      <w:rFonts w:cs="Times New Roman"/>
      <w:sz w:val="21"/>
      <w:szCs w:val="21"/>
    </w:rPr>
  </w:style>
  <w:style w:type="character" w:customStyle="1" w:styleId="12">
    <w:name w:val="批注文字 Char"/>
    <w:basedOn w:val="8"/>
    <w:link w:val="2"/>
    <w:qFormat/>
    <w:locked/>
    <w:uiPriority w:val="99"/>
    <w:rPr>
      <w:rFonts w:ascii="Times New Roman" w:hAnsi="Times New Roman" w:eastAsia="宋体" w:cs="Times New Roman"/>
      <w:sz w:val="24"/>
      <w:szCs w:val="24"/>
    </w:rPr>
  </w:style>
  <w:style w:type="character" w:customStyle="1" w:styleId="13">
    <w:name w:val="批注框文本 Char"/>
    <w:basedOn w:val="8"/>
    <w:link w:val="3"/>
    <w:qFormat/>
    <w:locked/>
    <w:uiPriority w:val="99"/>
    <w:rPr>
      <w:rFonts w:ascii="Times New Roman" w:hAnsi="Times New Roman" w:eastAsia="宋体" w:cs="Times New Roman"/>
      <w:sz w:val="18"/>
      <w:szCs w:val="18"/>
    </w:rPr>
  </w:style>
  <w:style w:type="character" w:customStyle="1" w:styleId="14">
    <w:name w:val="页脚 Char"/>
    <w:basedOn w:val="8"/>
    <w:link w:val="4"/>
    <w:qFormat/>
    <w:locked/>
    <w:uiPriority w:val="99"/>
    <w:rPr>
      <w:rFonts w:cs="Times New Roman"/>
      <w:sz w:val="18"/>
      <w:szCs w:val="18"/>
    </w:rPr>
  </w:style>
  <w:style w:type="character" w:customStyle="1" w:styleId="15">
    <w:name w:val="页眉 Char"/>
    <w:basedOn w:val="8"/>
    <w:link w:val="5"/>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5687</Words>
  <Characters>6494</Characters>
  <Lines>45</Lines>
  <Paragraphs>12</Paragraphs>
  <TotalTime>4</TotalTime>
  <ScaleCrop>false</ScaleCrop>
  <LinksUpToDate>false</LinksUpToDate>
  <CharactersWithSpaces>6969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邓婷</cp:lastModifiedBy>
  <cp:lastPrinted>2023-04-04T03:25:00Z</cp:lastPrinted>
  <dcterms:modified xsi:type="dcterms:W3CDTF">2024-08-06T07:52:46Z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20FCA24B3F624CAB8BD61DF3632884E8</vt:lpwstr>
  </property>
</Properties>
</file>